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Notice</w:t>
      </w:r>
    </w:p>
    <w:p>
      <w:r>
        <w:t>Reference: VN-0034</w:t>
      </w:r>
    </w:p>
    <w:p>
      <w:r>
        <w:t>Store: ST-010</w:t>
      </w:r>
    </w:p>
    <w:p>
      <w:r>
        <w:t>Date: October 2, 2026</w:t>
      </w:r>
    </w:p>
    <w:p>
      <w:r>
        <w:t>Vendor: Watchtower Loss Prevention</w:t>
      </w:r>
    </w:p>
    <w:p>
      <w:r>
        <w:t>Prepared by: Elena Petrova</w:t>
      </w:r>
    </w:p>
    <w:p>
      <w:r>
        <w:t>Severity: Medium</w:t>
      </w:r>
    </w:p>
    <w:p/>
    <w:p>
      <w:r>
        <w:t>The overnight audit found a gap in the tobacco count. Please review the attached details and confirm the credit or the replacement plan by end of week.</w:t>
      </w:r>
    </w:p>
    <w:p>
      <w:r>
        <w:t>Estimated impact: $9,438.67</w:t>
      </w:r>
    </w:p>
    <w:p>
      <w:r>
        <w:t>Status: Open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