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VN-0037</w:t>
      </w:r>
    </w:p>
    <w:p>
      <w:r>
        <w:t>Store: ST-001</w:t>
      </w:r>
    </w:p>
    <w:p>
      <w:r>
        <w:t>Date: September 13, 2026</w:t>
      </w:r>
    </w:p>
    <w:p>
      <w:r>
        <w:t>Vendor: BluePeak Logistics</w:t>
      </w:r>
    </w:p>
    <w:p>
      <w:r>
        <w:t>Prepared by: Elena Petrova</w:t>
      </w:r>
    </w:p>
    <w:p>
      <w:r>
        <w:t>Severity: Medium</w:t>
      </w:r>
    </w:p>
    <w:p/>
    <w:p>
      <w:r>
        <w:t>A vendor backorder delayed the beverage order by a day. Please review the attached details and confirm the credit or the replacement plan by end of week.</w:t>
      </w:r>
    </w:p>
    <w:p>
      <w:r>
        <w:t>Estimated impact: $4,826.20</w:t>
      </w:r>
    </w:p>
    <w:p>
      <w:r>
        <w:t>Status: Open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