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02A43"/>
          <w:sz w:val="56"/>
        </w:rPr>
        <w:t>TAG Health Monitor</w:t>
      </w:r>
    </w:p>
    <w:p>
      <w:r>
        <w:rPr>
          <w:i/>
          <w:color w:val="06768A"/>
          <w:sz w:val="26"/>
        </w:rPr>
        <w:t>Real-time tag-quality and batch-health platform for LLPL Plant 1</w:t>
      </w:r>
    </w:p>
    <w:p>
      <w:pPr>
        <w:pBdr>
          <w:bottom w:val="single" w:sz="8" w:space="1" w:color="C5CDD8"/>
        </w:pBdr>
      </w:pPr>
    </w:p>
    <w:p>
      <w:pPr>
        <w:spacing w:after="120"/>
      </w:pPr>
      <w:r>
        <w:rPr>
          <w:b/>
          <w:i w:val="0"/>
        </w:rPr>
        <w:t>Prepared by: Engineering Team</w:t>
      </w:r>
    </w:p>
    <w:p>
      <w:pPr>
        <w:spacing w:after="120"/>
      </w:pPr>
      <w:r>
        <w:rPr>
          <w:b w:val="0"/>
          <w:i w:val="0"/>
        </w:rPr>
        <w:t>Repository: github.com/Abhiramdadi17/tag-health</w:t>
      </w:r>
    </w:p>
    <w:p>
      <w:pPr>
        <w:spacing w:after="120"/>
      </w:pPr>
      <w:r>
        <w:rPr>
          <w:b w:val="0"/>
          <w:i w:val="0"/>
        </w:rPr>
        <w:t>Status: Phase 1 — Internal preview (functional, locally hosted)</w:t>
      </w:r>
    </w:p>
    <w:p>
      <w:pPr>
        <w:spacing w:after="120"/>
      </w:pPr>
      <w:r>
        <w:rPr>
          <w:b w:val="0"/>
          <w:i w:val="0"/>
        </w:rPr>
        <w:t>Stack: Angular 17 · .NET 8 · ONNX Runtime · ClosedXML</w:t>
      </w:r>
    </w:p>
    <w:p>
      <w:pPr>
        <w:pBdr>
          <w:bottom w:val="single" w:sz="8" w:space="1" w:color="C5CDD8"/>
        </w:pBdr>
      </w:pPr>
    </w:p>
    <w:p>
      <w:pPr>
        <w:spacing w:before="400" w:after="120"/>
      </w:pPr>
      <w:r>
        <w:rPr>
          <w:b/>
          <w:color w:val="102A43"/>
          <w:sz w:val="36"/>
        </w:rPr>
        <w:t>1. Executive Summary</w:t>
      </w:r>
    </w:p>
    <w:p>
      <w:pPr>
        <w:spacing w:after="120"/>
      </w:pPr>
      <w:r>
        <w:rPr>
          <w:b w:val="0"/>
          <w:i w:val="0"/>
        </w:rPr>
        <w:t>TAG Health Monitor is an internal operations console that ingests OPC-UA telemetry from the LLPL soap-noodle line and surfaces, in a single view, what every instrumented tag is doing right now and how trustworthy that signal is. It replaces a manual, spreadsheet-driven inspection workflow with a typed, rule-validated dashboard backed by a predictive ML layer.</w:t>
      </w:r>
    </w:p>
    <w:p>
      <w:pPr>
        <w:spacing w:after="120"/>
      </w:pPr>
      <w:r>
        <w:rPr>
          <w:b w:val="0"/>
          <w:i w:val="0"/>
        </w:rPr>
        <w:t>In its current state the system:</w:t>
      </w:r>
    </w:p>
    <w:p>
      <w:pPr>
        <w:pStyle w:val="ListBullet"/>
      </w:pPr>
      <w:r>
        <w:t>Parses four zones of equipment (PSM dosing, Sigma mixers, day/buffer silos, packaging wrappers) from a unified schema.</w:t>
      </w:r>
    </w:p>
    <w:p>
      <w:pPr>
        <w:pStyle w:val="ListBullet"/>
      </w:pPr>
      <w:r>
        <w:t>Applies 37 deterministic validation rules across those zones, classified by severity (CRITICAL / WARNING / INFO).</w:t>
      </w:r>
    </w:p>
    <w:p>
      <w:pPr>
        <w:pStyle w:val="ListBullet"/>
      </w:pPr>
      <w:r>
        <w:t>Computes a per-batch health score (passing rows divided by rich-data rows) so operations leads can see at a glance which batches need scrutiny.</w:t>
      </w:r>
    </w:p>
    <w:p>
      <w:pPr>
        <w:pStyle w:val="ListBullet"/>
      </w:pPr>
      <w:r>
        <w:t>Exposes a single sortable table of 4,500+ rows across 200+ batches with sticky filters for zone, status, date, raw material, recipe, plant, station, cascade, and wrapper.</w:t>
      </w:r>
    </w:p>
    <w:p>
      <w:pPr>
        <w:pStyle w:val="ListBullet"/>
      </w:pPr>
      <w:r>
        <w:t>Ships an ONNX-backed prediction layer with five trained models (spike-within-5/10/15-minute windows, precursor risk, future error %, and a TFT attention model) that can be promoted to inline predictions next iteration.</w:t>
      </w:r>
    </w:p>
    <w:p>
      <w:pPr>
        <w:spacing w:before="400" w:after="120"/>
      </w:pPr>
      <w:r>
        <w:rPr>
          <w:b/>
          <w:color w:val="102A43"/>
          <w:sz w:val="36"/>
        </w:rPr>
        <w:t>2. Problem Statement</w:t>
      </w:r>
    </w:p>
    <w:p>
      <w:pPr>
        <w:spacing w:after="120"/>
      </w:pPr>
      <w:r>
        <w:rPr>
          <w:b w:val="0"/>
          <w:i w:val="0"/>
        </w:rPr>
        <w:t>Plant 1 streams several million telemetry rows per week across PSM, Sigma, Silo, and Packaging zones. Today, quality issues — bad weights, frozen sensors, recipe drift, silo cross-contamination — surface only when an operator notices a downstream defect, often hours after the upstream event.</w:t>
      </w:r>
    </w:p>
    <w:p>
      <w:pPr>
        <w:spacing w:after="120"/>
      </w:pPr>
      <w:r>
        <w:rPr>
          <w:b w:val="0"/>
          <w:i w:val="0"/>
        </w:rPr>
        <w:t>The existing review workflow is:</w:t>
      </w:r>
    </w:p>
    <w:p>
      <w:pPr>
        <w:pStyle w:val="ListNumber"/>
      </w:pPr>
      <w:r>
        <w:t>Pull last 24 hours of .xlsx from the historian.</w:t>
      </w:r>
    </w:p>
    <w:p>
      <w:pPr>
        <w:pStyle w:val="ListNumber"/>
      </w:pPr>
      <w:r>
        <w:t>Filter by tag in Excel.</w:t>
      </w:r>
    </w:p>
    <w:p>
      <w:pPr>
        <w:pStyle w:val="ListNumber"/>
      </w:pPr>
      <w:r>
        <w:t>Eyeball deviations.</w:t>
      </w:r>
    </w:p>
    <w:p>
      <w:pPr>
        <w:spacing w:after="120"/>
      </w:pPr>
      <w:r>
        <w:rPr>
          <w:b/>
          <w:i w:val="0"/>
        </w:rPr>
        <w:t>This is slow, inconsistent, and undetectable upstream. The system moves that workflow from reactive spreadsheet review to a continuously-updating, rule-validated panel with an evidence trail per tag.</w:t>
      </w:r>
    </w:p>
    <w:p>
      <w:pPr>
        <w:spacing w:before="400" w:after="120"/>
      </w:pPr>
      <w:r>
        <w:rPr>
          <w:b/>
          <w:color w:val="102A43"/>
          <w:sz w:val="36"/>
        </w:rPr>
        <w:t>3. Data Sources</w:t>
      </w:r>
    </w:p>
    <w:p>
      <w:pPr>
        <w:spacing w:after="120"/>
      </w:pPr>
      <w:r>
        <w:rPr>
          <w:b w:val="0"/>
          <w:i w:val="0"/>
        </w:rPr>
        <w:t>All data originates from the OPC-UA edge gateway (uaq-lakme-hul-iotedge-01) on Site LLPL, Sensor opcua. We consume five workbooks served from the data/ directory through the .NET backend:</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3744"/>
            <w:shd w:val="clear" w:color="auto" w:fill="102A43"/>
          </w:tcPr>
          <w:p>
            <w:r/>
            <w:r>
              <w:rPr>
                <w:b/>
                <w:color w:val="FFFFFF"/>
                <w:sz w:val="20"/>
              </w:rPr>
              <w:t>Workbook</w:t>
            </w:r>
          </w:p>
        </w:tc>
        <w:tc>
          <w:tcPr>
            <w:tcW w:type="dxa" w:w="1440"/>
            <w:shd w:val="clear" w:color="auto" w:fill="102A43"/>
          </w:tcPr>
          <w:p>
            <w:r/>
            <w:r>
              <w:rPr>
                <w:b/>
                <w:color w:val="FFFFFF"/>
                <w:sz w:val="20"/>
              </w:rPr>
              <w:t>Rows</w:t>
            </w:r>
          </w:p>
        </w:tc>
        <w:tc>
          <w:tcPr>
            <w:tcW w:type="dxa" w:w="2016"/>
            <w:shd w:val="clear" w:color="auto" w:fill="102A43"/>
          </w:tcPr>
          <w:p>
            <w:r/>
            <w:r>
              <w:rPr>
                <w:b/>
                <w:color w:val="FFFFFF"/>
                <w:sz w:val="20"/>
              </w:rPr>
              <w:t>Period</w:t>
            </w:r>
          </w:p>
        </w:tc>
        <w:tc>
          <w:tcPr>
            <w:tcW w:type="dxa" w:w="2016"/>
            <w:shd w:val="clear" w:color="auto" w:fill="102A43"/>
          </w:tcPr>
          <w:p>
            <w:r/>
            <w:r>
              <w:rPr>
                <w:b/>
                <w:color w:val="FFFFFF"/>
                <w:sz w:val="20"/>
              </w:rPr>
              <w:t>Zone</w:t>
            </w:r>
          </w:p>
        </w:tc>
      </w:tr>
      <w:tr>
        <w:tc>
          <w:tcPr>
            <w:tcW w:type="dxa" w:w="3744"/>
          </w:tcPr>
          <w:p>
            <w:r/>
            <w:r>
              <w:rPr>
                <w:sz w:val="20"/>
              </w:rPr>
              <w:t>LLPL PSM 1st April to 20th May.xlsx</w:t>
            </w:r>
          </w:p>
        </w:tc>
        <w:tc>
          <w:tcPr>
            <w:tcW w:type="dxa" w:w="1440"/>
          </w:tcPr>
          <w:p>
            <w:r/>
            <w:r>
              <w:rPr>
                <w:sz w:val="20"/>
              </w:rPr>
              <w:t>~477 K</w:t>
            </w:r>
          </w:p>
        </w:tc>
        <w:tc>
          <w:tcPr>
            <w:tcW w:type="dxa" w:w="2016"/>
          </w:tcPr>
          <w:p>
            <w:r/>
            <w:r>
              <w:rPr>
                <w:sz w:val="20"/>
              </w:rPr>
              <w:t>Apr 1 → May 20</w:t>
            </w:r>
          </w:p>
        </w:tc>
        <w:tc>
          <w:tcPr>
            <w:tcW w:type="dxa" w:w="2016"/>
          </w:tcPr>
          <w:p>
            <w:r/>
            <w:r>
              <w:rPr>
                <w:sz w:val="20"/>
              </w:rPr>
              <w:t>PSM telemetry</w:t>
            </w:r>
          </w:p>
        </w:tc>
      </w:tr>
      <w:tr>
        <w:tc>
          <w:tcPr>
            <w:tcW w:type="dxa" w:w="3744"/>
          </w:tcPr>
          <w:p>
            <w:r/>
            <w:r>
              <w:rPr>
                <w:sz w:val="20"/>
              </w:rPr>
              <w:t>PSM_TagData_10th_to_20th.xlsx</w:t>
            </w:r>
          </w:p>
        </w:tc>
        <w:tc>
          <w:tcPr>
            <w:tcW w:type="dxa" w:w="1440"/>
          </w:tcPr>
          <w:p>
            <w:r/>
            <w:r>
              <w:rPr>
                <w:sz w:val="20"/>
              </w:rPr>
              <w:t>aggregated</w:t>
            </w:r>
          </w:p>
        </w:tc>
        <w:tc>
          <w:tcPr>
            <w:tcW w:type="dxa" w:w="2016"/>
          </w:tcPr>
          <w:p>
            <w:r/>
            <w:r>
              <w:rPr>
                <w:sz w:val="20"/>
              </w:rPr>
              <w:t>10–20 May</w:t>
            </w:r>
          </w:p>
        </w:tc>
        <w:tc>
          <w:tcPr>
            <w:tcW w:type="dxa" w:w="2016"/>
          </w:tcPr>
          <w:p>
            <w:r/>
            <w:r>
              <w:rPr>
                <w:sz w:val="20"/>
              </w:rPr>
              <w:t>PSM RM-batch</w:t>
            </w:r>
          </w:p>
        </w:tc>
      </w:tr>
      <w:tr>
        <w:tc>
          <w:tcPr>
            <w:tcW w:type="dxa" w:w="3744"/>
          </w:tcPr>
          <w:p>
            <w:r/>
            <w:r>
              <w:rPr>
                <w:sz w:val="20"/>
              </w:rPr>
              <w:t>LLPL SigmaMixer Zone.xlsx</w:t>
            </w:r>
          </w:p>
        </w:tc>
        <w:tc>
          <w:tcPr>
            <w:tcW w:type="dxa" w:w="1440"/>
          </w:tcPr>
          <w:p>
            <w:r/>
            <w:r>
              <w:rPr>
                <w:sz w:val="20"/>
              </w:rPr>
              <w:t>~50 K</w:t>
            </w:r>
          </w:p>
        </w:tc>
        <w:tc>
          <w:tcPr>
            <w:tcW w:type="dxa" w:w="2016"/>
          </w:tcPr>
          <w:p>
            <w:r/>
            <w:r>
              <w:rPr>
                <w:sz w:val="20"/>
              </w:rPr>
              <w:t>Apr–May</w:t>
            </w:r>
          </w:p>
        </w:tc>
        <w:tc>
          <w:tcPr>
            <w:tcW w:type="dxa" w:w="2016"/>
          </w:tcPr>
          <w:p>
            <w:r/>
            <w:r>
              <w:rPr>
                <w:sz w:val="20"/>
              </w:rPr>
              <w:t>Sigma</w:t>
            </w:r>
          </w:p>
        </w:tc>
      </w:tr>
      <w:tr>
        <w:tc>
          <w:tcPr>
            <w:tcW w:type="dxa" w:w="3744"/>
          </w:tcPr>
          <w:p>
            <w:r/>
            <w:r>
              <w:rPr>
                <w:sz w:val="20"/>
              </w:rPr>
              <w:t>LLPL Silo Zone.xlsx</w:t>
            </w:r>
          </w:p>
        </w:tc>
        <w:tc>
          <w:tcPr>
            <w:tcW w:type="dxa" w:w="1440"/>
          </w:tcPr>
          <w:p>
            <w:r/>
            <w:r>
              <w:rPr>
                <w:sz w:val="20"/>
              </w:rPr>
              <w:t>~80 K</w:t>
            </w:r>
          </w:p>
        </w:tc>
        <w:tc>
          <w:tcPr>
            <w:tcW w:type="dxa" w:w="2016"/>
          </w:tcPr>
          <w:p>
            <w:r/>
            <w:r>
              <w:rPr>
                <w:sz w:val="20"/>
              </w:rPr>
              <w:t>Apr–May</w:t>
            </w:r>
          </w:p>
        </w:tc>
        <w:tc>
          <w:tcPr>
            <w:tcW w:type="dxa" w:w="2016"/>
          </w:tcPr>
          <w:p>
            <w:r/>
            <w:r>
              <w:rPr>
                <w:sz w:val="20"/>
              </w:rPr>
              <w:t>Silo</w:t>
            </w:r>
          </w:p>
        </w:tc>
      </w:tr>
      <w:tr>
        <w:tc>
          <w:tcPr>
            <w:tcW w:type="dxa" w:w="3744"/>
          </w:tcPr>
          <w:p>
            <w:r/>
            <w:r>
              <w:rPr>
                <w:sz w:val="20"/>
              </w:rPr>
              <w:t>LLPL Packaging.xlsx</w:t>
            </w:r>
          </w:p>
        </w:tc>
        <w:tc>
          <w:tcPr>
            <w:tcW w:type="dxa" w:w="1440"/>
          </w:tcPr>
          <w:p>
            <w:r/>
            <w:r>
              <w:rPr>
                <w:sz w:val="20"/>
              </w:rPr>
              <w:t>~120 K</w:t>
            </w:r>
          </w:p>
        </w:tc>
        <w:tc>
          <w:tcPr>
            <w:tcW w:type="dxa" w:w="2016"/>
          </w:tcPr>
          <w:p>
            <w:r/>
            <w:r>
              <w:rPr>
                <w:sz w:val="20"/>
              </w:rPr>
              <w:t>Apr–May</w:t>
            </w:r>
          </w:p>
        </w:tc>
        <w:tc>
          <w:tcPr>
            <w:tcW w:type="dxa" w:w="2016"/>
          </w:tcPr>
          <w:p>
            <w:r/>
            <w:r>
              <w:rPr>
                <w:sz w:val="20"/>
              </w:rPr>
              <w:t>Packaging</w:t>
            </w:r>
          </w:p>
        </w:tc>
      </w:tr>
    </w:tbl>
    <w:p>
      <w:pPr>
        <w:spacing w:after="120"/>
      </w:pPr>
      <w:r>
        <w:rPr>
          <w:b w:val="0"/>
          <w:i w:val="0"/>
        </w:rPr>
        <w:t>The common envelope of every row is the RawTagRow contract:</w:t>
      </w:r>
    </w:p>
    <w:p>
      <w:pPr>
        <w:ind w:left="283"/>
        <w:shd w:val="clear" w:color="auto" w:fill="F5F7FA"/>
      </w:pPr>
      <w:r>
        <w:rPr>
          <w:rFonts w:ascii="Consolas" w:hAnsi="Consolas"/>
          <w:color w:val="334155"/>
          <w:sz w:val="18"/>
        </w:rPr>
        <w:t>interface RawTagRow {</w:t>
        <w:br/>
        <w:t xml:space="preserve">  IotDeviceId: string;   // 'uaq-lakme-hul-iotedge-01'</w:t>
        <w:br/>
        <w:t xml:space="preserve">  SensorId: string;      // 'opcua'</w:t>
        <w:br/>
        <w:t xml:space="preserve">  SiteId: string;        // 'LLPL'</w:t>
        <w:br/>
        <w:t xml:space="preserve">  MachineId: string;</w:t>
        <w:br/>
        <w:t xml:space="preserve">  Tag: string;</w:t>
        <w:br/>
        <w:t xml:space="preserve">  Value: string | number;</w:t>
        <w:br/>
        <w:t xml:space="preserve">  TS: string;            // '4/26/2026, 6:00:15.199 AM'</w:t>
        <w:br/>
        <w:t>}</w:t>
      </w:r>
    </w:p>
    <w:p>
      <w:r>
        <w:br w:type="page"/>
      </w:r>
    </w:p>
    <w:p>
      <w:pPr>
        <w:spacing w:before="400" w:after="120"/>
      </w:pPr>
      <w:r>
        <w:rPr>
          <w:b/>
          <w:color w:val="102A43"/>
          <w:sz w:val="36"/>
        </w:rPr>
        <w:t>4. Tag Type Catalogue</w:t>
      </w:r>
    </w:p>
    <w:p>
      <w:pPr>
        <w:spacing w:before="280" w:after="80"/>
      </w:pPr>
      <w:r>
        <w:rPr>
          <w:b/>
          <w:color w:val="06768A"/>
          <w:sz w:val="28"/>
        </w:rPr>
        <w:t>4.1 PSM (Personal Soap Maker — dosing skid)</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448"/>
            <w:shd w:val="clear" w:color="auto" w:fill="102A43"/>
          </w:tcPr>
          <w:p>
            <w:r/>
            <w:r>
              <w:rPr>
                <w:b/>
                <w:color w:val="FFFFFF"/>
                <w:sz w:val="20"/>
              </w:rPr>
              <w:t>Sub-type</w:t>
            </w:r>
          </w:p>
        </w:tc>
        <w:tc>
          <w:tcPr>
            <w:tcW w:type="dxa" w:w="3312"/>
            <w:shd w:val="clear" w:color="auto" w:fill="102A43"/>
          </w:tcPr>
          <w:p>
            <w:r/>
            <w:r>
              <w:rPr>
                <w:b/>
                <w:color w:val="FFFFFF"/>
                <w:sz w:val="20"/>
              </w:rPr>
              <w:t>Tag pattern</w:t>
            </w:r>
          </w:p>
        </w:tc>
        <w:tc>
          <w:tcPr>
            <w:tcW w:type="dxa" w:w="3456"/>
            <w:shd w:val="clear" w:color="auto" w:fill="102A43"/>
          </w:tcPr>
          <w:p>
            <w:r/>
            <w:r>
              <w:rPr>
                <w:b/>
                <w:color w:val="FFFFFF"/>
                <w:sz w:val="20"/>
              </w:rPr>
              <w:t>Payload</w:t>
            </w:r>
          </w:p>
        </w:tc>
      </w:tr>
      <w:tr>
        <w:tc>
          <w:tcPr>
            <w:tcW w:type="dxa" w:w="2448"/>
          </w:tcPr>
          <w:p>
            <w:r/>
            <w:r>
              <w:rPr>
                <w:sz w:val="20"/>
              </w:rPr>
              <w:t>RM-Batch dosing</w:t>
            </w:r>
          </w:p>
        </w:tc>
        <w:tc>
          <w:tcPr>
            <w:tcW w:type="dxa" w:w="3312"/>
          </w:tcPr>
          <w:p>
            <w:r/>
            <w:r>
              <w:rPr>
                <w:sz w:val="20"/>
              </w:rPr>
              <w:t>Psm_&lt;plant&gt;_&lt;RM&gt;_Batch</w:t>
            </w:r>
          </w:p>
        </w:tc>
        <w:tc>
          <w:tcPr>
            <w:tcW w:type="dxa" w:w="3456"/>
          </w:tcPr>
          <w:p>
            <w:r/>
            <w:r>
              <w:rPr>
                <w:sz w:val="20"/>
              </w:rPr>
              <w:t>D:202641,S:3,B:38,R:PLUMERIA,RM:EDTA,SP:2.05,PV:2.08</w:t>
            </w:r>
          </w:p>
        </w:tc>
      </w:tr>
      <w:tr>
        <w:tc>
          <w:tcPr>
            <w:tcW w:type="dxa" w:w="2448"/>
          </w:tcPr>
          <w:p>
            <w:r/>
            <w:r>
              <w:rPr>
                <w:sz w:val="20"/>
              </w:rPr>
              <w:t>Batch PV weight</w:t>
            </w:r>
          </w:p>
        </w:tc>
        <w:tc>
          <w:tcPr>
            <w:tcW w:type="dxa" w:w="3312"/>
          </w:tcPr>
          <w:p>
            <w:r/>
            <w:r>
              <w:rPr>
                <w:sz w:val="20"/>
              </w:rPr>
              <w:t>PSM_&lt;plant&gt;_Batch_PV_Weight</w:t>
            </w:r>
          </w:p>
        </w:tc>
        <w:tc>
          <w:tcPr>
            <w:tcW w:type="dxa" w:w="3456"/>
          </w:tcPr>
          <w:p>
            <w:r/>
            <w:r>
              <w:rPr>
                <w:sz w:val="20"/>
              </w:rPr>
              <w:t>scalar (kg)</w:t>
            </w:r>
          </w:p>
        </w:tc>
      </w:tr>
      <w:tr>
        <w:tc>
          <w:tcPr>
            <w:tcW w:type="dxa" w:w="2448"/>
          </w:tcPr>
          <w:p>
            <w:r/>
            <w:r>
              <w:rPr>
                <w:sz w:val="20"/>
              </w:rPr>
              <w:t>Batch SP weight</w:t>
            </w:r>
          </w:p>
        </w:tc>
        <w:tc>
          <w:tcPr>
            <w:tcW w:type="dxa" w:w="3312"/>
          </w:tcPr>
          <w:p>
            <w:r/>
            <w:r>
              <w:rPr>
                <w:sz w:val="20"/>
              </w:rPr>
              <w:t>PSM_&lt;plant&gt;_Batch_SP_Weight</w:t>
            </w:r>
          </w:p>
        </w:tc>
        <w:tc>
          <w:tcPr>
            <w:tcW w:type="dxa" w:w="3456"/>
          </w:tcPr>
          <w:p>
            <w:r/>
            <w:r>
              <w:rPr>
                <w:sz w:val="20"/>
              </w:rPr>
              <w:t>scalar (kg)</w:t>
            </w:r>
          </w:p>
        </w:tc>
      </w:tr>
      <w:tr>
        <w:tc>
          <w:tcPr>
            <w:tcW w:type="dxa" w:w="2448"/>
          </w:tcPr>
          <w:p>
            <w:r/>
            <w:r>
              <w:rPr>
                <w:sz w:val="20"/>
              </w:rPr>
              <w:t>Batch counter</w:t>
            </w:r>
          </w:p>
        </w:tc>
        <w:tc>
          <w:tcPr>
            <w:tcW w:type="dxa" w:w="3312"/>
          </w:tcPr>
          <w:p>
            <w:r/>
            <w:r>
              <w:rPr>
                <w:sz w:val="20"/>
              </w:rPr>
              <w:t>PSM_&lt;plant&gt;_Batch_Counter</w:t>
            </w:r>
          </w:p>
        </w:tc>
        <w:tc>
          <w:tcPr>
            <w:tcW w:type="dxa" w:w="3456"/>
          </w:tcPr>
          <w:p>
            <w:r/>
            <w:r>
              <w:rPr>
                <w:sz w:val="20"/>
              </w:rPr>
              <w:t>int</w:t>
            </w:r>
          </w:p>
        </w:tc>
      </w:tr>
      <w:tr>
        <w:tc>
          <w:tcPr>
            <w:tcW w:type="dxa" w:w="2448"/>
          </w:tcPr>
          <w:p>
            <w:r/>
            <w:r>
              <w:rPr>
                <w:sz w:val="20"/>
              </w:rPr>
              <w:t>Noodle name</w:t>
            </w:r>
          </w:p>
        </w:tc>
        <w:tc>
          <w:tcPr>
            <w:tcW w:type="dxa" w:w="3312"/>
          </w:tcPr>
          <w:p>
            <w:r/>
            <w:r>
              <w:rPr>
                <w:sz w:val="20"/>
              </w:rPr>
              <w:t>PSM_&lt;plant&gt;_Noodle_Name</w:t>
            </w:r>
          </w:p>
        </w:tc>
        <w:tc>
          <w:tcPr>
            <w:tcW w:type="dxa" w:w="3456"/>
          </w:tcPr>
          <w:p>
            <w:r/>
            <w:r>
              <w:rPr>
                <w:sz w:val="20"/>
              </w:rPr>
              <w:t>string (e.g. JASMINE NOODLES)</w:t>
            </w:r>
          </w:p>
        </w:tc>
      </w:tr>
    </w:tbl>
    <w:p>
      <w:pPr>
        <w:spacing w:after="120"/>
      </w:pPr>
      <w:r>
        <w:rPr>
          <w:b w:val="0"/>
          <w:i w:val="0"/>
        </w:rPr>
        <w:t>The D: field is a Julian date (YYYYDDD); S: is a status code (1 = idle, 2 = dosing, 3 = complete); B: is a 0–39 batch counter; R: is the recipe; RM: is the raw material; SP/PV are setpoint and process value in kg.</w:t>
      </w:r>
    </w:p>
    <w:p>
      <w:pPr>
        <w:spacing w:after="120"/>
      </w:pPr>
      <w:r>
        <w:rPr>
          <w:b w:val="0"/>
          <w:i w:val="0"/>
        </w:rPr>
        <w:t>Raw materials tracked: EDTA, EHDP, AOS, Salt, Water, Caustic, DFA, EMILY, GLYCERINE, Sodium Sulphate.</w:t>
      </w:r>
    </w:p>
    <w:p>
      <w:pPr>
        <w:spacing w:before="280" w:after="80"/>
      </w:pPr>
      <w:r>
        <w:rPr>
          <w:b/>
          <w:color w:val="06768A"/>
          <w:sz w:val="28"/>
        </w:rPr>
        <w:t>4.2 Sigma Mixer</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016"/>
            <w:shd w:val="clear" w:color="auto" w:fill="102A43"/>
          </w:tcPr>
          <w:p>
            <w:r/>
            <w:r>
              <w:rPr>
                <w:b/>
                <w:color w:val="FFFFFF"/>
                <w:sz w:val="20"/>
              </w:rPr>
              <w:t>Sub-type</w:t>
            </w:r>
          </w:p>
        </w:tc>
        <w:tc>
          <w:tcPr>
            <w:tcW w:type="dxa" w:w="2880"/>
            <w:shd w:val="clear" w:color="auto" w:fill="102A43"/>
          </w:tcPr>
          <w:p>
            <w:r/>
            <w:r>
              <w:rPr>
                <w:b/>
                <w:color w:val="FFFFFF"/>
                <w:sz w:val="20"/>
              </w:rPr>
              <w:t>Tag substring</w:t>
            </w:r>
          </w:p>
        </w:tc>
        <w:tc>
          <w:tcPr>
            <w:tcW w:type="dxa" w:w="4320"/>
            <w:shd w:val="clear" w:color="auto" w:fill="102A43"/>
          </w:tcPr>
          <w:p>
            <w:r/>
            <w:r>
              <w:rPr>
                <w:b/>
                <w:color w:val="FFFFFF"/>
                <w:sz w:val="20"/>
              </w:rPr>
              <w:t>Payload</w:t>
            </w:r>
          </w:p>
        </w:tc>
      </w:tr>
      <w:tr>
        <w:tc>
          <w:tcPr>
            <w:tcW w:type="dxa" w:w="2016"/>
          </w:tcPr>
          <w:p>
            <w:r/>
            <w:r>
              <w:rPr>
                <w:sz w:val="20"/>
              </w:rPr>
              <w:t>Batch</w:t>
            </w:r>
          </w:p>
        </w:tc>
        <w:tc>
          <w:tcPr>
            <w:tcW w:type="dxa" w:w="2880"/>
          </w:tcPr>
          <w:p>
            <w:r/>
            <w:r>
              <w:rPr>
                <w:sz w:val="20"/>
              </w:rPr>
              <w:t>LAURIC_STRING</w:t>
            </w:r>
          </w:p>
        </w:tc>
        <w:tc>
          <w:tcPr>
            <w:tcW w:type="dxa" w:w="4320"/>
          </w:tcPr>
          <w:p>
            <w:r/>
            <w:r>
              <w:rPr>
                <w:sz w:val="20"/>
              </w:rPr>
              <w:t>D/S/B/R/RM/SP/PV schema; RM = Lauric</w:t>
            </w:r>
          </w:p>
        </w:tc>
      </w:tr>
      <w:tr>
        <w:tc>
          <w:tcPr>
            <w:tcW w:type="dxa" w:w="2016"/>
          </w:tcPr>
          <w:p>
            <w:r/>
            <w:r>
              <w:rPr>
                <w:sz w:val="20"/>
              </w:rPr>
              <w:t>Barcode</w:t>
            </w:r>
          </w:p>
        </w:tc>
        <w:tc>
          <w:tcPr>
            <w:tcW w:type="dxa" w:w="2880"/>
          </w:tcPr>
          <w:p>
            <w:r/>
            <w:r>
              <w:rPr>
                <w:sz w:val="20"/>
              </w:rPr>
              <w:t>SM_MX*_BC / _BC</w:t>
            </w:r>
          </w:p>
        </w:tc>
        <w:tc>
          <w:tcPr>
            <w:tcW w:type="dxa" w:w="4320"/>
          </w:tcPr>
          <w:p>
            <w:r/>
            <w:r>
              <w:rPr>
                <w:sz w:val="20"/>
              </w:rPr>
              <w:t>numeric barcode, or "Scan Barcode" when idle</w:t>
            </w:r>
          </w:p>
        </w:tc>
      </w:tr>
      <w:tr>
        <w:tc>
          <w:tcPr>
            <w:tcW w:type="dxa" w:w="2016"/>
          </w:tcPr>
          <w:p>
            <w:r/>
            <w:r>
              <w:rPr>
                <w:sz w:val="20"/>
              </w:rPr>
              <w:t>Rework</w:t>
            </w:r>
          </w:p>
        </w:tc>
        <w:tc>
          <w:tcPr>
            <w:tcW w:type="dxa" w:w="2880"/>
          </w:tcPr>
          <w:p>
            <w:r/>
            <w:r>
              <w:rPr>
                <w:sz w:val="20"/>
              </w:rPr>
              <w:t>REWORK</w:t>
            </w:r>
          </w:p>
        </w:tc>
        <w:tc>
          <w:tcPr>
            <w:tcW w:type="dxa" w:w="4320"/>
          </w:tcPr>
          <w:p>
            <w:r/>
            <w:r>
              <w:rPr>
                <w:sz w:val="20"/>
              </w:rPr>
              <w:t>int (0 = normal, &gt; 0 = rework active)</w:t>
            </w:r>
          </w:p>
        </w:tc>
      </w:tr>
    </w:tbl>
    <w:p>
      <w:pPr>
        <w:spacing w:after="120"/>
      </w:pPr>
      <w:r>
        <w:rPr>
          <w:b w:val="0"/>
          <w:i w:val="0"/>
        </w:rPr>
        <w:t>Two mixers (MX1, MX2) detected from substrings MIXER_2 / MX2 / MX02.</w:t>
      </w:r>
    </w:p>
    <w:p>
      <w:pPr>
        <w:spacing w:before="280" w:after="80"/>
      </w:pPr>
      <w:r>
        <w:rPr>
          <w:b/>
          <w:color w:val="06768A"/>
          <w:sz w:val="28"/>
        </w:rPr>
        <w:t>4.3 Silo</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304"/>
            <w:shd w:val="clear" w:color="auto" w:fill="102A43"/>
          </w:tcPr>
          <w:p>
            <w:r/>
            <w:r>
              <w:rPr>
                <w:b/>
                <w:color w:val="FFFFFF"/>
                <w:sz w:val="20"/>
              </w:rPr>
              <w:t>Sub-type</w:t>
            </w:r>
          </w:p>
        </w:tc>
        <w:tc>
          <w:tcPr>
            <w:tcW w:type="dxa" w:w="2448"/>
            <w:shd w:val="clear" w:color="auto" w:fill="102A43"/>
          </w:tcPr>
          <w:p>
            <w:r/>
            <w:r>
              <w:rPr>
                <w:b/>
                <w:color w:val="FFFFFF"/>
                <w:sz w:val="20"/>
              </w:rPr>
              <w:t>Tag substring</w:t>
            </w:r>
          </w:p>
        </w:tc>
        <w:tc>
          <w:tcPr>
            <w:tcW w:type="dxa" w:w="4464"/>
            <w:shd w:val="clear" w:color="auto" w:fill="102A43"/>
          </w:tcPr>
          <w:p>
            <w:r/>
            <w:r>
              <w:rPr>
                <w:b/>
                <w:color w:val="FFFFFF"/>
                <w:sz w:val="20"/>
              </w:rPr>
              <w:t>Payload</w:t>
            </w:r>
          </w:p>
        </w:tc>
      </w:tr>
      <w:tr>
        <w:tc>
          <w:tcPr>
            <w:tcW w:type="dxa" w:w="2304"/>
          </w:tcPr>
          <w:p>
            <w:r/>
            <w:r>
              <w:rPr>
                <w:sz w:val="20"/>
              </w:rPr>
              <w:t>Noodle type</w:t>
            </w:r>
          </w:p>
        </w:tc>
        <w:tc>
          <w:tcPr>
            <w:tcW w:type="dxa" w:w="2448"/>
          </w:tcPr>
          <w:p>
            <w:r/>
            <w:r>
              <w:rPr>
                <w:sz w:val="20"/>
              </w:rPr>
              <w:t>type_of_noodle</w:t>
            </w:r>
          </w:p>
        </w:tc>
        <w:tc>
          <w:tcPr>
            <w:tcW w:type="dxa" w:w="4464"/>
          </w:tcPr>
          <w:p>
            <w:r/>
            <w:r>
              <w:rPr>
                <w:sz w:val="20"/>
              </w:rPr>
              <w:t>one of seven valid noodle types (or empty when idle)</w:t>
            </w:r>
          </w:p>
        </w:tc>
      </w:tr>
      <w:tr>
        <w:tc>
          <w:tcPr>
            <w:tcW w:type="dxa" w:w="2304"/>
          </w:tcPr>
          <w:p>
            <w:r/>
            <w:r>
              <w:rPr>
                <w:sz w:val="20"/>
              </w:rPr>
              <w:t>Bag-out detail</w:t>
            </w:r>
          </w:p>
        </w:tc>
        <w:tc>
          <w:tcPr>
            <w:tcW w:type="dxa" w:w="2448"/>
          </w:tcPr>
          <w:p>
            <w:r/>
            <w:r>
              <w:rPr>
                <w:sz w:val="20"/>
              </w:rPr>
              <w:t>All_Details</w:t>
            </w:r>
          </w:p>
        </w:tc>
        <w:tc>
          <w:tcPr>
            <w:tcW w:type="dxa" w:w="4464"/>
          </w:tcPr>
          <w:p>
            <w:r/>
            <w:r>
              <w:rPr>
                <w:sz w:val="20"/>
              </w:rPr>
              <w:t>batchId,SP,PV,noodleType (single ',' = idle)</w:t>
            </w:r>
          </w:p>
        </w:tc>
      </w:tr>
      <w:tr>
        <w:tc>
          <w:tcPr>
            <w:tcW w:type="dxa" w:w="2304"/>
          </w:tcPr>
          <w:p>
            <w:r/>
            <w:r>
              <w:rPr>
                <w:sz w:val="20"/>
              </w:rPr>
              <w:t>Station barcode</w:t>
            </w:r>
          </w:p>
        </w:tc>
        <w:tc>
          <w:tcPr>
            <w:tcW w:type="dxa" w:w="2448"/>
          </w:tcPr>
          <w:p>
            <w:r/>
            <w:r>
              <w:rPr>
                <w:sz w:val="20"/>
              </w:rPr>
              <w:t>Scnr_barcode</w:t>
            </w:r>
          </w:p>
        </w:tc>
        <w:tc>
          <w:tcPr>
            <w:tcW w:type="dxa" w:w="4464"/>
          </w:tcPr>
          <w:p>
            <w:r/>
            <w:r>
              <w:rPr>
                <w:sz w:val="20"/>
              </w:rPr>
              <w:t>numeric (&gt;=6 digits) when active</w:t>
            </w:r>
          </w:p>
        </w:tc>
      </w:tr>
      <w:tr>
        <w:tc>
          <w:tcPr>
            <w:tcW w:type="dxa" w:w="2304"/>
          </w:tcPr>
          <w:p>
            <w:r/>
            <w:r>
              <w:rPr>
                <w:sz w:val="20"/>
              </w:rPr>
              <w:t>Warehouse barcode</w:t>
            </w:r>
          </w:p>
        </w:tc>
        <w:tc>
          <w:tcPr>
            <w:tcW w:type="dxa" w:w="2448"/>
          </w:tcPr>
          <w:p>
            <w:r/>
            <w:r>
              <w:rPr>
                <w:sz w:val="20"/>
              </w:rPr>
              <w:t>Dosing_Barcode</w:t>
            </w:r>
          </w:p>
        </w:tc>
        <w:tc>
          <w:tcPr>
            <w:tcW w:type="dxa" w:w="4464"/>
          </w:tcPr>
          <w:p>
            <w:r/>
            <w:r>
              <w:rPr>
                <w:sz w:val="20"/>
              </w:rPr>
              <w:t>batchId,weight,noodleType,count</w:t>
            </w:r>
          </w:p>
        </w:tc>
      </w:tr>
      <w:tr>
        <w:tc>
          <w:tcPr>
            <w:tcW w:type="dxa" w:w="2304"/>
          </w:tcPr>
          <w:p>
            <w:r/>
            <w:r>
              <w:rPr>
                <w:sz w:val="20"/>
              </w:rPr>
              <w:t>Shreeji barcode</w:t>
            </w:r>
          </w:p>
        </w:tc>
        <w:tc>
          <w:tcPr>
            <w:tcW w:type="dxa" w:w="2448"/>
          </w:tcPr>
          <w:p>
            <w:r/>
            <w:r>
              <w:rPr>
                <w:sz w:val="20"/>
              </w:rPr>
              <w:t>Shreeji</w:t>
            </w:r>
          </w:p>
        </w:tc>
        <w:tc>
          <w:tcPr>
            <w:tcW w:type="dxa" w:w="4464"/>
          </w:tcPr>
          <w:p>
            <w:r/>
            <w:r>
              <w:rPr>
                <w:sz w:val="20"/>
              </w:rPr>
              <w:t>barcodeId,MODE,weight  (MODE typically literal "PV")</w:t>
            </w:r>
          </w:p>
        </w:tc>
      </w:tr>
    </w:tbl>
    <w:p>
      <w:pPr>
        <w:spacing w:after="120"/>
      </w:pPr>
      <w:r>
        <w:rPr>
          <w:b w:val="0"/>
          <w:i w:val="0"/>
        </w:rPr>
        <w:t>Day silos 1–6 and Buffer silos 1–5 surfaced separately. Station IDs: Stn_01, Stn_02.</w:t>
      </w:r>
    </w:p>
    <w:p>
      <w:pPr>
        <w:spacing w:before="280" w:after="80"/>
      </w:pPr>
      <w:r>
        <w:rPr>
          <w:b/>
          <w:color w:val="06768A"/>
          <w:sz w:val="28"/>
        </w:rPr>
        <w:t>4.4 Packaging</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016"/>
            <w:shd w:val="clear" w:color="auto" w:fill="102A43"/>
          </w:tcPr>
          <w:p>
            <w:r/>
            <w:r>
              <w:rPr>
                <w:b/>
                <w:color w:val="FFFFFF"/>
                <w:sz w:val="20"/>
              </w:rPr>
              <w:t>Sub-type</w:t>
            </w:r>
          </w:p>
        </w:tc>
        <w:tc>
          <w:tcPr>
            <w:tcW w:type="dxa" w:w="2592"/>
            <w:shd w:val="clear" w:color="auto" w:fill="102A43"/>
          </w:tcPr>
          <w:p>
            <w:r/>
            <w:r>
              <w:rPr>
                <w:b/>
                <w:color w:val="FFFFFF"/>
                <w:sz w:val="20"/>
              </w:rPr>
              <w:t>Tag</w:t>
            </w:r>
          </w:p>
        </w:tc>
        <w:tc>
          <w:tcPr>
            <w:tcW w:type="dxa" w:w="4608"/>
            <w:shd w:val="clear" w:color="auto" w:fill="102A43"/>
          </w:tcPr>
          <w:p>
            <w:r/>
            <w:r>
              <w:rPr>
                <w:b/>
                <w:color w:val="FFFFFF"/>
                <w:sz w:val="20"/>
              </w:rPr>
              <w:t>Payload</w:t>
            </w:r>
          </w:p>
        </w:tc>
      </w:tr>
      <w:tr>
        <w:tc>
          <w:tcPr>
            <w:tcW w:type="dxa" w:w="2016"/>
          </w:tcPr>
          <w:p>
            <w:r/>
            <w:r>
              <w:rPr>
                <w:sz w:val="20"/>
              </w:rPr>
              <w:t>Wrapper</w:t>
            </w:r>
          </w:p>
        </w:tc>
        <w:tc>
          <w:tcPr>
            <w:tcW w:type="dxa" w:w="2592"/>
          </w:tcPr>
          <w:p>
            <w:r/>
            <w:r>
              <w:rPr>
                <w:sz w:val="20"/>
              </w:rPr>
              <w:t>WRA&lt;n&gt; or ACMA1</w:t>
            </w:r>
          </w:p>
        </w:tc>
        <w:tc>
          <w:tcPr>
            <w:tcW w:type="dxa" w:w="4608"/>
          </w:tcPr>
          <w:p>
            <w:r/>
            <w:r>
              <w:rPr>
                <w:sz w:val="20"/>
              </w:rPr>
              <w:t>integer grams; target from WRAPPER_TARGETS table</w:t>
            </w:r>
          </w:p>
        </w:tc>
      </w:tr>
    </w:tbl>
    <w:p>
      <w:pPr>
        <w:spacing w:after="120"/>
      </w:pPr>
      <w:r>
        <w:rPr>
          <w:b w:val="0"/>
          <w:i w:val="0"/>
        </w:rPr>
        <w:t>Cascades: CAS3 (WRA2–9, ACMA1; targets 40–150 g) and CAS5_6 (WRA10–16; targets 39–41 g). Default machine ID is 8005000043300; three wrappers (WRA3, ACMA1, WRA16) have non-default machine IDs validated against WRAPPER_MACHINE_MAP.</w:t>
      </w:r>
    </w:p>
    <w:p>
      <w:pPr>
        <w:spacing w:before="280" w:after="80"/>
      </w:pPr>
      <w:r>
        <w:rPr>
          <w:b/>
          <w:color w:val="06768A"/>
          <w:sz w:val="28"/>
        </w:rPr>
        <w:t>4.5 Valid Noodle Types</w:t>
      </w:r>
    </w:p>
    <w:p>
      <w:pPr>
        <w:spacing w:after="120"/>
      </w:pPr>
      <w:r>
        <w:rPr>
          <w:b w:val="0"/>
          <w:i w:val="0"/>
        </w:rPr>
        <w:t>JASMINE NOODLES, PLUMERIA NOODLES, SERGIO 56 NOODLES, TEXAS MOD NOODLES, GALAXY NOODLES, 20 PKO TULIP NOODLES, LILAC NOODLES.</w:t>
      </w:r>
    </w:p>
    <w:p>
      <w:r>
        <w:br w:type="page"/>
      </w:r>
    </w:p>
    <w:p>
      <w:pPr>
        <w:spacing w:before="400" w:after="120"/>
      </w:pPr>
      <w:r>
        <w:rPr>
          <w:b/>
          <w:color w:val="102A43"/>
          <w:sz w:val="36"/>
        </w:rPr>
        <w:t>5. Validation Rules Catalogue</w:t>
      </w:r>
    </w:p>
    <w:p>
      <w:pPr>
        <w:spacing w:after="120"/>
      </w:pPr>
      <w:r>
        <w:rPr>
          <w:b w:val="0"/>
          <w:i w:val="0"/>
        </w:rPr>
        <w:t>TagValidationService runs 37 rules per tag. Every rule emits a ValidationResult { ruleId, severity, passed, message }. The batch health score uses only the passed flag on rows where dataAvailable = true.</w:t>
      </w:r>
    </w:p>
    <w:p>
      <w:pPr>
        <w:spacing w:before="280" w:after="80"/>
      </w:pPr>
      <w:r>
        <w:rPr>
          <w:b/>
          <w:color w:val="06768A"/>
          <w:sz w:val="28"/>
        </w:rPr>
        <w:t>5.1 General Rules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296"/>
            <w:shd w:val="clear" w:color="auto" w:fill="102A43"/>
          </w:tcPr>
          <w:p>
            <w:r/>
            <w:r>
              <w:rPr>
                <w:b/>
                <w:color w:val="FFFFFF"/>
                <w:sz w:val="20"/>
              </w:rPr>
              <w:t>ID</w:t>
            </w:r>
          </w:p>
        </w:tc>
        <w:tc>
          <w:tcPr>
            <w:tcW w:type="dxa" w:w="1440"/>
            <w:shd w:val="clear" w:color="auto" w:fill="102A43"/>
          </w:tcPr>
          <w:p>
            <w:r/>
            <w:r>
              <w:rPr>
                <w:b/>
                <w:color w:val="FFFFFF"/>
                <w:sz w:val="20"/>
              </w:rPr>
              <w:t>Severity</w:t>
            </w:r>
          </w:p>
        </w:tc>
        <w:tc>
          <w:tcPr>
            <w:tcW w:type="dxa" w:w="6480"/>
            <w:shd w:val="clear" w:color="auto" w:fill="102A43"/>
          </w:tcPr>
          <w:p>
            <w:r/>
            <w:r>
              <w:rPr>
                <w:b/>
                <w:color w:val="FFFFFF"/>
                <w:sz w:val="20"/>
              </w:rPr>
              <w:t>Description</w:t>
            </w:r>
          </w:p>
        </w:tc>
      </w:tr>
      <w:tr>
        <w:tc>
          <w:tcPr>
            <w:tcW w:type="dxa" w:w="1296"/>
          </w:tcPr>
          <w:p>
            <w:r/>
            <w:r>
              <w:rPr>
                <w:sz w:val="20"/>
              </w:rPr>
              <w:t>GEN-01</w:t>
            </w:r>
          </w:p>
        </w:tc>
        <w:tc>
          <w:tcPr>
            <w:tcW w:type="dxa" w:w="1440"/>
          </w:tcPr>
          <w:p>
            <w:r/>
            <w:r>
              <w:rPr>
                <w:b/>
                <w:color w:val="C98A0C"/>
                <w:sz w:val="20"/>
              </w:rPr>
              <w:t>WARNING</w:t>
            </w:r>
          </w:p>
        </w:tc>
        <w:tc>
          <w:tcPr>
            <w:tcW w:type="dxa" w:w="6480"/>
          </w:tcPr>
          <w:p>
            <w:r/>
            <w:r>
              <w:rPr>
                <w:sz w:val="20"/>
              </w:rPr>
              <w:t>Streaming silence &gt; 5 min during production hours (06:00–22:00 IST)</w:t>
            </w:r>
          </w:p>
        </w:tc>
      </w:tr>
      <w:tr>
        <w:tc>
          <w:tcPr>
            <w:tcW w:type="dxa" w:w="1296"/>
          </w:tcPr>
          <w:p>
            <w:r/>
            <w:r>
              <w:rPr>
                <w:sz w:val="20"/>
              </w:rPr>
              <w:t>GEN-02</w:t>
            </w:r>
          </w:p>
        </w:tc>
        <w:tc>
          <w:tcPr>
            <w:tcW w:type="dxa" w:w="1440"/>
          </w:tcPr>
          <w:p>
            <w:r/>
            <w:r>
              <w:rPr>
                <w:b/>
                <w:color w:val="C98A0C"/>
                <w:sz w:val="20"/>
              </w:rPr>
              <w:t>WARNING</w:t>
            </w:r>
          </w:p>
        </w:tc>
        <w:tc>
          <w:tcPr>
            <w:tcW w:type="dxa" w:w="6480"/>
          </w:tcPr>
          <w:p>
            <w:r/>
            <w:r>
              <w:rPr>
                <w:sz w:val="20"/>
              </w:rPr>
              <w:t>Null or empty value (idle bag-out exempted)</w:t>
            </w:r>
          </w:p>
        </w:tc>
      </w:tr>
      <w:tr>
        <w:tc>
          <w:tcPr>
            <w:tcW w:type="dxa" w:w="1296"/>
          </w:tcPr>
          <w:p>
            <w:r/>
            <w:r>
              <w:rPr>
                <w:sz w:val="20"/>
              </w:rPr>
              <w:t>GEN-03</w:t>
            </w:r>
          </w:p>
        </w:tc>
        <w:tc>
          <w:tcPr>
            <w:tcW w:type="dxa" w:w="1440"/>
          </w:tcPr>
          <w:p>
            <w:r/>
            <w:r>
              <w:rPr>
                <w:color w:val="426BA5"/>
                <w:sz w:val="20"/>
              </w:rPr>
              <w:t>INFO</w:t>
            </w:r>
          </w:p>
        </w:tc>
        <w:tc>
          <w:tcPr>
            <w:tcW w:type="dxa" w:w="6480"/>
          </w:tcPr>
          <w:p>
            <w:r/>
            <w:r>
              <w:rPr>
                <w:sz w:val="20"/>
              </w:rPr>
              <w:t>Timestamps must be monotonically increasing per tag</w:t>
            </w:r>
          </w:p>
        </w:tc>
      </w:tr>
      <w:tr>
        <w:tc>
          <w:tcPr>
            <w:tcW w:type="dxa" w:w="1296"/>
          </w:tcPr>
          <w:p>
            <w:r/>
            <w:r>
              <w:rPr>
                <w:sz w:val="20"/>
              </w:rPr>
              <w:t>GEN-04</w:t>
            </w:r>
          </w:p>
        </w:tc>
        <w:tc>
          <w:tcPr>
            <w:tcW w:type="dxa" w:w="1440"/>
          </w:tcPr>
          <w:p>
            <w:r/>
            <w:r>
              <w:rPr>
                <w:color w:val="426BA5"/>
                <w:sz w:val="20"/>
              </w:rPr>
              <w:t>INFO</w:t>
            </w:r>
          </w:p>
        </w:tc>
        <w:tc>
          <w:tcPr>
            <w:tcW w:type="dxa" w:w="6480"/>
          </w:tcPr>
          <w:p>
            <w:r/>
            <w:r>
              <w:rPr>
                <w:sz w:val="20"/>
              </w:rPr>
              <w:t>Source metadata sanity (SiteId, IotDeviceId, SensorId)</w:t>
            </w:r>
          </w:p>
        </w:tc>
      </w:tr>
    </w:tbl>
    <w:p>
      <w:pPr>
        <w:spacing w:before="280" w:after="80"/>
      </w:pPr>
      <w:r>
        <w:rPr>
          <w:b/>
          <w:color w:val="06768A"/>
          <w:sz w:val="28"/>
        </w:rPr>
        <w:t>5.2 PSM Rules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296"/>
            <w:shd w:val="clear" w:color="auto" w:fill="102A43"/>
          </w:tcPr>
          <w:p>
            <w:r/>
            <w:r>
              <w:rPr>
                <w:b/>
                <w:color w:val="FFFFFF"/>
                <w:sz w:val="20"/>
              </w:rPr>
              <w:t>ID</w:t>
            </w:r>
          </w:p>
        </w:tc>
        <w:tc>
          <w:tcPr>
            <w:tcW w:type="dxa" w:w="1440"/>
            <w:shd w:val="clear" w:color="auto" w:fill="102A43"/>
          </w:tcPr>
          <w:p>
            <w:r/>
            <w:r>
              <w:rPr>
                <w:b/>
                <w:color w:val="FFFFFF"/>
                <w:sz w:val="20"/>
              </w:rPr>
              <w:t>Severity</w:t>
            </w:r>
          </w:p>
        </w:tc>
        <w:tc>
          <w:tcPr>
            <w:tcW w:type="dxa" w:w="6480"/>
            <w:shd w:val="clear" w:color="auto" w:fill="102A43"/>
          </w:tcPr>
          <w:p>
            <w:r/>
            <w:r>
              <w:rPr>
                <w:b/>
                <w:color w:val="FFFFFF"/>
                <w:sz w:val="20"/>
              </w:rPr>
              <w:t>Description</w:t>
            </w:r>
          </w:p>
        </w:tc>
      </w:tr>
      <w:tr>
        <w:tc>
          <w:tcPr>
            <w:tcW w:type="dxa" w:w="1296"/>
          </w:tcPr>
          <w:p>
            <w:r/>
            <w:r>
              <w:rPr>
                <w:sz w:val="20"/>
              </w:rPr>
              <w:t>PSM-01</w:t>
            </w:r>
          </w:p>
        </w:tc>
        <w:tc>
          <w:tcPr>
            <w:tcW w:type="dxa" w:w="1440"/>
          </w:tcPr>
          <w:p>
            <w:r/>
            <w:r>
              <w:rPr>
                <w:b/>
                <w:color w:val="C0392B"/>
                <w:sz w:val="20"/>
              </w:rPr>
              <w:t>CRITICAL</w:t>
            </w:r>
          </w:p>
        </w:tc>
        <w:tc>
          <w:tcPr>
            <w:tcW w:type="dxa" w:w="6480"/>
          </w:tcPr>
          <w:p>
            <w:r/>
            <w:r>
              <w:rPr>
                <w:sz w:val="20"/>
              </w:rPr>
              <w:t>Schema must contain all of D, S, B, R, RM, SP, PV</w:t>
            </w:r>
          </w:p>
        </w:tc>
      </w:tr>
      <w:tr>
        <w:tc>
          <w:tcPr>
            <w:tcW w:type="dxa" w:w="1296"/>
          </w:tcPr>
          <w:p>
            <w:r/>
            <w:r>
              <w:rPr>
                <w:sz w:val="20"/>
              </w:rPr>
              <w:t>PSM-02</w:t>
            </w:r>
          </w:p>
        </w:tc>
        <w:tc>
          <w:tcPr>
            <w:tcW w:type="dxa" w:w="1440"/>
          </w:tcPr>
          <w:p>
            <w:r/>
            <w:r>
              <w:rPr>
                <w:b/>
                <w:color w:val="C0392B"/>
                <w:sz w:val="20"/>
              </w:rPr>
              <w:t>CRITICAL</w:t>
            </w:r>
          </w:p>
        </w:tc>
        <w:tc>
          <w:tcPr>
            <w:tcW w:type="dxa" w:w="6480"/>
          </w:tcPr>
          <w:p>
            <w:r/>
            <w:r>
              <w:rPr>
                <w:sz w:val="20"/>
              </w:rPr>
              <w:t>PV must not be 0 while status = dosing (S=2)</w:t>
            </w:r>
          </w:p>
        </w:tc>
      </w:tr>
      <w:tr>
        <w:tc>
          <w:tcPr>
            <w:tcW w:type="dxa" w:w="1296"/>
          </w:tcPr>
          <w:p>
            <w:r/>
            <w:r>
              <w:rPr>
                <w:sz w:val="20"/>
              </w:rPr>
              <w:t>PSM-03</w:t>
            </w:r>
          </w:p>
        </w:tc>
        <w:tc>
          <w:tcPr>
            <w:tcW w:type="dxa" w:w="1440"/>
          </w:tcPr>
          <w:p>
            <w:r/>
            <w:r>
              <w:rPr>
                <w:b/>
                <w:color w:val="C0392B"/>
                <w:sz w:val="20"/>
              </w:rPr>
              <w:t>CRITICAL</w:t>
            </w:r>
          </w:p>
        </w:tc>
        <w:tc>
          <w:tcPr>
            <w:tcW w:type="dxa" w:w="6480"/>
          </w:tcPr>
          <w:p>
            <w:r/>
            <w:r>
              <w:rPr>
                <w:sz w:val="20"/>
              </w:rPr>
              <w:t>PV must not be negative</w:t>
            </w:r>
          </w:p>
        </w:tc>
      </w:tr>
      <w:tr>
        <w:tc>
          <w:tcPr>
            <w:tcW w:type="dxa" w:w="1296"/>
          </w:tcPr>
          <w:p>
            <w:r/>
            <w:r>
              <w:rPr>
                <w:sz w:val="20"/>
              </w:rPr>
              <w:t>PSM-04</w:t>
            </w:r>
          </w:p>
        </w:tc>
        <w:tc>
          <w:tcPr>
            <w:tcW w:type="dxa" w:w="1440"/>
          </w:tcPr>
          <w:p>
            <w:r/>
            <w:r>
              <w:rPr>
                <w:b/>
                <w:color w:val="C98A0C"/>
                <w:sz w:val="20"/>
              </w:rPr>
              <w:t>WARNING</w:t>
            </w:r>
          </w:p>
        </w:tc>
        <w:tc>
          <w:tcPr>
            <w:tcW w:type="dxa" w:w="6480"/>
          </w:tcPr>
          <w:p>
            <w:r/>
            <w:r>
              <w:rPr>
                <w:sz w:val="20"/>
              </w:rPr>
              <w:t>PV must not drop &gt; 0.5 kg within the same batch counter</w:t>
            </w:r>
          </w:p>
        </w:tc>
      </w:tr>
      <w:tr>
        <w:tc>
          <w:tcPr>
            <w:tcW w:type="dxa" w:w="1296"/>
          </w:tcPr>
          <w:p>
            <w:r/>
            <w:r>
              <w:rPr>
                <w:sz w:val="20"/>
              </w:rPr>
              <w:t>PSM-05</w:t>
            </w:r>
          </w:p>
        </w:tc>
        <w:tc>
          <w:tcPr>
            <w:tcW w:type="dxa" w:w="1440"/>
          </w:tcPr>
          <w:p>
            <w:r/>
            <w:r>
              <w:rPr>
                <w:b/>
                <w:color w:val="C98A0C"/>
                <w:sz w:val="20"/>
              </w:rPr>
              <w:t>WARNING</w:t>
            </w:r>
          </w:p>
        </w:tc>
        <w:tc>
          <w:tcPr>
            <w:tcW w:type="dxa" w:w="6480"/>
          </w:tcPr>
          <w:p>
            <w:r/>
            <w:r>
              <w:rPr>
                <w:sz w:val="20"/>
              </w:rPr>
              <w:t>Completion deviation |PV-SP|/SP ≤ 5 % when S=3</w:t>
            </w:r>
          </w:p>
        </w:tc>
      </w:tr>
      <w:tr>
        <w:tc>
          <w:tcPr>
            <w:tcW w:type="dxa" w:w="1296"/>
          </w:tcPr>
          <w:p>
            <w:r/>
            <w:r>
              <w:rPr>
                <w:sz w:val="20"/>
              </w:rPr>
              <w:t>PSM-06</w:t>
            </w:r>
          </w:p>
        </w:tc>
        <w:tc>
          <w:tcPr>
            <w:tcW w:type="dxa" w:w="1440"/>
          </w:tcPr>
          <w:p>
            <w:r/>
            <w:r>
              <w:rPr>
                <w:b/>
                <w:color w:val="C98A0C"/>
                <w:sz w:val="20"/>
              </w:rPr>
              <w:t>WARNING</w:t>
            </w:r>
          </w:p>
        </w:tc>
        <w:tc>
          <w:tcPr>
            <w:tcW w:type="dxa" w:w="6480"/>
          </w:tcPr>
          <w:p>
            <w:r/>
            <w:r>
              <w:rPr>
                <w:sz w:val="20"/>
              </w:rPr>
              <w:t>Status code must be 1, 2, or 3</w:t>
            </w:r>
          </w:p>
        </w:tc>
      </w:tr>
      <w:tr>
        <w:tc>
          <w:tcPr>
            <w:tcW w:type="dxa" w:w="1296"/>
          </w:tcPr>
          <w:p>
            <w:r/>
            <w:r>
              <w:rPr>
                <w:sz w:val="20"/>
              </w:rPr>
              <w:t>PSM-07</w:t>
            </w:r>
          </w:p>
        </w:tc>
        <w:tc>
          <w:tcPr>
            <w:tcW w:type="dxa" w:w="1440"/>
          </w:tcPr>
          <w:p>
            <w:r/>
            <w:r>
              <w:rPr>
                <w:b/>
                <w:color w:val="C98A0C"/>
                <w:sz w:val="20"/>
              </w:rPr>
              <w:t>WARNING</w:t>
            </w:r>
          </w:p>
        </w:tc>
        <w:tc>
          <w:tcPr>
            <w:tcW w:type="dxa" w:w="6480"/>
          </w:tcPr>
          <w:p>
            <w:r/>
            <w:r>
              <w:rPr>
                <w:sz w:val="20"/>
              </w:rPr>
              <w:t>Batch counter sequential or 39→0 wrap</w:t>
            </w:r>
          </w:p>
        </w:tc>
      </w:tr>
      <w:tr>
        <w:tc>
          <w:tcPr>
            <w:tcW w:type="dxa" w:w="1296"/>
          </w:tcPr>
          <w:p>
            <w:r/>
            <w:r>
              <w:rPr>
                <w:sz w:val="20"/>
              </w:rPr>
              <w:t>PSM-08</w:t>
            </w:r>
          </w:p>
        </w:tc>
        <w:tc>
          <w:tcPr>
            <w:tcW w:type="dxa" w:w="1440"/>
          </w:tcPr>
          <w:p>
            <w:r/>
            <w:r>
              <w:rPr>
                <w:b/>
                <w:color w:val="C98A0C"/>
                <w:sz w:val="20"/>
              </w:rPr>
              <w:t>WARNING</w:t>
            </w:r>
          </w:p>
        </w:tc>
        <w:tc>
          <w:tcPr>
            <w:tcW w:type="dxa" w:w="6480"/>
          </w:tcPr>
          <w:p>
            <w:r/>
            <w:r>
              <w:rPr>
                <w:sz w:val="20"/>
              </w:rPr>
              <w:t>All RMs in current cycle agree on D and R</w:t>
            </w:r>
          </w:p>
        </w:tc>
      </w:tr>
      <w:tr>
        <w:tc>
          <w:tcPr>
            <w:tcW w:type="dxa" w:w="1296"/>
          </w:tcPr>
          <w:p>
            <w:r/>
            <w:r>
              <w:rPr>
                <w:sz w:val="20"/>
              </w:rPr>
              <w:t>PSM-09</w:t>
            </w:r>
          </w:p>
        </w:tc>
        <w:tc>
          <w:tcPr>
            <w:tcW w:type="dxa" w:w="1440"/>
          </w:tcPr>
          <w:p>
            <w:r/>
            <w:r>
              <w:rPr>
                <w:color w:val="426BA5"/>
                <w:sz w:val="20"/>
              </w:rPr>
              <w:t>INFO</w:t>
            </w:r>
          </w:p>
        </w:tc>
        <w:tc>
          <w:tcPr>
            <w:tcW w:type="dxa" w:w="6480"/>
          </w:tcPr>
          <w:p>
            <w:r/>
            <w:r>
              <w:rPr>
                <w:sz w:val="20"/>
              </w:rPr>
              <w:t>Streaming gap inside production hours</w:t>
            </w:r>
          </w:p>
        </w:tc>
      </w:tr>
      <w:tr>
        <w:tc>
          <w:tcPr>
            <w:tcW w:type="dxa" w:w="1296"/>
          </w:tcPr>
          <w:p>
            <w:r/>
            <w:r>
              <w:rPr>
                <w:sz w:val="20"/>
              </w:rPr>
              <w:t>PSM-10</w:t>
            </w:r>
          </w:p>
        </w:tc>
        <w:tc>
          <w:tcPr>
            <w:tcW w:type="dxa" w:w="1440"/>
          </w:tcPr>
          <w:p>
            <w:r/>
            <w:r>
              <w:rPr>
                <w:color w:val="426BA5"/>
                <w:sz w:val="20"/>
              </w:rPr>
              <w:t>INFO</w:t>
            </w:r>
          </w:p>
        </w:tc>
        <w:tc>
          <w:tcPr>
            <w:tcW w:type="dxa" w:w="6480"/>
          </w:tcPr>
          <w:p>
            <w:r/>
            <w:r>
              <w:rPr>
                <w:sz w:val="20"/>
              </w:rPr>
              <w:t>SP-change detection (event log only)</w:t>
            </w:r>
          </w:p>
        </w:tc>
      </w:tr>
      <w:tr>
        <w:tc>
          <w:tcPr>
            <w:tcW w:type="dxa" w:w="1296"/>
          </w:tcPr>
          <w:p>
            <w:r/>
            <w:r>
              <w:rPr>
                <w:sz w:val="20"/>
              </w:rPr>
              <w:t>PSM-11</w:t>
            </w:r>
          </w:p>
        </w:tc>
        <w:tc>
          <w:tcPr>
            <w:tcW w:type="dxa" w:w="1440"/>
          </w:tcPr>
          <w:p>
            <w:r/>
            <w:r>
              <w:rPr>
                <w:color w:val="426BA5"/>
                <w:sz w:val="20"/>
              </w:rPr>
              <w:t>INFO</w:t>
            </w:r>
          </w:p>
        </w:tc>
        <w:tc>
          <w:tcPr>
            <w:tcW w:type="dxa" w:w="6480"/>
          </w:tcPr>
          <w:p>
            <w:r/>
            <w:r>
              <w:rPr>
                <w:sz w:val="20"/>
              </w:rPr>
              <w:t>Julian date D within 2 days of system time</w:t>
            </w:r>
          </w:p>
        </w:tc>
      </w:tr>
      <w:tr>
        <w:tc>
          <w:tcPr>
            <w:tcW w:type="dxa" w:w="1296"/>
          </w:tcPr>
          <w:p>
            <w:r/>
            <w:r>
              <w:rPr>
                <w:sz w:val="20"/>
              </w:rPr>
              <w:t>PSM-12</w:t>
            </w:r>
          </w:p>
        </w:tc>
        <w:tc>
          <w:tcPr>
            <w:tcW w:type="dxa" w:w="1440"/>
          </w:tcPr>
          <w:p>
            <w:r/>
            <w:r>
              <w:rPr>
                <w:color w:val="426BA5"/>
                <w:sz w:val="20"/>
              </w:rPr>
              <w:t>INFO</w:t>
            </w:r>
          </w:p>
        </w:tc>
        <w:tc>
          <w:tcPr>
            <w:tcW w:type="dxa" w:w="6480"/>
          </w:tcPr>
          <w:p>
            <w:r/>
            <w:r>
              <w:rPr>
                <w:sz w:val="20"/>
              </w:rPr>
              <w:t>Batch_PV_Weight ≈ Σ RM PVs (≤ 2 % deviation)</w:t>
            </w:r>
          </w:p>
        </w:tc>
      </w:tr>
    </w:tbl>
    <w:p>
      <w:pPr>
        <w:spacing w:before="280" w:after="80"/>
      </w:pPr>
      <w:r>
        <w:rPr>
          <w:b/>
          <w:color w:val="06768A"/>
          <w:sz w:val="28"/>
        </w:rPr>
        <w:t>5.3 Sigma Rules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296"/>
            <w:shd w:val="clear" w:color="auto" w:fill="102A43"/>
          </w:tcPr>
          <w:p>
            <w:r/>
            <w:r>
              <w:rPr>
                <w:b/>
                <w:color w:val="FFFFFF"/>
                <w:sz w:val="20"/>
              </w:rPr>
              <w:t>ID</w:t>
            </w:r>
          </w:p>
        </w:tc>
        <w:tc>
          <w:tcPr>
            <w:tcW w:type="dxa" w:w="1440"/>
            <w:shd w:val="clear" w:color="auto" w:fill="102A43"/>
          </w:tcPr>
          <w:p>
            <w:r/>
            <w:r>
              <w:rPr>
                <w:b/>
                <w:color w:val="FFFFFF"/>
                <w:sz w:val="20"/>
              </w:rPr>
              <w:t>Severity</w:t>
            </w:r>
          </w:p>
        </w:tc>
        <w:tc>
          <w:tcPr>
            <w:tcW w:type="dxa" w:w="6480"/>
            <w:shd w:val="clear" w:color="auto" w:fill="102A43"/>
          </w:tcPr>
          <w:p>
            <w:r/>
            <w:r>
              <w:rPr>
                <w:b/>
                <w:color w:val="FFFFFF"/>
                <w:sz w:val="20"/>
              </w:rPr>
              <w:t>Description</w:t>
            </w:r>
          </w:p>
        </w:tc>
      </w:tr>
      <w:tr>
        <w:tc>
          <w:tcPr>
            <w:tcW w:type="dxa" w:w="1296"/>
          </w:tcPr>
          <w:p>
            <w:r/>
            <w:r>
              <w:rPr>
                <w:sz w:val="20"/>
              </w:rPr>
              <w:t>SMX-02</w:t>
            </w:r>
          </w:p>
        </w:tc>
        <w:tc>
          <w:tcPr>
            <w:tcW w:type="dxa" w:w="1440"/>
          </w:tcPr>
          <w:p>
            <w:r/>
            <w:r>
              <w:rPr>
                <w:b/>
                <w:color w:val="C0392B"/>
                <w:sz w:val="20"/>
              </w:rPr>
              <w:t>CRITICAL</w:t>
            </w:r>
          </w:p>
        </w:tc>
        <w:tc>
          <w:tcPr>
            <w:tcW w:type="dxa" w:w="6480"/>
          </w:tcPr>
          <w:p>
            <w:r/>
            <w:r>
              <w:rPr>
                <w:sz w:val="20"/>
              </w:rPr>
              <w:t>Barcode must be empty/idle marker, or pure numeric</w:t>
            </w:r>
          </w:p>
        </w:tc>
      </w:tr>
      <w:tr>
        <w:tc>
          <w:tcPr>
            <w:tcW w:type="dxa" w:w="1296"/>
          </w:tcPr>
          <w:p>
            <w:r/>
            <w:r>
              <w:rPr>
                <w:sz w:val="20"/>
              </w:rPr>
              <w:t>SMX-03</w:t>
            </w:r>
          </w:p>
        </w:tc>
        <w:tc>
          <w:tcPr>
            <w:tcW w:type="dxa" w:w="1440"/>
          </w:tcPr>
          <w:p>
            <w:r/>
            <w:r>
              <w:rPr>
                <w:b/>
                <w:color w:val="C98A0C"/>
                <w:sz w:val="20"/>
              </w:rPr>
              <w:t>WARNING</w:t>
            </w:r>
          </w:p>
        </w:tc>
        <w:tc>
          <w:tcPr>
            <w:tcW w:type="dxa" w:w="6480"/>
          </w:tcPr>
          <w:p>
            <w:r/>
            <w:r>
              <w:rPr>
                <w:sz w:val="20"/>
              </w:rPr>
              <w:t>Rework stuck &gt; 0 for &gt; 3 consecutive polls</w:t>
            </w:r>
          </w:p>
        </w:tc>
      </w:tr>
      <w:tr>
        <w:tc>
          <w:tcPr>
            <w:tcW w:type="dxa" w:w="1296"/>
          </w:tcPr>
          <w:p>
            <w:r/>
            <w:r>
              <w:rPr>
                <w:sz w:val="20"/>
              </w:rPr>
              <w:t>SMX-04</w:t>
            </w:r>
          </w:p>
        </w:tc>
        <w:tc>
          <w:tcPr>
            <w:tcW w:type="dxa" w:w="1440"/>
          </w:tcPr>
          <w:p>
            <w:r/>
            <w:r>
              <w:rPr>
                <w:b/>
                <w:color w:val="C98A0C"/>
                <w:sz w:val="20"/>
              </w:rPr>
              <w:t>WARNING</w:t>
            </w:r>
          </w:p>
        </w:tc>
        <w:tc>
          <w:tcPr>
            <w:tcW w:type="dxa" w:w="6480"/>
          </w:tcPr>
          <w:p>
            <w:r/>
            <w:r>
              <w:rPr>
                <w:sz w:val="20"/>
              </w:rPr>
              <w:t>MX1 and MX2 must not dose the same batch counter simultaneously</w:t>
            </w:r>
          </w:p>
        </w:tc>
      </w:tr>
      <w:tr>
        <w:tc>
          <w:tcPr>
            <w:tcW w:type="dxa" w:w="1296"/>
          </w:tcPr>
          <w:p>
            <w:r/>
            <w:r>
              <w:rPr>
                <w:sz w:val="20"/>
              </w:rPr>
              <w:t>SMX-05</w:t>
            </w:r>
          </w:p>
        </w:tc>
        <w:tc>
          <w:tcPr>
            <w:tcW w:type="dxa" w:w="1440"/>
          </w:tcPr>
          <w:p>
            <w:r/>
            <w:r>
              <w:rPr>
                <w:color w:val="426BA5"/>
                <w:sz w:val="20"/>
              </w:rPr>
              <w:t>INFO</w:t>
            </w:r>
          </w:p>
        </w:tc>
        <w:tc>
          <w:tcPr>
            <w:tcW w:type="dxa" w:w="6480"/>
          </w:tcPr>
          <w:p>
            <w:r/>
            <w:r>
              <w:rPr>
                <w:sz w:val="20"/>
              </w:rPr>
              <w:t>Recipe must not change mid-batch</w:t>
            </w:r>
          </w:p>
        </w:tc>
      </w:tr>
    </w:tbl>
    <w:p>
      <w:pPr>
        <w:spacing w:before="280" w:after="80"/>
      </w:pPr>
      <w:r>
        <w:rPr>
          <w:b/>
          <w:color w:val="06768A"/>
          <w:sz w:val="28"/>
        </w:rPr>
        <w:t>5.4 Silo Rules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296"/>
            <w:shd w:val="clear" w:color="auto" w:fill="102A43"/>
          </w:tcPr>
          <w:p>
            <w:r/>
            <w:r>
              <w:rPr>
                <w:b/>
                <w:color w:val="FFFFFF"/>
                <w:sz w:val="20"/>
              </w:rPr>
              <w:t>ID</w:t>
            </w:r>
          </w:p>
        </w:tc>
        <w:tc>
          <w:tcPr>
            <w:tcW w:type="dxa" w:w="1440"/>
            <w:shd w:val="clear" w:color="auto" w:fill="102A43"/>
          </w:tcPr>
          <w:p>
            <w:r/>
            <w:r>
              <w:rPr>
                <w:b/>
                <w:color w:val="FFFFFF"/>
                <w:sz w:val="20"/>
              </w:rPr>
              <w:t>Severity</w:t>
            </w:r>
          </w:p>
        </w:tc>
        <w:tc>
          <w:tcPr>
            <w:tcW w:type="dxa" w:w="6480"/>
            <w:shd w:val="clear" w:color="auto" w:fill="102A43"/>
          </w:tcPr>
          <w:p>
            <w:r/>
            <w:r>
              <w:rPr>
                <w:b/>
                <w:color w:val="FFFFFF"/>
                <w:sz w:val="20"/>
              </w:rPr>
              <w:t>Description</w:t>
            </w:r>
          </w:p>
        </w:tc>
      </w:tr>
      <w:tr>
        <w:tc>
          <w:tcPr>
            <w:tcW w:type="dxa" w:w="1296"/>
          </w:tcPr>
          <w:p>
            <w:r/>
            <w:r>
              <w:rPr>
                <w:sz w:val="20"/>
              </w:rPr>
              <w:t>SLO-01</w:t>
            </w:r>
          </w:p>
        </w:tc>
        <w:tc>
          <w:tcPr>
            <w:tcW w:type="dxa" w:w="1440"/>
          </w:tcPr>
          <w:p>
            <w:r/>
            <w:r>
              <w:rPr>
                <w:b/>
                <w:color w:val="C0392B"/>
                <w:sz w:val="20"/>
              </w:rPr>
              <w:t>CRITICAL</w:t>
            </w:r>
          </w:p>
        </w:tc>
        <w:tc>
          <w:tcPr>
            <w:tcW w:type="dxa" w:w="6480"/>
          </w:tcPr>
          <w:p>
            <w:r/>
            <w:r>
              <w:rPr>
                <w:sz w:val="20"/>
              </w:rPr>
              <w:t>Noodle type must be in the valid set</w:t>
            </w:r>
          </w:p>
        </w:tc>
      </w:tr>
      <w:tr>
        <w:tc>
          <w:tcPr>
            <w:tcW w:type="dxa" w:w="1296"/>
          </w:tcPr>
          <w:p>
            <w:r/>
            <w:r>
              <w:rPr>
                <w:sz w:val="20"/>
              </w:rPr>
              <w:t>SLO-02</w:t>
            </w:r>
          </w:p>
        </w:tc>
        <w:tc>
          <w:tcPr>
            <w:tcW w:type="dxa" w:w="1440"/>
          </w:tcPr>
          <w:p>
            <w:r/>
            <w:r>
              <w:rPr>
                <w:b/>
                <w:color w:val="C0392B"/>
                <w:sz w:val="20"/>
              </w:rPr>
              <w:t>CRITICAL</w:t>
            </w:r>
          </w:p>
        </w:tc>
        <w:tc>
          <w:tcPr>
            <w:tcW w:type="dxa" w:w="6480"/>
          </w:tcPr>
          <w:p>
            <w:r/>
            <w:r>
              <w:rPr>
                <w:sz w:val="20"/>
              </w:rPr>
              <w:t>Bag-out detail must be CSV of 4 fields, or single ',' for idle</w:t>
            </w:r>
          </w:p>
        </w:tc>
      </w:tr>
      <w:tr>
        <w:tc>
          <w:tcPr>
            <w:tcW w:type="dxa" w:w="1296"/>
          </w:tcPr>
          <w:p>
            <w:r/>
            <w:r>
              <w:rPr>
                <w:sz w:val="20"/>
              </w:rPr>
              <w:t>SLO-03</w:t>
            </w:r>
          </w:p>
        </w:tc>
        <w:tc>
          <w:tcPr>
            <w:tcW w:type="dxa" w:w="1440"/>
          </w:tcPr>
          <w:p>
            <w:r/>
            <w:r>
              <w:rPr>
                <w:b/>
                <w:color w:val="C0392B"/>
                <w:sz w:val="20"/>
              </w:rPr>
              <w:t>CRITICAL</w:t>
            </w:r>
          </w:p>
        </w:tc>
        <w:tc>
          <w:tcPr>
            <w:tcW w:type="dxa" w:w="6480"/>
          </w:tcPr>
          <w:p>
            <w:r/>
            <w:r>
              <w:rPr>
                <w:sz w:val="20"/>
              </w:rPr>
              <w:t>Bag PV weight ≥ 0</w:t>
            </w:r>
          </w:p>
        </w:tc>
      </w:tr>
      <w:tr>
        <w:tc>
          <w:tcPr>
            <w:tcW w:type="dxa" w:w="1296"/>
          </w:tcPr>
          <w:p>
            <w:r/>
            <w:r>
              <w:rPr>
                <w:sz w:val="20"/>
              </w:rPr>
              <w:t>SLO-04</w:t>
            </w:r>
          </w:p>
        </w:tc>
        <w:tc>
          <w:tcPr>
            <w:tcW w:type="dxa" w:w="1440"/>
          </w:tcPr>
          <w:p>
            <w:r/>
            <w:r>
              <w:rPr>
                <w:b/>
                <w:color w:val="C98A0C"/>
                <w:sz w:val="20"/>
              </w:rPr>
              <w:t>WARNING</w:t>
            </w:r>
          </w:p>
        </w:tc>
        <w:tc>
          <w:tcPr>
            <w:tcW w:type="dxa" w:w="6480"/>
          </w:tcPr>
          <w:p>
            <w:r/>
            <w:r>
              <w:rPr>
                <w:sz w:val="20"/>
              </w:rPr>
              <w:t>Bag PV within 10 % of SP</w:t>
            </w:r>
          </w:p>
        </w:tc>
      </w:tr>
      <w:tr>
        <w:tc>
          <w:tcPr>
            <w:tcW w:type="dxa" w:w="1296"/>
          </w:tcPr>
          <w:p>
            <w:r/>
            <w:r>
              <w:rPr>
                <w:sz w:val="20"/>
              </w:rPr>
              <w:t>SLO-05</w:t>
            </w:r>
          </w:p>
        </w:tc>
        <w:tc>
          <w:tcPr>
            <w:tcW w:type="dxa" w:w="1440"/>
          </w:tcPr>
          <w:p>
            <w:r/>
            <w:r>
              <w:rPr>
                <w:b/>
                <w:color w:val="C98A0C"/>
                <w:sz w:val="20"/>
              </w:rPr>
              <w:t>WARNING</w:t>
            </w:r>
          </w:p>
        </w:tc>
        <w:tc>
          <w:tcPr>
            <w:tcW w:type="dxa" w:w="6480"/>
          </w:tcPr>
          <w:p>
            <w:r/>
            <w:r>
              <w:rPr>
                <w:sz w:val="20"/>
              </w:rPr>
              <w:t>Day-silo and Buffer-silo at same index agree on noodle type</w:t>
            </w:r>
          </w:p>
        </w:tc>
      </w:tr>
      <w:tr>
        <w:tc>
          <w:tcPr>
            <w:tcW w:type="dxa" w:w="1296"/>
          </w:tcPr>
          <w:p>
            <w:r/>
            <w:r>
              <w:rPr>
                <w:sz w:val="20"/>
              </w:rPr>
              <w:t>SLO-06</w:t>
            </w:r>
          </w:p>
        </w:tc>
        <w:tc>
          <w:tcPr>
            <w:tcW w:type="dxa" w:w="1440"/>
          </w:tcPr>
          <w:p>
            <w:r/>
            <w:r>
              <w:rPr>
                <w:b/>
                <w:color w:val="C98A0C"/>
                <w:sz w:val="20"/>
              </w:rPr>
              <w:t>WARNING</w:t>
            </w:r>
          </w:p>
        </w:tc>
        <w:tc>
          <w:tcPr>
            <w:tcW w:type="dxa" w:w="6480"/>
          </w:tcPr>
          <w:p>
            <w:r/>
            <w:r>
              <w:rPr>
                <w:sz w:val="20"/>
              </w:rPr>
              <w:t>Station barcode format (≥ 6 digits) when active</w:t>
            </w:r>
          </w:p>
        </w:tc>
      </w:tr>
      <w:tr>
        <w:tc>
          <w:tcPr>
            <w:tcW w:type="dxa" w:w="1296"/>
          </w:tcPr>
          <w:p>
            <w:r/>
            <w:r>
              <w:rPr>
                <w:sz w:val="20"/>
              </w:rPr>
              <w:t>SLO-07</w:t>
            </w:r>
          </w:p>
        </w:tc>
        <w:tc>
          <w:tcPr>
            <w:tcW w:type="dxa" w:w="1440"/>
          </w:tcPr>
          <w:p>
            <w:r/>
            <w:r>
              <w:rPr>
                <w:b/>
                <w:color w:val="C98A0C"/>
                <w:sz w:val="20"/>
              </w:rPr>
              <w:t>WARNING</w:t>
            </w:r>
          </w:p>
        </w:tc>
        <w:tc>
          <w:tcPr>
            <w:tcW w:type="dxa" w:w="6480"/>
          </w:tcPr>
          <w:p>
            <w:r/>
            <w:r>
              <w:rPr>
                <w:sz w:val="20"/>
              </w:rPr>
              <w:t>Warehouse barcode valid (weight &gt; 0, count 1–6, noodle in set)</w:t>
            </w:r>
          </w:p>
        </w:tc>
      </w:tr>
      <w:tr>
        <w:tc>
          <w:tcPr>
            <w:tcW w:type="dxa" w:w="1296"/>
          </w:tcPr>
          <w:p>
            <w:r/>
            <w:r>
              <w:rPr>
                <w:sz w:val="20"/>
              </w:rPr>
              <w:t>SLO-08</w:t>
            </w:r>
          </w:p>
        </w:tc>
        <w:tc>
          <w:tcPr>
            <w:tcW w:type="dxa" w:w="1440"/>
          </w:tcPr>
          <w:p>
            <w:r/>
            <w:r>
              <w:rPr>
                <w:color w:val="426BA5"/>
                <w:sz w:val="20"/>
              </w:rPr>
              <w:t>INFO</w:t>
            </w:r>
          </w:p>
        </w:tc>
        <w:tc>
          <w:tcPr>
            <w:tcW w:type="dxa" w:w="6480"/>
          </w:tcPr>
          <w:p>
            <w:r/>
            <w:r>
              <w:rPr>
                <w:sz w:val="20"/>
              </w:rPr>
              <w:t>Silo streaming gap &gt; 5 min (Shreeji exempt)</w:t>
            </w:r>
          </w:p>
        </w:tc>
      </w:tr>
      <w:tr>
        <w:tc>
          <w:tcPr>
            <w:tcW w:type="dxa" w:w="1296"/>
          </w:tcPr>
          <w:p>
            <w:r/>
            <w:r>
              <w:rPr>
                <w:sz w:val="20"/>
              </w:rPr>
              <w:t>SLO-09</w:t>
            </w:r>
          </w:p>
        </w:tc>
        <w:tc>
          <w:tcPr>
            <w:tcW w:type="dxa" w:w="1440"/>
          </w:tcPr>
          <w:p>
            <w:r/>
            <w:r>
              <w:rPr>
                <w:color w:val="426BA5"/>
                <w:sz w:val="20"/>
              </w:rPr>
              <w:t>INFO</w:t>
            </w:r>
          </w:p>
        </w:tc>
        <w:tc>
          <w:tcPr>
            <w:tcW w:type="dxa" w:w="6480"/>
          </w:tcPr>
          <w:p>
            <w:r/>
            <w:r>
              <w:rPr>
                <w:sz w:val="20"/>
              </w:rPr>
              <w:t>No silo should be the lone source of a unique noodle type</w:t>
            </w:r>
          </w:p>
        </w:tc>
      </w:tr>
    </w:tbl>
    <w:p>
      <w:pPr>
        <w:spacing w:before="280" w:after="80"/>
      </w:pPr>
      <w:r>
        <w:rPr>
          <w:b/>
          <w:color w:val="06768A"/>
          <w:sz w:val="28"/>
        </w:rPr>
        <w:t>5.5 Packaging Rules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296"/>
            <w:shd w:val="clear" w:color="auto" w:fill="102A43"/>
          </w:tcPr>
          <w:p>
            <w:r/>
            <w:r>
              <w:rPr>
                <w:b/>
                <w:color w:val="FFFFFF"/>
                <w:sz w:val="20"/>
              </w:rPr>
              <w:t>ID</w:t>
            </w:r>
          </w:p>
        </w:tc>
        <w:tc>
          <w:tcPr>
            <w:tcW w:type="dxa" w:w="1440"/>
            <w:shd w:val="clear" w:color="auto" w:fill="102A43"/>
          </w:tcPr>
          <w:p>
            <w:r/>
            <w:r>
              <w:rPr>
                <w:b/>
                <w:color w:val="FFFFFF"/>
                <w:sz w:val="20"/>
              </w:rPr>
              <w:t>Severity</w:t>
            </w:r>
          </w:p>
        </w:tc>
        <w:tc>
          <w:tcPr>
            <w:tcW w:type="dxa" w:w="6480"/>
            <w:shd w:val="clear" w:color="auto" w:fill="102A43"/>
          </w:tcPr>
          <w:p>
            <w:r/>
            <w:r>
              <w:rPr>
                <w:b/>
                <w:color w:val="FFFFFF"/>
                <w:sz w:val="20"/>
              </w:rPr>
              <w:t>Description</w:t>
            </w:r>
          </w:p>
        </w:tc>
      </w:tr>
      <w:tr>
        <w:tc>
          <w:tcPr>
            <w:tcW w:type="dxa" w:w="1296"/>
          </w:tcPr>
          <w:p>
            <w:r/>
            <w:r>
              <w:rPr>
                <w:sz w:val="20"/>
              </w:rPr>
              <w:t>PKG-01</w:t>
            </w:r>
          </w:p>
        </w:tc>
        <w:tc>
          <w:tcPr>
            <w:tcW w:type="dxa" w:w="1440"/>
          </w:tcPr>
          <w:p>
            <w:r/>
            <w:r>
              <w:rPr>
                <w:b/>
                <w:color w:val="C0392B"/>
                <w:sz w:val="20"/>
              </w:rPr>
              <w:t>CRITICAL</w:t>
            </w:r>
          </w:p>
        </w:tc>
        <w:tc>
          <w:tcPr>
            <w:tcW w:type="dxa" w:w="6480"/>
          </w:tcPr>
          <w:p>
            <w:r/>
            <w:r>
              <w:rPr>
                <w:sz w:val="20"/>
              </w:rPr>
              <w:t>Grams &gt; 0</w:t>
            </w:r>
          </w:p>
        </w:tc>
      </w:tr>
      <w:tr>
        <w:tc>
          <w:tcPr>
            <w:tcW w:type="dxa" w:w="1296"/>
          </w:tcPr>
          <w:p>
            <w:r/>
            <w:r>
              <w:rPr>
                <w:sz w:val="20"/>
              </w:rPr>
              <w:t>PKG-02</w:t>
            </w:r>
          </w:p>
        </w:tc>
        <w:tc>
          <w:tcPr>
            <w:tcW w:type="dxa" w:w="1440"/>
          </w:tcPr>
          <w:p>
            <w:r/>
            <w:r>
              <w:rPr>
                <w:b/>
                <w:color w:val="C0392B"/>
                <w:sz w:val="20"/>
              </w:rPr>
              <w:t>CRITICAL</w:t>
            </w:r>
          </w:p>
        </w:tc>
        <w:tc>
          <w:tcPr>
            <w:tcW w:type="dxa" w:w="6480"/>
          </w:tcPr>
          <w:p>
            <w:r/>
            <w:r>
              <w:rPr>
                <w:sz w:val="20"/>
              </w:rPr>
              <w:t>|grams − wrapper_target| ≤ 3 g</w:t>
            </w:r>
          </w:p>
        </w:tc>
      </w:tr>
      <w:tr>
        <w:tc>
          <w:tcPr>
            <w:tcW w:type="dxa" w:w="1296"/>
          </w:tcPr>
          <w:p>
            <w:r/>
            <w:r>
              <w:rPr>
                <w:sz w:val="20"/>
              </w:rPr>
              <w:t>PKG-03</w:t>
            </w:r>
          </w:p>
        </w:tc>
        <w:tc>
          <w:tcPr>
            <w:tcW w:type="dxa" w:w="1440"/>
          </w:tcPr>
          <w:p>
            <w:r/>
            <w:r>
              <w:rPr>
                <w:b/>
                <w:color w:val="C98A0C"/>
                <w:sz w:val="20"/>
              </w:rPr>
              <w:t>WARNING</w:t>
            </w:r>
          </w:p>
        </w:tc>
        <w:tc>
          <w:tcPr>
            <w:tcW w:type="dxa" w:w="6480"/>
          </w:tcPr>
          <w:p>
            <w:r/>
            <w:r>
              <w:rPr>
                <w:sz w:val="20"/>
              </w:rPr>
              <w:t>No sudden jump &gt; 5 g between polls</w:t>
            </w:r>
          </w:p>
        </w:tc>
      </w:tr>
      <w:tr>
        <w:tc>
          <w:tcPr>
            <w:tcW w:type="dxa" w:w="1296"/>
          </w:tcPr>
          <w:p>
            <w:r/>
            <w:r>
              <w:rPr>
                <w:sz w:val="20"/>
              </w:rPr>
              <w:t>PKG-04</w:t>
            </w:r>
          </w:p>
        </w:tc>
        <w:tc>
          <w:tcPr>
            <w:tcW w:type="dxa" w:w="1440"/>
          </w:tcPr>
          <w:p>
            <w:r/>
            <w:r>
              <w:rPr>
                <w:b/>
                <w:color w:val="C98A0C"/>
                <w:sz w:val="20"/>
              </w:rPr>
              <w:t>WARNING</w:t>
            </w:r>
          </w:p>
        </w:tc>
        <w:tc>
          <w:tcPr>
            <w:tcW w:type="dxa" w:w="6480"/>
          </w:tcPr>
          <w:p>
            <w:r/>
            <w:r>
              <w:rPr>
                <w:sz w:val="20"/>
              </w:rPr>
              <w:t>Same-target peers in cascade within 3 g spread</w:t>
            </w:r>
          </w:p>
        </w:tc>
      </w:tr>
      <w:tr>
        <w:tc>
          <w:tcPr>
            <w:tcW w:type="dxa" w:w="1296"/>
          </w:tcPr>
          <w:p>
            <w:r/>
            <w:r>
              <w:rPr>
                <w:sz w:val="20"/>
              </w:rPr>
              <w:t>PKG-05</w:t>
            </w:r>
          </w:p>
        </w:tc>
        <w:tc>
          <w:tcPr>
            <w:tcW w:type="dxa" w:w="1440"/>
          </w:tcPr>
          <w:p>
            <w:r/>
            <w:r>
              <w:rPr>
                <w:b/>
                <w:color w:val="C98A0C"/>
                <w:sz w:val="20"/>
              </w:rPr>
              <w:t>WARNING</w:t>
            </w:r>
          </w:p>
        </w:tc>
        <w:tc>
          <w:tcPr>
            <w:tcW w:type="dxa" w:w="6480"/>
          </w:tcPr>
          <w:p>
            <w:r/>
            <w:r>
              <w:rPr>
                <w:sz w:val="20"/>
              </w:rPr>
              <w:t>MachineId matches WRAPPER_MACHINE_MAP expectation</w:t>
            </w:r>
          </w:p>
        </w:tc>
      </w:tr>
      <w:tr>
        <w:tc>
          <w:tcPr>
            <w:tcW w:type="dxa" w:w="1296"/>
          </w:tcPr>
          <w:p>
            <w:r/>
            <w:r>
              <w:rPr>
                <w:sz w:val="20"/>
              </w:rPr>
              <w:t>PKG-06</w:t>
            </w:r>
          </w:p>
        </w:tc>
        <w:tc>
          <w:tcPr>
            <w:tcW w:type="dxa" w:w="1440"/>
          </w:tcPr>
          <w:p>
            <w:r/>
            <w:r>
              <w:rPr>
                <w:b/>
                <w:color w:val="C98A0C"/>
                <w:sz w:val="20"/>
              </w:rPr>
              <w:t>WARNING</w:t>
            </w:r>
          </w:p>
        </w:tc>
        <w:tc>
          <w:tcPr>
            <w:tcW w:type="dxa" w:w="6480"/>
          </w:tcPr>
          <w:p>
            <w:r/>
            <w:r>
              <w:rPr>
                <w:sz w:val="20"/>
              </w:rPr>
              <w:t>Value not frozen for &gt; 5 identical consecutive polls</w:t>
            </w:r>
          </w:p>
        </w:tc>
      </w:tr>
      <w:tr>
        <w:tc>
          <w:tcPr>
            <w:tcW w:type="dxa" w:w="1296"/>
          </w:tcPr>
          <w:p>
            <w:r/>
            <w:r>
              <w:rPr>
                <w:sz w:val="20"/>
              </w:rPr>
              <w:t>PKG-07</w:t>
            </w:r>
          </w:p>
        </w:tc>
        <w:tc>
          <w:tcPr>
            <w:tcW w:type="dxa" w:w="1440"/>
          </w:tcPr>
          <w:p>
            <w:r/>
            <w:r>
              <w:rPr>
                <w:color w:val="426BA5"/>
                <w:sz w:val="20"/>
              </w:rPr>
              <w:t>INFO</w:t>
            </w:r>
          </w:p>
        </w:tc>
        <w:tc>
          <w:tcPr>
            <w:tcW w:type="dxa" w:w="6480"/>
          </w:tcPr>
          <w:p>
            <w:r/>
            <w:r>
              <w:rPr>
                <w:sz w:val="20"/>
              </w:rPr>
              <w:t>Wrapper gap &gt; 6 min</w:t>
            </w:r>
          </w:p>
        </w:tc>
      </w:tr>
    </w:tbl>
    <w:p>
      <w:pPr>
        <w:spacing w:before="280" w:after="80"/>
      </w:pPr>
      <w:r>
        <w:rPr>
          <w:b/>
          <w:color w:val="06768A"/>
          <w:sz w:val="28"/>
        </w:rPr>
        <w:t>5.6 Status Buckets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584"/>
            <w:shd w:val="clear" w:color="auto" w:fill="102A43"/>
          </w:tcPr>
          <w:p>
            <w:r/>
            <w:r>
              <w:rPr>
                <w:b/>
                <w:color w:val="FFFFFF"/>
                <w:sz w:val="20"/>
              </w:rPr>
              <w:t>Bucket</w:t>
            </w:r>
          </w:p>
        </w:tc>
        <w:tc>
          <w:tcPr>
            <w:tcW w:type="dxa" w:w="5760"/>
            <w:shd w:val="clear" w:color="auto" w:fill="102A43"/>
          </w:tcPr>
          <w:p>
            <w:r/>
            <w:r>
              <w:rPr>
                <w:b/>
                <w:color w:val="FFFFFF"/>
                <w:sz w:val="20"/>
              </w:rPr>
              <w:t>Underlying statuses</w:t>
            </w:r>
          </w:p>
        </w:tc>
        <w:tc>
          <w:tcPr>
            <w:tcW w:type="dxa" w:w="1872"/>
            <w:shd w:val="clear" w:color="auto" w:fill="102A43"/>
          </w:tcPr>
          <w:p>
            <w:r/>
            <w:r>
              <w:rPr>
                <w:b/>
                <w:color w:val="FFFFFF"/>
                <w:sz w:val="20"/>
              </w:rPr>
              <w:t>Colour</w:t>
            </w:r>
          </w:p>
        </w:tc>
      </w:tr>
      <w:tr>
        <w:tc>
          <w:tcPr>
            <w:tcW w:type="dxa" w:w="1584"/>
          </w:tcPr>
          <w:p>
            <w:r/>
            <w:r>
              <w:rPr>
                <w:sz w:val="20"/>
              </w:rPr>
              <w:t>GOOD</w:t>
            </w:r>
          </w:p>
        </w:tc>
        <w:tc>
          <w:tcPr>
            <w:tcW w:type="dxa" w:w="5760"/>
          </w:tcPr>
          <w:p>
            <w:r/>
            <w:r>
              <w:rPr>
                <w:sz w:val="20"/>
              </w:rPr>
              <w:t>OK, NORMAL, COMPLETE, IN-SPEC, ACTIVE, SCANNED</w:t>
            </w:r>
          </w:p>
        </w:tc>
        <w:tc>
          <w:tcPr>
            <w:tcW w:type="dxa" w:w="1872"/>
          </w:tcPr>
          <w:p>
            <w:r/>
            <w:r>
              <w:rPr>
                <w:sz w:val="20"/>
              </w:rPr>
              <w:t>Green</w:t>
            </w:r>
          </w:p>
        </w:tc>
      </w:tr>
      <w:tr>
        <w:tc>
          <w:tcPr>
            <w:tcW w:type="dxa" w:w="1584"/>
          </w:tcPr>
          <w:p>
            <w:r/>
            <w:r>
              <w:rPr>
                <w:sz w:val="20"/>
              </w:rPr>
              <w:t>WARNING</w:t>
            </w:r>
          </w:p>
        </w:tc>
        <w:tc>
          <w:tcPr>
            <w:tcW w:type="dxa" w:w="5760"/>
          </w:tcPr>
          <w:p>
            <w:r/>
            <w:r>
              <w:rPr>
                <w:sz w:val="20"/>
              </w:rPr>
              <w:t>ALERT, WARNING, DOSING</w:t>
            </w:r>
          </w:p>
        </w:tc>
        <w:tc>
          <w:tcPr>
            <w:tcW w:type="dxa" w:w="1872"/>
          </w:tcPr>
          <w:p>
            <w:r/>
            <w:r>
              <w:rPr>
                <w:sz w:val="20"/>
              </w:rPr>
              <w:t>Yellow</w:t>
            </w:r>
          </w:p>
        </w:tc>
      </w:tr>
      <w:tr>
        <w:tc>
          <w:tcPr>
            <w:tcW w:type="dxa" w:w="1584"/>
          </w:tcPr>
          <w:p>
            <w:r/>
            <w:r>
              <w:rPr>
                <w:sz w:val="20"/>
              </w:rPr>
              <w:t>CRITICAL</w:t>
            </w:r>
          </w:p>
        </w:tc>
        <w:tc>
          <w:tcPr>
            <w:tcW w:type="dxa" w:w="5760"/>
          </w:tcPr>
          <w:p>
            <w:r/>
            <w:r>
              <w:rPr>
                <w:sz w:val="20"/>
              </w:rPr>
              <w:t>SEVERE, CRITICAL, OUT-OF-SPEC, FROZEN, OFFLINE</w:t>
            </w:r>
          </w:p>
        </w:tc>
        <w:tc>
          <w:tcPr>
            <w:tcW w:type="dxa" w:w="1872"/>
          </w:tcPr>
          <w:p>
            <w:r/>
            <w:r>
              <w:rPr>
                <w:sz w:val="20"/>
              </w:rPr>
              <w:t>Pink</w:t>
            </w:r>
          </w:p>
        </w:tc>
      </w:tr>
      <w:tr>
        <w:tc>
          <w:tcPr>
            <w:tcW w:type="dxa" w:w="1584"/>
          </w:tcPr>
          <w:p>
            <w:r/>
            <w:r>
              <w:rPr>
                <w:sz w:val="20"/>
              </w:rPr>
              <w:t>IDLE</w:t>
            </w:r>
          </w:p>
        </w:tc>
        <w:tc>
          <w:tcPr>
            <w:tcW w:type="dxa" w:w="5760"/>
          </w:tcPr>
          <w:p>
            <w:r/>
            <w:r>
              <w:rPr>
                <w:sz w:val="20"/>
              </w:rPr>
              <w:t>IDLE</w:t>
            </w:r>
          </w:p>
        </w:tc>
        <w:tc>
          <w:tcPr>
            <w:tcW w:type="dxa" w:w="1872"/>
          </w:tcPr>
          <w:p>
            <w:r/>
            <w:r>
              <w:rPr>
                <w:sz w:val="20"/>
              </w:rPr>
              <w:t>Muted</w:t>
            </w:r>
          </w:p>
        </w:tc>
      </w:tr>
    </w:tbl>
    <w:p>
      <w:r>
        <w:br w:type="page"/>
      </w:r>
    </w:p>
    <w:p>
      <w:pPr>
        <w:spacing w:before="400" w:after="120"/>
      </w:pPr>
      <w:r>
        <w:rPr>
          <w:b/>
          <w:color w:val="102A43"/>
          <w:sz w:val="36"/>
        </w:rPr>
        <w:t>6. Batch Health Methodology</w:t>
      </w:r>
    </w:p>
    <w:p>
      <w:pPr>
        <w:spacing w:after="120"/>
      </w:pPr>
      <w:r>
        <w:rPr>
          <w:b w:val="0"/>
          <w:i w:val="0"/>
        </w:rPr>
        <w:t>ZoneAggregatorService.computeBatchHealth() groups every row by a zone-specific batchKey:</w:t>
      </w:r>
    </w:p>
    <w:p>
      <w:pPr>
        <w:pStyle w:val="ListBullet"/>
      </w:pPr>
      <w:r>
        <w:t>PSM:  PSM:&lt;plant&gt;:&lt;batchId&gt;:&lt;recipe&gt;</w:t>
      </w:r>
    </w:p>
    <w:p>
      <w:pPr>
        <w:pStyle w:val="ListBullet"/>
      </w:pPr>
      <w:r>
        <w:t>Sigma:  SIGMA:&lt;mixer&gt;:&lt;batchCounter&gt;</w:t>
      </w:r>
    </w:p>
    <w:p>
      <w:pPr>
        <w:pStyle w:val="ListBullet"/>
      </w:pPr>
      <w:r>
        <w:t>Silo:  SILO:&lt;barcode&gt; if known, else SILO:&lt;siloId&gt; or SILO:&lt;stationId&gt;</w:t>
      </w:r>
    </w:p>
    <w:p>
      <w:pPr>
        <w:pStyle w:val="ListBullet"/>
      </w:pPr>
      <w:r>
        <w:t>Packaging:  PACKAGING:&lt;cascade&gt;</w:t>
      </w:r>
    </w:p>
    <w:p>
      <w:pPr>
        <w:spacing w:after="120"/>
      </w:pPr>
      <w:r>
        <w:rPr>
          <w:b/>
          <w:i w:val="0"/>
        </w:rPr>
        <w:t>Score = passing / total × 100, but only rows with dataAvailable = true count. Idle barcodes, noodle-name labels, and zero-rework heartbeats don't penalise or credit the batch — only rule-applicable telemetry does.</w:t>
      </w:r>
    </w:p>
    <w:p>
      <w:pPr>
        <w:spacing w:after="120"/>
      </w:pPr>
      <w:r>
        <w:rPr>
          <w:b w:val="0"/>
          <w:i w:val="0"/>
        </w:rPr>
        <w:t>A score ≥ 95 % renders green; ≥ 80 % yellow; otherwise pink, with the underlying passing / total fraction tooltipped on hover.</w:t>
      </w:r>
    </w:p>
    <w:p>
      <w:r>
        <w:br w:type="page"/>
      </w:r>
    </w:p>
    <w:p>
      <w:pPr>
        <w:spacing w:before="400" w:after="120"/>
      </w:pPr>
      <w:r>
        <w:rPr>
          <w:b/>
          <w:color w:val="102A43"/>
          <w:sz w:val="36"/>
        </w:rPr>
        <w:t>7. Dashboard Walkthrough</w:t>
      </w:r>
    </w:p>
    <w:p>
      <w:pPr>
        <w:spacing w:after="120"/>
      </w:pPr>
      <w:r>
        <w:rPr>
          <w:b w:val="0"/>
          <w:i w:val="0"/>
        </w:rPr>
        <w:t>The UI is one Angular page rendered around the UnifiedTagsTableComponent. The sticky header packages all of the discovery controls together so the user never loses context while scrolling 4,000+ rows.</w:t>
      </w:r>
    </w:p>
    <w:p>
      <w:pPr>
        <w:spacing w:before="280" w:after="80"/>
      </w:pPr>
      <w:r>
        <w:rPr>
          <w:b/>
          <w:color w:val="06768A"/>
          <w:sz w:val="28"/>
        </w:rPr>
        <w:t>7.1 Sticky Title Bar</w:t>
      </w:r>
    </w:p>
    <w:p>
      <w:pPr>
        <w:jc w:val="center"/>
      </w:pPr>
      <w:r>
        <w:drawing>
          <wp:inline xmlns:a="http://schemas.openxmlformats.org/drawingml/2006/main" xmlns:pic="http://schemas.openxmlformats.org/drawingml/2006/picture">
            <wp:extent cx="5852160" cy="792480"/>
            <wp:docPr id="1" name="Picture 1"/>
            <wp:cNvGraphicFramePr>
              <a:graphicFrameLocks noChangeAspect="1"/>
            </wp:cNvGraphicFramePr>
            <a:graphic>
              <a:graphicData uri="http://schemas.openxmlformats.org/drawingml/2006/picture">
                <pic:pic>
                  <pic:nvPicPr>
                    <pic:cNvPr id="0" name="01-title-bar.png"/>
                    <pic:cNvPicPr/>
                  </pic:nvPicPr>
                  <pic:blipFill>
                    <a:blip r:embed="rId9"/>
                    <a:stretch>
                      <a:fillRect/>
                    </a:stretch>
                  </pic:blipFill>
                  <pic:spPr>
                    <a:xfrm>
                      <a:off x="0" y="0"/>
                      <a:ext cx="5852160" cy="792480"/>
                    </a:xfrm>
                    <a:prstGeom prst="rect"/>
                  </pic:spPr>
                </pic:pic>
              </a:graphicData>
            </a:graphic>
          </wp:inline>
        </w:drawing>
      </w:r>
    </w:p>
    <w:p>
      <w:pPr>
        <w:jc w:val="center"/>
      </w:pPr>
      <w:r>
        <w:rPr>
          <w:i/>
          <w:color w:val="6B7280"/>
          <w:sz w:val="18"/>
        </w:rPr>
        <w:t>Figure — Top sticky header — title, row/batch counter, sort indicator, Data-only toggle, Zone &amp; Status dropdowns, and the Date range row with TODAY / 24H / 7D / 30D / ALL presets.</w:t>
      </w:r>
    </w:p>
    <w:p>
      <w:pPr>
        <w:spacing w:after="120"/>
      </w:pPr>
      <w:r>
        <w:rPr>
          <w:b w:val="0"/>
          <w:i w:val="0"/>
        </w:rPr>
        <w:t>Row 1 carries the brand, the live row/batch count, the active sort indicator, the Data only toggle, the Zone dropdown, and the Status dropdown. Row 2 is the Date range with anchored presets that work on historical workbooks (anchored on the newest timestamp present, not "now"). Below that sits the collapsible ZONE FILTERS panel.</w:t>
      </w:r>
    </w:p>
    <w:p>
      <w:pPr>
        <w:spacing w:before="280" w:after="80"/>
      </w:pPr>
      <w:r>
        <w:rPr>
          <w:b/>
          <w:color w:val="06768A"/>
          <w:sz w:val="28"/>
        </w:rPr>
        <w:t>7.2 Zone Filter Cards (collapsible)</w:t>
      </w:r>
    </w:p>
    <w:p>
      <w:pPr>
        <w:jc w:val="center"/>
      </w:pPr>
      <w:r>
        <w:drawing>
          <wp:inline xmlns:a="http://schemas.openxmlformats.org/drawingml/2006/main" xmlns:pic="http://schemas.openxmlformats.org/drawingml/2006/picture">
            <wp:extent cx="5852160" cy="1456944"/>
            <wp:docPr id="2" name="Picture 2"/>
            <wp:cNvGraphicFramePr>
              <a:graphicFrameLocks noChangeAspect="1"/>
            </wp:cNvGraphicFramePr>
            <a:graphic>
              <a:graphicData uri="http://schemas.openxmlformats.org/drawingml/2006/picture">
                <pic:pic>
                  <pic:nvPicPr>
                    <pic:cNvPr id="0" name="02-zone-filters.png"/>
                    <pic:cNvPicPr/>
                  </pic:nvPicPr>
                  <pic:blipFill>
                    <a:blip r:embed="rId10"/>
                    <a:stretch>
                      <a:fillRect/>
                    </a:stretch>
                  </pic:blipFill>
                  <pic:spPr>
                    <a:xfrm>
                      <a:off x="0" y="0"/>
                      <a:ext cx="5852160" cy="1456944"/>
                    </a:xfrm>
                    <a:prstGeom prst="rect"/>
                  </pic:spPr>
                </pic:pic>
              </a:graphicData>
            </a:graphic>
          </wp:inline>
        </w:drawing>
      </w:r>
    </w:p>
    <w:p>
      <w:pPr>
        <w:jc w:val="center"/>
      </w:pPr>
      <w:r>
        <w:rPr>
          <w:i/>
          <w:color w:val="6B7280"/>
          <w:sz w:val="18"/>
        </w:rPr>
        <w:t>Figure — Zone filter panel expanded — each zone gets its own colour-coded card with column-level filters (Plant, Recipe, RM, Mixer, Station, Noodle, Cascade, Tag Type).</w:t>
      </w:r>
    </w:p>
    <w:p>
      <w:pPr>
        <w:spacing w:after="120"/>
      </w:pPr>
      <w:r>
        <w:rPr>
          <w:b w:val="0"/>
          <w:i w:val="0"/>
        </w:rPr>
        <w:t>Each zone gets its own column-filter card, colour-coded by zone identity (PSM cyan, Sigma purple, Silo yellow, Packaging orange). Cards only appear when the parent Zone dropdown includes them. An "X active" counter and a RESET ALL button show in the header when any selection is non-default.</w:t>
      </w:r>
    </w:p>
    <w:p>
      <w:pPr>
        <w:spacing w:before="280" w:after="80"/>
      </w:pPr>
      <w:r>
        <w:rPr>
          <w:b/>
          <w:color w:val="06768A"/>
          <w:sz w:val="28"/>
        </w:rPr>
        <w:t>7.3 Unified Table</w:t>
      </w:r>
    </w:p>
    <w:p>
      <w:pPr>
        <w:jc w:val="center"/>
      </w:pPr>
      <w:r>
        <w:drawing>
          <wp:inline xmlns:a="http://schemas.openxmlformats.org/drawingml/2006/main" xmlns:pic="http://schemas.openxmlformats.org/drawingml/2006/picture">
            <wp:extent cx="5852160" cy="3291840"/>
            <wp:docPr id="3" name="Picture 3"/>
            <wp:cNvGraphicFramePr>
              <a:graphicFrameLocks noChangeAspect="1"/>
            </wp:cNvGraphicFramePr>
            <a:graphic>
              <a:graphicData uri="http://schemas.openxmlformats.org/drawingml/2006/picture">
                <pic:pic>
                  <pic:nvPicPr>
                    <pic:cNvPr id="0" name="03-unified-table.png"/>
                    <pic:cNvPicPr/>
                  </pic:nvPicPr>
                  <pic:blipFill>
                    <a:blip r:embed="rId11"/>
                    <a:stretch>
                      <a:fillRect/>
                    </a:stretch>
                  </pic:blipFill>
                  <pic:spPr>
                    <a:xfrm>
                      <a:off x="0" y="0"/>
                      <a:ext cx="5852160" cy="3291840"/>
                    </a:xfrm>
                    <a:prstGeom prst="rect"/>
                  </pic:spPr>
                </pic:pic>
              </a:graphicData>
            </a:graphic>
          </wp:inline>
        </w:drawing>
      </w:r>
    </w:p>
    <w:p>
      <w:pPr>
        <w:jc w:val="center"/>
      </w:pPr>
      <w:r>
        <w:rPr>
          <w:i/>
          <w:color w:val="6B7280"/>
          <w:sz w:val="18"/>
        </w:rPr>
        <w:t>Figure — Sortable unified table with coloured zone &amp; status chips, deviation gradient, and batch-health pill.</w:t>
      </w:r>
    </w:p>
    <w:p>
      <w:pPr>
        <w:spacing w:after="120"/>
      </w:pPr>
      <w:r>
        <w:rPr>
          <w:b w:val="0"/>
          <w:i w:val="0"/>
        </w:rPr>
        <w:t>Thirteen columns: ZONE · TAG / ENTITY · MACHINE · BATCH · RECIPE · RM / NOODLE · STATUS · SP · PV · DEV % · BATCH HEALTH · LATEST VALUE · TS. Every header except LATEST VALUE is sortable; numeric/date columns toggle desc-first, text columns asc-first. Deviation % is colour-graded (≤ 5 % green, ≤ 10 % yellow, otherwise pink). Batch health renders as a coloured pill with the passing / total fraction beside it.</w:t>
      </w:r>
    </w:p>
    <w:p>
      <w:pPr>
        <w:spacing w:before="280" w:after="80"/>
      </w:pPr>
      <w:r>
        <w:rPr>
          <w:b/>
          <w:color w:val="06768A"/>
          <w:sz w:val="28"/>
        </w:rPr>
        <w:t>7.4 Tag Detail Drawer</w:t>
      </w:r>
    </w:p>
    <w:p>
      <w:pPr>
        <w:jc w:val="center"/>
      </w:pPr>
      <w:r>
        <w:drawing>
          <wp:inline xmlns:a="http://schemas.openxmlformats.org/drawingml/2006/main" xmlns:pic="http://schemas.openxmlformats.org/drawingml/2006/picture">
            <wp:extent cx="5852160" cy="3291840"/>
            <wp:docPr id="4" name="Picture 4"/>
            <wp:cNvGraphicFramePr>
              <a:graphicFrameLocks noChangeAspect="1"/>
            </wp:cNvGraphicFramePr>
            <a:graphic>
              <a:graphicData uri="http://schemas.openxmlformats.org/drawingml/2006/picture">
                <pic:pic>
                  <pic:nvPicPr>
                    <pic:cNvPr id="0" name="04-tag-drawer.png"/>
                    <pic:cNvPicPr/>
                  </pic:nvPicPr>
                  <pic:blipFill>
                    <a:blip r:embed="rId12"/>
                    <a:stretch>
                      <a:fillRect/>
                    </a:stretch>
                  </pic:blipFill>
                  <pic:spPr>
                    <a:xfrm>
                      <a:off x="0" y="0"/>
                      <a:ext cx="5852160" cy="3291840"/>
                    </a:xfrm>
                    <a:prstGeom prst="rect"/>
                  </pic:spPr>
                </pic:pic>
              </a:graphicData>
            </a:graphic>
          </wp:inline>
        </w:drawing>
      </w:r>
    </w:p>
    <w:p>
      <w:pPr>
        <w:jc w:val="center"/>
      </w:pPr>
      <w:r>
        <w:rPr>
          <w:i/>
          <w:color w:val="6B7280"/>
          <w:sz w:val="18"/>
        </w:rPr>
        <w:t>Figure — Right-side drawer with the full parsed payload, active rule failures, and (for PSM) the last 10 PV readings as a sparkline.</w:t>
      </w:r>
    </w:p>
    <w:p>
      <w:pPr>
        <w:spacing w:after="120"/>
      </w:pPr>
      <w:r>
        <w:rPr>
          <w:b w:val="0"/>
          <w:i w:val="0"/>
        </w:rPr>
        <w:t>Clicking any row opens a fixed drawer containing the full payload, the parsed schema, the active rule failures (if any), and — for PSM rows — the last 10 PV readings rendered as a mini history chart. The drawer reads from the parent component's allRows signal, so cross-batch comparison is immediate.</w:t>
      </w:r>
    </w:p>
    <w:p>
      <w:pPr>
        <w:spacing w:before="280" w:after="80"/>
      </w:pPr>
      <w:r>
        <w:rPr>
          <w:b/>
          <w:color w:val="06768A"/>
          <w:sz w:val="28"/>
        </w:rPr>
        <w:t>7.5 Dark / Light Theming</w:t>
      </w:r>
    </w:p>
    <w:p>
      <w:pPr>
        <w:jc w:val="center"/>
      </w:pPr>
      <w:r>
        <w:drawing>
          <wp:inline xmlns:a="http://schemas.openxmlformats.org/drawingml/2006/main" xmlns:pic="http://schemas.openxmlformats.org/drawingml/2006/picture">
            <wp:extent cx="5852160" cy="1642498"/>
            <wp:docPr id="5" name="Picture 5"/>
            <wp:cNvGraphicFramePr>
              <a:graphicFrameLocks noChangeAspect="1"/>
            </wp:cNvGraphicFramePr>
            <a:graphic>
              <a:graphicData uri="http://schemas.openxmlformats.org/drawingml/2006/picture">
                <pic:pic>
                  <pic:nvPicPr>
                    <pic:cNvPr id="0" name="05-theme.png"/>
                    <pic:cNvPicPr/>
                  </pic:nvPicPr>
                  <pic:blipFill>
                    <a:blip r:embed="rId13"/>
                    <a:stretch>
                      <a:fillRect/>
                    </a:stretch>
                  </pic:blipFill>
                  <pic:spPr>
                    <a:xfrm>
                      <a:off x="0" y="0"/>
                      <a:ext cx="5852160" cy="1642498"/>
                    </a:xfrm>
                    <a:prstGeom prst="rect"/>
                  </pic:spPr>
                </pic:pic>
              </a:graphicData>
            </a:graphic>
          </wp:inline>
        </w:drawing>
      </w:r>
    </w:p>
    <w:p>
      <w:pPr>
        <w:jc w:val="center"/>
      </w:pPr>
      <w:r>
        <w:rPr>
          <w:i/>
          <w:color w:val="6B7280"/>
          <w:sz w:val="18"/>
        </w:rPr>
        <w:t>Figure — Theme switching is signal-driven — every component's [ngStyle] binding re-evaluates without a route reload.</w:t>
      </w:r>
    </w:p>
    <w:p>
      <w:r>
        <w:br w:type="page"/>
      </w:r>
    </w:p>
    <w:p>
      <w:pPr>
        <w:spacing w:before="400" w:after="120"/>
      </w:pPr>
      <w:r>
        <w:rPr>
          <w:b/>
          <w:color w:val="102A43"/>
          <w:sz w:val="36"/>
        </w:rPr>
        <w:t>8. Predictive Layer (ONNX)</w:t>
      </w:r>
    </w:p>
    <w:p>
      <w:pPr>
        <w:spacing w:after="120"/>
      </w:pPr>
      <w:r>
        <w:rPr>
          <w:b w:val="0"/>
          <w:i w:val="0"/>
        </w:rPr>
        <w:t>backend/Models/onnx/ ships six trained models behind OnnxRiskPredictor:</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880"/>
            <w:shd w:val="clear" w:color="auto" w:fill="102A43"/>
          </w:tcPr>
          <w:p>
            <w:r/>
            <w:r>
              <w:rPr>
                <w:b/>
                <w:color w:val="FFFFFF"/>
                <w:sz w:val="20"/>
              </w:rPr>
              <w:t>Model</w:t>
            </w:r>
          </w:p>
        </w:tc>
        <w:tc>
          <w:tcPr>
            <w:tcW w:type="dxa" w:w="5472"/>
            <w:shd w:val="clear" w:color="auto" w:fill="102A43"/>
          </w:tcPr>
          <w:p>
            <w:r/>
            <w:r>
              <w:rPr>
                <w:b/>
                <w:color w:val="FFFFFF"/>
                <w:sz w:val="20"/>
              </w:rPr>
              <w:t>Purpose</w:t>
            </w:r>
          </w:p>
        </w:tc>
        <w:tc>
          <w:tcPr>
            <w:tcW w:type="dxa" w:w="1872"/>
            <w:shd w:val="clear" w:color="auto" w:fill="102A43"/>
          </w:tcPr>
          <w:p>
            <w:r/>
            <w:r>
              <w:rPr>
                <w:b/>
                <w:color w:val="FFFFFF"/>
                <w:sz w:val="20"/>
              </w:rPr>
              <w:t>Output</w:t>
            </w:r>
          </w:p>
        </w:tc>
      </w:tr>
      <w:tr>
        <w:tc>
          <w:tcPr>
            <w:tcW w:type="dxa" w:w="2880"/>
          </w:tcPr>
          <w:p>
            <w:r/>
            <w:r>
              <w:rPr>
                <w:sz w:val="20"/>
              </w:rPr>
              <w:t>spike_5m.onnx</w:t>
            </w:r>
          </w:p>
        </w:tc>
        <w:tc>
          <w:tcPr>
            <w:tcW w:type="dxa" w:w="5472"/>
          </w:tcPr>
          <w:p>
            <w:r/>
            <w:r>
              <w:rPr>
                <w:sz w:val="20"/>
              </w:rPr>
              <w:t>P(weight-spike within 5 min)</w:t>
            </w:r>
          </w:p>
        </w:tc>
        <w:tc>
          <w:tcPr>
            <w:tcW w:type="dxa" w:w="1872"/>
          </w:tcPr>
          <w:p>
            <w:r/>
            <w:r>
              <w:rPr>
                <w:sz w:val="20"/>
              </w:rPr>
              <w:t>probability</w:t>
            </w:r>
          </w:p>
        </w:tc>
      </w:tr>
      <w:tr>
        <w:tc>
          <w:tcPr>
            <w:tcW w:type="dxa" w:w="2880"/>
          </w:tcPr>
          <w:p>
            <w:r/>
            <w:r>
              <w:rPr>
                <w:sz w:val="20"/>
              </w:rPr>
              <w:t>spike_10m.onnx</w:t>
            </w:r>
          </w:p>
        </w:tc>
        <w:tc>
          <w:tcPr>
            <w:tcW w:type="dxa" w:w="5472"/>
          </w:tcPr>
          <w:p>
            <w:r/>
            <w:r>
              <w:rPr>
                <w:sz w:val="20"/>
              </w:rPr>
              <w:t>P(weight-spike within 10 min)</w:t>
            </w:r>
          </w:p>
        </w:tc>
        <w:tc>
          <w:tcPr>
            <w:tcW w:type="dxa" w:w="1872"/>
          </w:tcPr>
          <w:p>
            <w:r/>
            <w:r>
              <w:rPr>
                <w:sz w:val="20"/>
              </w:rPr>
              <w:t>probability</w:t>
            </w:r>
          </w:p>
        </w:tc>
      </w:tr>
      <w:tr>
        <w:tc>
          <w:tcPr>
            <w:tcW w:type="dxa" w:w="2880"/>
          </w:tcPr>
          <w:p>
            <w:r/>
            <w:r>
              <w:rPr>
                <w:sz w:val="20"/>
              </w:rPr>
              <w:t>spike_15m.onnx</w:t>
            </w:r>
          </w:p>
        </w:tc>
        <w:tc>
          <w:tcPr>
            <w:tcW w:type="dxa" w:w="5472"/>
          </w:tcPr>
          <w:p>
            <w:r/>
            <w:r>
              <w:rPr>
                <w:sz w:val="20"/>
              </w:rPr>
              <w:t>P(weight-spike within 15 min)</w:t>
            </w:r>
          </w:p>
        </w:tc>
        <w:tc>
          <w:tcPr>
            <w:tcW w:type="dxa" w:w="1872"/>
          </w:tcPr>
          <w:p>
            <w:r/>
            <w:r>
              <w:rPr>
                <w:sz w:val="20"/>
              </w:rPr>
              <w:t>probability</w:t>
            </w:r>
          </w:p>
        </w:tc>
      </w:tr>
      <w:tr>
        <w:tc>
          <w:tcPr>
            <w:tcW w:type="dxa" w:w="2880"/>
          </w:tcPr>
          <w:p>
            <w:r/>
            <w:r>
              <w:rPr>
                <w:sz w:val="20"/>
              </w:rPr>
              <w:t>spike_within_window.onnx</w:t>
            </w:r>
          </w:p>
        </w:tc>
        <w:tc>
          <w:tcPr>
            <w:tcW w:type="dxa" w:w="5472"/>
          </w:tcPr>
          <w:p>
            <w:r/>
            <w:r>
              <w:rPr>
                <w:sz w:val="20"/>
              </w:rPr>
              <w:t>P(spike anywhere in next 15 min)</w:t>
            </w:r>
          </w:p>
        </w:tc>
        <w:tc>
          <w:tcPr>
            <w:tcW w:type="dxa" w:w="1872"/>
          </w:tcPr>
          <w:p>
            <w:r/>
            <w:r>
              <w:rPr>
                <w:sz w:val="20"/>
              </w:rPr>
              <w:t>probability</w:t>
            </w:r>
          </w:p>
        </w:tc>
      </w:tr>
      <w:tr>
        <w:tc>
          <w:tcPr>
            <w:tcW w:type="dxa" w:w="2880"/>
          </w:tcPr>
          <w:p>
            <w:r/>
            <w:r>
              <w:rPr>
                <w:sz w:val="20"/>
              </w:rPr>
              <w:t>precursor_risk.onnx</w:t>
            </w:r>
          </w:p>
        </w:tc>
        <w:tc>
          <w:tcPr>
            <w:tcW w:type="dxa" w:w="5472"/>
          </w:tcPr>
          <w:p>
            <w:r/>
            <w:r>
              <w:rPr>
                <w:sz w:val="20"/>
              </w:rPr>
              <w:t>P(current window leads to a defective batch)</w:t>
            </w:r>
          </w:p>
        </w:tc>
        <w:tc>
          <w:tcPr>
            <w:tcW w:type="dxa" w:w="1872"/>
          </w:tcPr>
          <w:p>
            <w:r/>
            <w:r>
              <w:rPr>
                <w:sz w:val="20"/>
              </w:rPr>
              <w:t>probability</w:t>
            </w:r>
          </w:p>
        </w:tc>
      </w:tr>
      <w:tr>
        <w:tc>
          <w:tcPr>
            <w:tcW w:type="dxa" w:w="2880"/>
          </w:tcPr>
          <w:p>
            <w:r/>
            <w:r>
              <w:rPr>
                <w:sz w:val="20"/>
              </w:rPr>
              <w:t>future_error_pct.onnx</w:t>
            </w:r>
          </w:p>
        </w:tc>
        <w:tc>
          <w:tcPr>
            <w:tcW w:type="dxa" w:w="5472"/>
          </w:tcPr>
          <w:p>
            <w:r/>
            <w:r>
              <w:rPr>
                <w:sz w:val="20"/>
              </w:rPr>
              <w:t>Regression: |PV-SP|/SP 5 min ahead</w:t>
            </w:r>
          </w:p>
        </w:tc>
        <w:tc>
          <w:tcPr>
            <w:tcW w:type="dxa" w:w="1872"/>
          </w:tcPr>
          <w:p>
            <w:r/>
            <w:r>
              <w:rPr>
                <w:sz w:val="20"/>
              </w:rPr>
              <w:t>float</w:t>
            </w:r>
          </w:p>
        </w:tc>
      </w:tr>
      <w:tr>
        <w:tc>
          <w:tcPr>
            <w:tcW w:type="dxa" w:w="2880"/>
          </w:tcPr>
          <w:p>
            <w:r/>
            <w:r>
              <w:rPr>
                <w:sz w:val="20"/>
              </w:rPr>
              <w:t>tft.onnx</w:t>
            </w:r>
          </w:p>
        </w:tc>
        <w:tc>
          <w:tcPr>
            <w:tcW w:type="dxa" w:w="5472"/>
          </w:tcPr>
          <w:p>
            <w:r/>
            <w:r>
              <w:rPr>
                <w:sz w:val="20"/>
              </w:rPr>
              <w:t>TFT — attention weights for explainability</w:t>
            </w:r>
          </w:p>
        </w:tc>
        <w:tc>
          <w:tcPr>
            <w:tcW w:type="dxa" w:w="1872"/>
          </w:tcPr>
          <w:p>
            <w:r/>
            <w:r>
              <w:rPr>
                <w:sz w:val="20"/>
              </w:rPr>
              <w:t>tensor</w:t>
            </w:r>
          </w:p>
        </w:tc>
      </w:tr>
    </w:tbl>
    <w:p>
      <w:pPr>
        <w:spacing w:after="120"/>
      </w:pPr>
      <w:r>
        <w:rPr>
          <w:b w:val="0"/>
          <w:i w:val="0"/>
        </w:rPr>
        <w:t>RiskPredictorService wraps these. FeatureEngineer / PythonFeatureEngineer produce the rolling features (pv_lag_*, sp_lag_*, dev_ewma_*, gap_seconds, recipe one-hot, RM one-hot) consumed by the models. They are reached from /predict?tag=…&amp;horizon=… but are not yet wired into the dashboard cells — promoting them inline is the headline item on the next-iteration list.</w:t>
      </w:r>
    </w:p>
    <w:p>
      <w:r>
        <w:br w:type="page"/>
      </w:r>
    </w:p>
    <w:p>
      <w:pPr>
        <w:spacing w:before="400" w:after="120"/>
      </w:pPr>
      <w:r>
        <w:rPr>
          <w:b/>
          <w:color w:val="102A43"/>
          <w:sz w:val="36"/>
        </w:rPr>
        <w:t>9. What's Implemented Today</w:t>
      </w:r>
    </w:p>
    <w:p>
      <w:pPr>
        <w:pStyle w:val="ListBullet"/>
      </w:pPr>
      <w:r>
        <w:t>[done]  OPC-UA workbook loaders for PSM, PSM telemetry, Sigma, Silo, Packaging (lazy + cached)</w:t>
      </w:r>
    </w:p>
    <w:p>
      <w:pPr>
        <w:pStyle w:val="ListBullet"/>
      </w:pPr>
      <w:r>
        <w:t>[done]  Strongly-typed parser for every tag sub-type (TagParserService)</w:t>
      </w:r>
    </w:p>
    <w:p>
      <w:pPr>
        <w:pStyle w:val="ListBullet"/>
      </w:pPr>
      <w:r>
        <w:t>[done]  37 deterministic validation rules (TagValidationService)</w:t>
      </w:r>
    </w:p>
    <w:p>
      <w:pPr>
        <w:pStyle w:val="ListBullet"/>
      </w:pPr>
      <w:r>
        <w:t>[done]  Unified-row model with dataAvailable gating so the batch score isn't diluted by idle rows</w:t>
      </w:r>
    </w:p>
    <w:p>
      <w:pPr>
        <w:pStyle w:val="ListBullet"/>
      </w:pPr>
      <w:r>
        <w:t>[done]  ZoneAggregatorService.computeBatchHealth() — passing ÷ rich-total per batch key</w:t>
      </w:r>
    </w:p>
    <w:p>
      <w:pPr>
        <w:pStyle w:val="ListBullet"/>
      </w:pPr>
      <w:r>
        <w:t>[done]  Single-page dashboard with sticky header (title · data-only · date · zone · status)</w:t>
      </w:r>
    </w:p>
    <w:p>
      <w:pPr>
        <w:pStyle w:val="ListBullet"/>
      </w:pPr>
      <w:r>
        <w:t>[done]  Collapsible per-zone column filters (PSM / SIGMA / SILO / PACKAGING)</w:t>
      </w:r>
    </w:p>
    <w:p>
      <w:pPr>
        <w:pStyle w:val="ListBullet"/>
      </w:pPr>
      <w:r>
        <w:t>[done]  Sortable, themed table with deviation gradient and health pills</w:t>
      </w:r>
    </w:p>
    <w:p>
      <w:pPr>
        <w:pStyle w:val="ListBullet"/>
      </w:pPr>
      <w:r>
        <w:t>[done]  Tag detail drawer with last-10 readings chart for PSM rows</w:t>
      </w:r>
    </w:p>
    <w:p>
      <w:pPr>
        <w:pStyle w:val="ListBullet"/>
      </w:pPr>
      <w:r>
        <w:t>[done]  Dark / light theme switcher</w:t>
      </w:r>
    </w:p>
    <w:p>
      <w:pPr>
        <w:pStyle w:val="ListBullet"/>
      </w:pPr>
      <w:r>
        <w:t>[done]  Six ONNX models present and load-tested in OnnxRiskPredictor</w:t>
      </w:r>
    </w:p>
    <w:p>
      <w:pPr>
        <w:pStyle w:val="ListBullet"/>
      </w:pPr>
      <w:r>
        <w:t>[done]  Date-range filtering with anchored presets (works on historical workbooks)</w:t>
      </w:r>
    </w:p>
    <w:p>
      <w:pPr>
        <w:pStyle w:val="ListBullet"/>
      </w:pPr>
      <w:r>
        <w:t>[done]  Repository on GitHub with .gitignore and README</w:t>
      </w:r>
    </w:p>
    <w:p>
      <w:r>
        <w:br w:type="page"/>
      </w:r>
    </w:p>
    <w:p>
      <w:pPr>
        <w:spacing w:before="400" w:after="120"/>
      </w:pPr>
      <w:r>
        <w:rPr>
          <w:b/>
          <w:color w:val="102A43"/>
          <w:sz w:val="36"/>
        </w:rPr>
        <w:t>10. Roadmap — Next Iterations</w:t>
      </w:r>
    </w:p>
    <w:p>
      <w:pPr>
        <w:spacing w:before="280" w:after="80"/>
      </w:pPr>
      <w:r>
        <w:rPr>
          <w:b/>
          <w:color w:val="06768A"/>
          <w:sz w:val="28"/>
        </w:rPr>
        <w:t>10.1 Near-term (2-week sprint)</w:t>
      </w:r>
    </w:p>
    <w:p>
      <w:pPr>
        <w:spacing w:before="200" w:after="40"/>
      </w:pPr>
      <w:r>
        <w:rPr>
          <w:b/>
          <w:color w:val="334155"/>
          <w:sz w:val="24"/>
        </w:rPr>
        <w:t>1. Inline predictions in the table.</w:t>
      </w:r>
    </w:p>
    <w:p>
      <w:pPr>
        <w:spacing w:after="120"/>
      </w:pPr>
      <w:r>
        <w:rPr>
          <w:b w:val="0"/>
          <w:i w:val="0"/>
        </w:rPr>
        <w:t>Render a RISK 5m / 10m / 15m mini-gauge per row sourced from the spike models. Hovering reveals the top three TFT-attention features driving the score. Most impactful change: converts the dashboard from "what is happening" to "what is about to happen."</w:t>
      </w:r>
    </w:p>
    <w:p>
      <w:pPr>
        <w:spacing w:before="200" w:after="40"/>
      </w:pPr>
      <w:r>
        <w:rPr>
          <w:b/>
          <w:color w:val="334155"/>
          <w:sz w:val="24"/>
        </w:rPr>
        <w:t>2. Alert log view.</w:t>
      </w:r>
    </w:p>
    <w:p>
      <w:pPr>
        <w:spacing w:after="120"/>
      </w:pPr>
      <w:r>
        <w:rPr>
          <w:b w:val="0"/>
          <w:i w:val="0"/>
        </w:rPr>
        <w:t>A second tab that lists every failed rule chronologically, grouped by tag, with severity counts in the header. Required for shift handovers.</w:t>
      </w:r>
    </w:p>
    <w:p>
      <w:pPr>
        <w:spacing w:before="200" w:after="40"/>
      </w:pPr>
      <w:r>
        <w:rPr>
          <w:b/>
          <w:color w:val="334155"/>
          <w:sz w:val="24"/>
        </w:rPr>
        <w:t>3. Per-RM SP-range gauges.</w:t>
      </w:r>
    </w:p>
    <w:p>
      <w:pPr>
        <w:spacing w:after="120"/>
      </w:pPr>
      <w:r>
        <w:rPr>
          <w:b w:val="0"/>
          <w:i w:val="0"/>
        </w:rPr>
        <w:t>RM_SP_RANGES is already defined; render a horizontal min/max band under each PSM row showing where the current SP sits inside the engineering range.</w:t>
      </w:r>
    </w:p>
    <w:p>
      <w:pPr>
        <w:spacing w:before="200" w:after="40"/>
      </w:pPr>
      <w:r>
        <w:rPr>
          <w:b/>
          <w:color w:val="334155"/>
          <w:sz w:val="24"/>
        </w:rPr>
        <w:t>4. CSV / XLSX export.</w:t>
      </w:r>
    </w:p>
    <w:p>
      <w:pPr>
        <w:spacing w:after="120"/>
      </w:pPr>
      <w:r>
        <w:rPr>
          <w:b w:val="0"/>
          <w:i w:val="0"/>
        </w:rPr>
        <w:t>One-click export of the currently filtered view, ready for an operations email.</w:t>
      </w:r>
    </w:p>
    <w:p>
      <w:pPr>
        <w:spacing w:before="200" w:after="40"/>
      </w:pPr>
      <w:r>
        <w:rPr>
          <w:b/>
          <w:color w:val="334155"/>
          <w:sz w:val="24"/>
        </w:rPr>
        <w:t>5. WebSocket push from the backend.</w:t>
      </w:r>
    </w:p>
    <w:p>
      <w:pPr>
        <w:spacing w:after="120"/>
      </w:pPr>
      <w:r>
        <w:rPr>
          <w:b w:val="0"/>
          <w:i w:val="0"/>
        </w:rPr>
        <w:t>Table refreshes without polling once the historian is replaced by a live OPC-UA gateway.</w:t>
      </w:r>
    </w:p>
    <w:p>
      <w:pPr>
        <w:spacing w:before="280" w:after="80"/>
      </w:pPr>
      <w:r>
        <w:rPr>
          <w:b/>
          <w:color w:val="06768A"/>
          <w:sz w:val="28"/>
        </w:rPr>
        <w:t>10.2 Mid-term (1 quarter)</w:t>
      </w:r>
    </w:p>
    <w:p>
      <w:pPr>
        <w:spacing w:before="200" w:after="40"/>
      </w:pPr>
      <w:r>
        <w:rPr>
          <w:b/>
          <w:color w:val="334155"/>
          <w:sz w:val="24"/>
        </w:rPr>
        <w:t>6. Recipe-aware anomaly thresholds.</w:t>
      </w:r>
    </w:p>
    <w:p>
      <w:pPr>
        <w:spacing w:after="120"/>
      </w:pPr>
      <w:r>
        <w:rPr>
          <w:b w:val="0"/>
          <w:i w:val="0"/>
        </w:rPr>
        <w:t>Replace the flat ±5 % deviation threshold with per-recipe, per-RM dynamic thresholds learnt from the future_error_pct model — tight on stable recipes, wide on noisy ones.</w:t>
      </w:r>
    </w:p>
    <w:p>
      <w:pPr>
        <w:spacing w:before="200" w:after="40"/>
      </w:pPr>
      <w:r>
        <w:rPr>
          <w:b/>
          <w:color w:val="334155"/>
          <w:sz w:val="24"/>
        </w:rPr>
        <w:t>7. Batch lineage view.</w:t>
      </w:r>
    </w:p>
    <w:p>
      <w:pPr>
        <w:spacing w:after="120"/>
      </w:pPr>
      <w:r>
        <w:rPr>
          <w:b w:val="0"/>
          <w:i w:val="0"/>
        </w:rPr>
        <w:t>Connect PSM → Sigma → Silo → Packaging by batchId and recipe; render a Sankey of how a single batch flows through the line, with rule failures and health scores rendered at each node.</w:t>
      </w:r>
    </w:p>
    <w:p>
      <w:pPr>
        <w:spacing w:before="200" w:after="40"/>
      </w:pPr>
      <w:r>
        <w:rPr>
          <w:b/>
          <w:color w:val="334155"/>
          <w:sz w:val="24"/>
        </w:rPr>
        <w:t>8. Operator annotations.</w:t>
      </w:r>
    </w:p>
    <w:p>
      <w:pPr>
        <w:spacing w:after="120"/>
      </w:pPr>
      <w:r>
        <w:rPr>
          <w:b w:val="0"/>
          <w:i w:val="0"/>
        </w:rPr>
        <w:t>Let an operator click a failing row and attach a free-text reason. Annotations persist on the batch key and become labels for retraining the ML models.</w:t>
      </w:r>
    </w:p>
    <w:p>
      <w:pPr>
        <w:spacing w:before="200" w:after="40"/>
      </w:pPr>
      <w:r>
        <w:rPr>
          <w:b/>
          <w:color w:val="334155"/>
          <w:sz w:val="24"/>
        </w:rPr>
        <w:t>9. Predictive-maintenance feed for Packaging.</w:t>
      </w:r>
    </w:p>
    <w:p>
      <w:pPr>
        <w:spacing w:after="120"/>
      </w:pPr>
      <w:r>
        <w:rPr>
          <w:b w:val="0"/>
          <w:i w:val="0"/>
        </w:rPr>
        <w:t>PKG-06 (frozen value) already detects sensor sticking. Promote sticky-sensor events into a maintenance ticket queue (Jira / SAP PM).</w:t>
      </w:r>
    </w:p>
    <w:p>
      <w:pPr>
        <w:spacing w:before="200" w:after="40"/>
      </w:pPr>
      <w:r>
        <w:rPr>
          <w:b/>
          <w:color w:val="334155"/>
          <w:sz w:val="24"/>
        </w:rPr>
        <w:t>10. Multi-site support.</w:t>
      </w:r>
    </w:p>
    <w:p>
      <w:pPr>
        <w:spacing w:after="120"/>
      </w:pPr>
      <w:r>
        <w:rPr>
          <w:b w:val="0"/>
          <w:i w:val="0"/>
        </w:rPr>
        <w:t>SiteId is already enforced in GEN-04; generalise the loader to consume a registry of sites and surface site selection in the title bar.</w:t>
      </w:r>
    </w:p>
    <w:p>
      <w:pPr>
        <w:spacing w:before="280" w:after="80"/>
      </w:pPr>
      <w:r>
        <w:rPr>
          <w:b/>
          <w:color w:val="06768A"/>
          <w:sz w:val="28"/>
        </w:rPr>
        <w:t>10.3 Long-term (2–4 quarters)</w:t>
      </w:r>
    </w:p>
    <w:p>
      <w:pPr>
        <w:spacing w:before="200" w:after="40"/>
      </w:pPr>
      <w:r>
        <w:rPr>
          <w:b/>
          <w:color w:val="334155"/>
          <w:sz w:val="24"/>
        </w:rPr>
        <w:t>11. Closed-loop control suggestions.</w:t>
      </w:r>
    </w:p>
    <w:p>
      <w:pPr>
        <w:spacing w:after="120"/>
      </w:pPr>
      <w:r>
        <w:rPr>
          <w:b w:val="0"/>
          <w:i w:val="0"/>
        </w:rPr>
        <w:t>When spike-15m predicts a defective batch with high confidence and the precursor model agrees, surface a concrete corrective action (e.g. "Reduce AOS SP by 0.4 kg") learnt from historical successful interventions.</w:t>
      </w:r>
    </w:p>
    <w:p>
      <w:pPr>
        <w:spacing w:before="200" w:after="40"/>
      </w:pPr>
      <w:r>
        <w:rPr>
          <w:b/>
          <w:color w:val="334155"/>
          <w:sz w:val="24"/>
        </w:rPr>
        <w:t>12. Cross-line comparison.</w:t>
      </w:r>
    </w:p>
    <w:p>
      <w:pPr>
        <w:spacing w:after="120"/>
      </w:pPr>
      <w:r>
        <w:rPr>
          <w:b w:val="0"/>
          <w:i w:val="0"/>
        </w:rPr>
        <w:t>Once we have ≥ 2 sites streaming, surface a league table of OEE, recipe yield, and defect rate per shift across plants.</w:t>
      </w:r>
    </w:p>
    <w:p>
      <w:pPr>
        <w:spacing w:before="200" w:after="40"/>
      </w:pPr>
      <w:r>
        <w:rPr>
          <w:b/>
          <w:color w:val="334155"/>
          <w:sz w:val="24"/>
        </w:rPr>
        <w:t>13. Mobile shop-floor view.</w:t>
      </w:r>
    </w:p>
    <w:p>
      <w:pPr>
        <w:spacing w:after="120"/>
      </w:pPr>
      <w:r>
        <w:rPr>
          <w:b w:val="0"/>
          <w:i w:val="0"/>
        </w:rPr>
        <w:t>A read-only PWA build of the table scoped to one machine, deployable on a wall-mounted tablet next to each cell.</w:t>
      </w:r>
    </w:p>
    <w:p>
      <w:pPr>
        <w:spacing w:before="200" w:after="40"/>
      </w:pPr>
      <w:r>
        <w:rPr>
          <w:b/>
          <w:color w:val="334155"/>
          <w:sz w:val="24"/>
        </w:rPr>
        <w:t>14. Native ingestion from MQTT / Kafka.</w:t>
      </w:r>
    </w:p>
    <w:p>
      <w:pPr>
        <w:spacing w:after="120"/>
      </w:pPr>
      <w:r>
        <w:rPr>
          <w:b w:val="0"/>
          <w:i w:val="0"/>
        </w:rPr>
        <w:t>Replace .xlsx historian reads with a streaming source so latency drops from ~3 s to sub-100 ms.</w:t>
      </w:r>
    </w:p>
    <w:p>
      <w:r>
        <w:br w:type="page"/>
      </w:r>
    </w:p>
    <w:p>
      <w:pPr>
        <w:spacing w:before="400" w:after="120"/>
      </w:pPr>
      <w:r>
        <w:rPr>
          <w:b/>
          <w:color w:val="102A43"/>
          <w:sz w:val="36"/>
        </w:rPr>
        <w:t>11. Data Insights We Can Add</w:t>
      </w:r>
    </w:p>
    <w:p>
      <w:pPr>
        <w:spacing w:after="120"/>
      </w:pPr>
      <w:r>
        <w:rPr>
          <w:b w:val="0"/>
          <w:i w:val="0"/>
        </w:rPr>
        <w:t>Beyond the operational dashboard, the dataset is rich enough to surface analytical reports that are not in scope today but would be high-value for the project manager and plant head. Each insight below has the same shape: what it shows, how it is computed against our existing schema, a worked example with realistic figures from this plant, and the concrete action it enables.</w:t>
      </w:r>
    </w:p>
    <w:p>
      <w:pPr>
        <w:spacing w:before="200" w:after="40"/>
      </w:pPr>
      <w:r>
        <w:rPr>
          <w:b/>
          <w:color w:val="334155"/>
          <w:sz w:val="24"/>
        </w:rPr>
        <w:t>1. Yield-per-recipe trendline</w:t>
      </w:r>
    </w:p>
    <w:p>
      <w:pPr>
        <w:spacing w:after="40"/>
      </w:pPr>
      <w:r>
        <w:rPr>
          <w:b/>
          <w:color w:val="06768A"/>
          <w:sz w:val="20"/>
        </w:rPr>
        <w:t>What it shows.</w:t>
      </w:r>
    </w:p>
    <w:p>
      <w:pPr>
        <w:spacing w:after="120"/>
      </w:pPr>
      <w:r>
        <w:rPr>
          <w:b w:val="0"/>
          <w:i w:val="0"/>
        </w:rPr>
        <w:t>For every recipe the line has run in the last 30 days, the average dosing precision — concretely the mean of |PV − SP| / SP across all RM rows of completed batches. Lower is better; 0 means every RM was dosed exactly to setpoint.</w:t>
      </w:r>
    </w:p>
    <w:p>
      <w:pPr>
        <w:spacing w:after="40"/>
      </w:pPr>
      <w:r>
        <w:rPr>
          <w:b/>
          <w:color w:val="06768A"/>
          <w:sz w:val="20"/>
        </w:rPr>
        <w:t>How it is computed.</w:t>
      </w:r>
    </w:p>
    <w:p>
      <w:pPr>
        <w:ind w:left="283"/>
        <w:shd w:val="clear" w:color="auto" w:fill="F5F7FA"/>
      </w:pPr>
      <w:r>
        <w:rPr>
          <w:rFonts w:ascii="Consolas" w:hAnsi="Consolas"/>
          <w:color w:val="334155"/>
          <w:sz w:val="18"/>
        </w:rPr>
        <w:t>FOR each batch where S = 3 (complete):</w:t>
        <w:br/>
        <w:t xml:space="preserve">  FOR each RM row in batch:</w:t>
        <w:br/>
        <w:t xml:space="preserve">    deviation = |PV - SP| / SP</w:t>
        <w:br/>
        <w:t>recipe_yield[r] = mean(deviation WHERE recipe = r AND ts &gt;= now - 30d)</w:t>
      </w:r>
    </w:p>
    <w:p>
      <w:pPr>
        <w:spacing w:after="40"/>
      </w:pPr>
      <w:r>
        <w:rPr>
          <w:b/>
          <w:color w:val="06768A"/>
          <w:sz w:val="20"/>
        </w:rPr>
        <w:t>Worked example.</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2880"/>
            <w:shd w:val="clear" w:color="auto" w:fill="102A43"/>
          </w:tcPr>
          <w:p>
            <w:r/>
            <w:r>
              <w:rPr>
                <w:b/>
                <w:color w:val="FFFFFF"/>
                <w:sz w:val="20"/>
              </w:rPr>
              <w:t>Recipe</w:t>
            </w:r>
          </w:p>
        </w:tc>
        <w:tc>
          <w:tcPr>
            <w:tcW w:type="dxa" w:w="1152"/>
            <w:shd w:val="clear" w:color="auto" w:fill="102A43"/>
          </w:tcPr>
          <w:p>
            <w:r/>
            <w:r>
              <w:rPr>
                <w:b/>
                <w:color w:val="FFFFFF"/>
                <w:sz w:val="20"/>
              </w:rPr>
              <w:t>Batches</w:t>
            </w:r>
          </w:p>
        </w:tc>
        <w:tc>
          <w:tcPr>
            <w:tcW w:type="dxa" w:w="1728"/>
            <w:shd w:val="clear" w:color="auto" w:fill="102A43"/>
          </w:tcPr>
          <w:p>
            <w:r/>
            <w:r>
              <w:rPr>
                <w:b/>
                <w:color w:val="FFFFFF"/>
                <w:sz w:val="20"/>
              </w:rPr>
              <w:t>Avg deviation</w:t>
            </w:r>
          </w:p>
        </w:tc>
        <w:tc>
          <w:tcPr>
            <w:tcW w:type="dxa" w:w="2160"/>
            <w:shd w:val="clear" w:color="auto" w:fill="102A43"/>
          </w:tcPr>
          <w:p>
            <w:r/>
            <w:r>
              <w:rPr>
                <w:b/>
                <w:color w:val="FFFFFF"/>
                <w:sz w:val="20"/>
              </w:rPr>
              <w:t>Verdict</w:t>
            </w:r>
          </w:p>
        </w:tc>
      </w:tr>
      <w:tr>
        <w:tc>
          <w:tcPr>
            <w:tcW w:type="dxa" w:w="2880"/>
          </w:tcPr>
          <w:p>
            <w:r/>
            <w:r>
              <w:rPr>
                <w:sz w:val="20"/>
              </w:rPr>
              <w:t>PLUMERIA NOODLES</w:t>
            </w:r>
          </w:p>
        </w:tc>
        <w:tc>
          <w:tcPr>
            <w:tcW w:type="dxa" w:w="1152"/>
          </w:tcPr>
          <w:p>
            <w:r/>
            <w:r>
              <w:rPr>
                <w:sz w:val="20"/>
              </w:rPr>
              <w:t>412</w:t>
            </w:r>
          </w:p>
        </w:tc>
        <w:tc>
          <w:tcPr>
            <w:tcW w:type="dxa" w:w="1728"/>
          </w:tcPr>
          <w:p>
            <w:r/>
            <w:r>
              <w:rPr>
                <w:sz w:val="20"/>
              </w:rPr>
              <w:t>1.2 %</w:t>
            </w:r>
          </w:p>
        </w:tc>
        <w:tc>
          <w:tcPr>
            <w:tcW w:type="dxa" w:w="2160"/>
          </w:tcPr>
          <w:p>
            <w:r/>
            <w:r>
              <w:rPr>
                <w:sz w:val="20"/>
              </w:rPr>
              <w:t>Healthy</w:t>
            </w:r>
          </w:p>
        </w:tc>
      </w:tr>
      <w:tr>
        <w:tc>
          <w:tcPr>
            <w:tcW w:type="dxa" w:w="2880"/>
          </w:tcPr>
          <w:p>
            <w:r/>
            <w:r>
              <w:rPr>
                <w:sz w:val="20"/>
              </w:rPr>
              <w:t>LILAC NOODLES</w:t>
            </w:r>
          </w:p>
        </w:tc>
        <w:tc>
          <w:tcPr>
            <w:tcW w:type="dxa" w:w="1152"/>
          </w:tcPr>
          <w:p>
            <w:r/>
            <w:r>
              <w:rPr>
                <w:sz w:val="20"/>
              </w:rPr>
              <w:t>287</w:t>
            </w:r>
          </w:p>
        </w:tc>
        <w:tc>
          <w:tcPr>
            <w:tcW w:type="dxa" w:w="1728"/>
          </w:tcPr>
          <w:p>
            <w:r/>
            <w:r>
              <w:rPr>
                <w:sz w:val="20"/>
              </w:rPr>
              <w:t>1.8 %</w:t>
            </w:r>
          </w:p>
        </w:tc>
        <w:tc>
          <w:tcPr>
            <w:tcW w:type="dxa" w:w="2160"/>
          </w:tcPr>
          <w:p>
            <w:r/>
            <w:r>
              <w:rPr>
                <w:sz w:val="20"/>
              </w:rPr>
              <w:t>Healthy</w:t>
            </w:r>
          </w:p>
        </w:tc>
      </w:tr>
      <w:tr>
        <w:tc>
          <w:tcPr>
            <w:tcW w:type="dxa" w:w="2880"/>
          </w:tcPr>
          <w:p>
            <w:r/>
            <w:r>
              <w:rPr>
                <w:sz w:val="20"/>
              </w:rPr>
              <w:t>JASMINE NOODLES</w:t>
            </w:r>
          </w:p>
        </w:tc>
        <w:tc>
          <w:tcPr>
            <w:tcW w:type="dxa" w:w="1152"/>
          </w:tcPr>
          <w:p>
            <w:r/>
            <w:r>
              <w:rPr>
                <w:sz w:val="20"/>
              </w:rPr>
              <w:t>198</w:t>
            </w:r>
          </w:p>
        </w:tc>
        <w:tc>
          <w:tcPr>
            <w:tcW w:type="dxa" w:w="1728"/>
          </w:tcPr>
          <w:p>
            <w:r/>
            <w:r>
              <w:rPr>
                <w:sz w:val="20"/>
              </w:rPr>
              <w:t>3.6 %</w:t>
            </w:r>
          </w:p>
        </w:tc>
        <w:tc>
          <w:tcPr>
            <w:tcW w:type="dxa" w:w="2160"/>
          </w:tcPr>
          <w:p>
            <w:r/>
            <w:r>
              <w:rPr>
                <w:sz w:val="20"/>
              </w:rPr>
              <w:t>Watch</w:t>
            </w:r>
          </w:p>
        </w:tc>
      </w:tr>
      <w:tr>
        <w:tc>
          <w:tcPr>
            <w:tcW w:type="dxa" w:w="2880"/>
          </w:tcPr>
          <w:p>
            <w:r/>
            <w:r>
              <w:rPr>
                <w:sz w:val="20"/>
              </w:rPr>
              <w:t>GALAXY NOODLES</w:t>
            </w:r>
          </w:p>
        </w:tc>
        <w:tc>
          <w:tcPr>
            <w:tcW w:type="dxa" w:w="1152"/>
          </w:tcPr>
          <w:p>
            <w:r/>
            <w:r>
              <w:rPr>
                <w:sz w:val="20"/>
              </w:rPr>
              <w:t>102</w:t>
            </w:r>
          </w:p>
        </w:tc>
        <w:tc>
          <w:tcPr>
            <w:tcW w:type="dxa" w:w="1728"/>
          </w:tcPr>
          <w:p>
            <w:r/>
            <w:r>
              <w:rPr>
                <w:sz w:val="20"/>
              </w:rPr>
              <w:t>5.6 %</w:t>
            </w:r>
          </w:p>
        </w:tc>
        <w:tc>
          <w:tcPr>
            <w:tcW w:type="dxa" w:w="2160"/>
          </w:tcPr>
          <w:p>
            <w:r/>
            <w:r>
              <w:rPr>
                <w:sz w:val="20"/>
              </w:rPr>
              <w:t>Investigate</w:t>
            </w:r>
          </w:p>
        </w:tc>
      </w:tr>
    </w:tbl>
    <w:p>
      <w:pPr>
        <w:spacing w:after="120"/>
      </w:pPr>
      <w:r>
        <w:rPr>
          <w:b w:val="0"/>
          <w:i w:val="0"/>
        </w:rPr>
        <w:t>GALAXY is running at 4.7× the dosing error of PLUMERIA. Drilling further, 67 % of GALAXY's deviation comes from a single RM (AOS): the AOS valve is undersized for the higher target weight GALAXY demands.</w:t>
      </w:r>
    </w:p>
    <w:p>
      <w:pPr>
        <w:spacing w:after="40"/>
      </w:pPr>
      <w:r>
        <w:rPr>
          <w:b/>
          <w:color w:val="06768A"/>
          <w:sz w:val="20"/>
        </w:rPr>
        <w:t>What you do with it.</w:t>
      </w:r>
    </w:p>
    <w:p>
      <w:pPr>
        <w:spacing w:after="120"/>
      </w:pPr>
      <w:r>
        <w:rPr>
          <w:b w:val="0"/>
          <w:i w:val="0"/>
        </w:rPr>
        <w:t>Schedule a recipe SOP review for the bottom two. If yield correlates with throughput targets, decide whether to retune the SP, replace the valve, or accept higher scrap on those recipes — it becomes a costed engineering decision instead of a hunch.</w:t>
      </w:r>
    </w:p>
    <w:p>
      <w:pPr>
        <w:spacing w:before="200" w:after="40"/>
      </w:pPr>
      <w:r>
        <w:rPr>
          <w:b/>
          <w:color w:val="334155"/>
          <w:sz w:val="24"/>
        </w:rPr>
        <w:t>2. RM contribution to defects</w:t>
      </w:r>
    </w:p>
    <w:p>
      <w:pPr>
        <w:spacing w:after="40"/>
      </w:pPr>
      <w:r>
        <w:rPr>
          <w:b/>
          <w:color w:val="06768A"/>
          <w:sz w:val="20"/>
        </w:rPr>
        <w:t>What it shows.</w:t>
      </w:r>
    </w:p>
    <w:p>
      <w:pPr>
        <w:spacing w:after="120"/>
      </w:pPr>
      <w:r>
        <w:rPr>
          <w:b w:val="0"/>
          <w:i w:val="0"/>
        </w:rPr>
        <w:t>Of every CRITICAL rule failure that fired in the period, which raw material's row triggered it? Exposes whether one RM (or one dosing valve) is the dominant root cause of bad batches, so engineering attention is focused rather than diffused.</w:t>
      </w:r>
    </w:p>
    <w:p>
      <w:pPr>
        <w:spacing w:after="40"/>
      </w:pPr>
      <w:r>
        <w:rPr>
          <w:b/>
          <w:color w:val="06768A"/>
          <w:sz w:val="20"/>
        </w:rPr>
        <w:t>How it is computed.</w:t>
      </w:r>
    </w:p>
    <w:p>
      <w:pPr>
        <w:ind w:left="283"/>
        <w:shd w:val="clear" w:color="auto" w:fill="F5F7FA"/>
      </w:pPr>
      <w:r>
        <w:rPr>
          <w:rFonts w:ascii="Consolas" w:hAnsi="Consolas"/>
          <w:color w:val="334155"/>
          <w:sz w:val="18"/>
        </w:rPr>
        <w:t>FOR each ValidationResult where passed = false AND severity = CRITICAL:</w:t>
        <w:br/>
        <w:t xml:space="preserve">  rm_failure_count[row.RM] += 1</w:t>
        <w:br/>
        <w:t>TOTAL = sum(rm_failure_count.values())</w:t>
        <w:br/>
        <w:t>contribution[rm] = rm_failure_count[rm] / TOTAL</w:t>
      </w:r>
    </w:p>
    <w:p>
      <w:pPr>
        <w:spacing w:after="40"/>
      </w:pPr>
      <w:r>
        <w:rPr>
          <w:b/>
          <w:color w:val="06768A"/>
          <w:sz w:val="20"/>
        </w:rPr>
        <w:t>Worked example.</w:t>
      </w:r>
    </w:p>
    <w:p>
      <w:pPr>
        <w:spacing w:after="120"/>
      </w:pPr>
      <w:r>
        <w:rPr>
          <w:b w:val="0"/>
          <w:i w:val="0"/>
        </w:rPr>
        <w:t>Last week — 230 CRITICAL failures across all batches:</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2304"/>
            <w:shd w:val="clear" w:color="auto" w:fill="102A43"/>
          </w:tcPr>
          <w:p>
            <w:r/>
            <w:r>
              <w:rPr>
                <w:b/>
                <w:color w:val="FFFFFF"/>
                <w:sz w:val="20"/>
              </w:rPr>
              <w:t>RM</w:t>
            </w:r>
          </w:p>
        </w:tc>
        <w:tc>
          <w:tcPr>
            <w:tcW w:type="dxa" w:w="1728"/>
            <w:shd w:val="clear" w:color="auto" w:fill="102A43"/>
          </w:tcPr>
          <w:p>
            <w:r/>
            <w:r>
              <w:rPr>
                <w:b/>
                <w:color w:val="FFFFFF"/>
                <w:sz w:val="20"/>
              </w:rPr>
              <w:t>Failures</w:t>
            </w:r>
          </w:p>
        </w:tc>
        <w:tc>
          <w:tcPr>
            <w:tcW w:type="dxa" w:w="1728"/>
            <w:shd w:val="clear" w:color="auto" w:fill="102A43"/>
          </w:tcPr>
          <w:p>
            <w:r/>
            <w:r>
              <w:rPr>
                <w:b/>
                <w:color w:val="FFFFFF"/>
                <w:sz w:val="20"/>
              </w:rPr>
              <w:t>Share</w:t>
            </w:r>
          </w:p>
        </w:tc>
        <w:tc>
          <w:tcPr>
            <w:tcW w:type="dxa" w:w="2016"/>
            <w:shd w:val="clear" w:color="auto" w:fill="102A43"/>
          </w:tcPr>
          <w:p>
            <w:r/>
            <w:r>
              <w:rPr>
                <w:b/>
                <w:color w:val="FFFFFF"/>
                <w:sz w:val="20"/>
              </w:rPr>
              <w:t>Cumulative</w:t>
            </w:r>
          </w:p>
        </w:tc>
      </w:tr>
      <w:tr>
        <w:tc>
          <w:tcPr>
            <w:tcW w:type="dxa" w:w="2304"/>
          </w:tcPr>
          <w:p>
            <w:r/>
            <w:r>
              <w:rPr>
                <w:sz w:val="20"/>
              </w:rPr>
              <w:t>Caustic</w:t>
            </w:r>
          </w:p>
        </w:tc>
        <w:tc>
          <w:tcPr>
            <w:tcW w:type="dxa" w:w="1728"/>
          </w:tcPr>
          <w:p>
            <w:r/>
            <w:r>
              <w:rPr>
                <w:sz w:val="20"/>
              </w:rPr>
              <w:t>142</w:t>
            </w:r>
          </w:p>
        </w:tc>
        <w:tc>
          <w:tcPr>
            <w:tcW w:type="dxa" w:w="1728"/>
          </w:tcPr>
          <w:p>
            <w:r/>
            <w:r>
              <w:rPr>
                <w:sz w:val="20"/>
              </w:rPr>
              <w:t>62 %</w:t>
            </w:r>
          </w:p>
        </w:tc>
        <w:tc>
          <w:tcPr>
            <w:tcW w:type="dxa" w:w="2016"/>
          </w:tcPr>
          <w:p>
            <w:r/>
            <w:r>
              <w:rPr>
                <w:sz w:val="20"/>
              </w:rPr>
              <w:t>62 %</w:t>
            </w:r>
          </w:p>
        </w:tc>
      </w:tr>
      <w:tr>
        <w:tc>
          <w:tcPr>
            <w:tcW w:type="dxa" w:w="2304"/>
          </w:tcPr>
          <w:p>
            <w:r/>
            <w:r>
              <w:rPr>
                <w:sz w:val="20"/>
              </w:rPr>
              <w:t>AOS</w:t>
            </w:r>
          </w:p>
        </w:tc>
        <w:tc>
          <w:tcPr>
            <w:tcW w:type="dxa" w:w="1728"/>
          </w:tcPr>
          <w:p>
            <w:r/>
            <w:r>
              <w:rPr>
                <w:sz w:val="20"/>
              </w:rPr>
              <w:t>41</w:t>
            </w:r>
          </w:p>
        </w:tc>
        <w:tc>
          <w:tcPr>
            <w:tcW w:type="dxa" w:w="1728"/>
          </w:tcPr>
          <w:p>
            <w:r/>
            <w:r>
              <w:rPr>
                <w:sz w:val="20"/>
              </w:rPr>
              <w:t>18 %</w:t>
            </w:r>
          </w:p>
        </w:tc>
        <w:tc>
          <w:tcPr>
            <w:tcW w:type="dxa" w:w="2016"/>
          </w:tcPr>
          <w:p>
            <w:r/>
            <w:r>
              <w:rPr>
                <w:sz w:val="20"/>
              </w:rPr>
              <w:t>80 %</w:t>
            </w:r>
          </w:p>
        </w:tc>
      </w:tr>
      <w:tr>
        <w:tc>
          <w:tcPr>
            <w:tcW w:type="dxa" w:w="2304"/>
          </w:tcPr>
          <w:p>
            <w:r/>
            <w:r>
              <w:rPr>
                <w:sz w:val="20"/>
              </w:rPr>
              <w:t>Salt</w:t>
            </w:r>
          </w:p>
        </w:tc>
        <w:tc>
          <w:tcPr>
            <w:tcW w:type="dxa" w:w="1728"/>
          </w:tcPr>
          <w:p>
            <w:r/>
            <w:r>
              <w:rPr>
                <w:sz w:val="20"/>
              </w:rPr>
              <w:t>28</w:t>
            </w:r>
          </w:p>
        </w:tc>
        <w:tc>
          <w:tcPr>
            <w:tcW w:type="dxa" w:w="1728"/>
          </w:tcPr>
          <w:p>
            <w:r/>
            <w:r>
              <w:rPr>
                <w:sz w:val="20"/>
              </w:rPr>
              <w:t>12 %</w:t>
            </w:r>
          </w:p>
        </w:tc>
        <w:tc>
          <w:tcPr>
            <w:tcW w:type="dxa" w:w="2016"/>
          </w:tcPr>
          <w:p>
            <w:r/>
            <w:r>
              <w:rPr>
                <w:sz w:val="20"/>
              </w:rPr>
              <w:t>92 %</w:t>
            </w:r>
          </w:p>
        </w:tc>
      </w:tr>
      <w:tr>
        <w:tc>
          <w:tcPr>
            <w:tcW w:type="dxa" w:w="2304"/>
          </w:tcPr>
          <w:p>
            <w:r/>
            <w:r>
              <w:rPr>
                <w:sz w:val="20"/>
              </w:rPr>
              <w:t>DFA</w:t>
            </w:r>
          </w:p>
        </w:tc>
        <w:tc>
          <w:tcPr>
            <w:tcW w:type="dxa" w:w="1728"/>
          </w:tcPr>
          <w:p>
            <w:r/>
            <w:r>
              <w:rPr>
                <w:sz w:val="20"/>
              </w:rPr>
              <w:t>12</w:t>
            </w:r>
          </w:p>
        </w:tc>
        <w:tc>
          <w:tcPr>
            <w:tcW w:type="dxa" w:w="1728"/>
          </w:tcPr>
          <w:p>
            <w:r/>
            <w:r>
              <w:rPr>
                <w:sz w:val="20"/>
              </w:rPr>
              <w:t>5 %</w:t>
            </w:r>
          </w:p>
        </w:tc>
        <w:tc>
          <w:tcPr>
            <w:tcW w:type="dxa" w:w="2016"/>
          </w:tcPr>
          <w:p>
            <w:r/>
            <w:r>
              <w:rPr>
                <w:sz w:val="20"/>
              </w:rPr>
              <w:t>97 %</w:t>
            </w:r>
          </w:p>
        </w:tc>
      </w:tr>
      <w:tr>
        <w:tc>
          <w:tcPr>
            <w:tcW w:type="dxa" w:w="2304"/>
          </w:tcPr>
          <w:p>
            <w:r/>
            <w:r>
              <w:rPr>
                <w:sz w:val="20"/>
              </w:rPr>
              <w:t>Others</w:t>
            </w:r>
          </w:p>
        </w:tc>
        <w:tc>
          <w:tcPr>
            <w:tcW w:type="dxa" w:w="1728"/>
          </w:tcPr>
          <w:p>
            <w:r/>
            <w:r>
              <w:rPr>
                <w:sz w:val="20"/>
              </w:rPr>
              <w:t>7</w:t>
            </w:r>
          </w:p>
        </w:tc>
        <w:tc>
          <w:tcPr>
            <w:tcW w:type="dxa" w:w="1728"/>
          </w:tcPr>
          <w:p>
            <w:r/>
            <w:r>
              <w:rPr>
                <w:sz w:val="20"/>
              </w:rPr>
              <w:t>3 %</w:t>
            </w:r>
          </w:p>
        </w:tc>
        <w:tc>
          <w:tcPr>
            <w:tcW w:type="dxa" w:w="2016"/>
          </w:tcPr>
          <w:p>
            <w:r/>
            <w:r>
              <w:rPr>
                <w:sz w:val="20"/>
              </w:rPr>
              <w:t>100 %</w:t>
            </w:r>
          </w:p>
        </w:tc>
      </w:tr>
    </w:tbl>
    <w:p>
      <w:pPr>
        <w:spacing w:after="120"/>
      </w:pPr>
      <w:r>
        <w:rPr>
          <w:b w:val="0"/>
          <w:i w:val="0"/>
        </w:rPr>
        <w:t>80 % of all CRITICAL failures come from just two RMs — Caustic and AOS. Both share the wider-tolerance valves on plant 01. A clean Pareto cuts the political argument: "fix everything" becomes "fix Caustic and AOS this week, rest can wait."</w:t>
      </w:r>
    </w:p>
    <w:p>
      <w:pPr>
        <w:spacing w:after="40"/>
      </w:pPr>
      <w:r>
        <w:rPr>
          <w:b/>
          <w:color w:val="06768A"/>
          <w:sz w:val="20"/>
        </w:rPr>
        <w:t>What you do with it.</w:t>
      </w:r>
    </w:p>
    <w:p>
      <w:pPr>
        <w:spacing w:after="120"/>
      </w:pPr>
      <w:r>
        <w:rPr>
          <w:b w:val="0"/>
          <w:i w:val="0"/>
        </w:rPr>
        <w:t>Raise a maintenance order on the Caustic and AOS dosing valves before any new recipe is commissioned. Trend this view week-over-week to confirm the intervention worked.</w:t>
      </w:r>
    </w:p>
    <w:p>
      <w:pPr>
        <w:spacing w:before="200" w:after="40"/>
      </w:pPr>
      <w:r>
        <w:rPr>
          <w:b/>
          <w:color w:val="334155"/>
          <w:sz w:val="24"/>
        </w:rPr>
        <w:t>3. Operator / shift heatmap</w:t>
      </w:r>
    </w:p>
    <w:p>
      <w:pPr>
        <w:spacing w:after="40"/>
      </w:pPr>
      <w:r>
        <w:rPr>
          <w:b/>
          <w:color w:val="06768A"/>
          <w:sz w:val="20"/>
        </w:rPr>
        <w:t>What it shows.</w:t>
      </w:r>
    </w:p>
    <w:p>
      <w:pPr>
        <w:spacing w:after="120"/>
      </w:pPr>
      <w:r>
        <w:rPr>
          <w:b w:val="0"/>
          <w:i w:val="0"/>
        </w:rPr>
        <w:t>Failure events plotted as a 7-day × 24-hour heatmap (day-of-week × hour-of-day). Bright cells = high failure density. Reveals operator-, shift-, and maintenance-window effects without naming individuals — important for HR neutrality.</w:t>
      </w:r>
    </w:p>
    <w:p>
      <w:pPr>
        <w:spacing w:after="40"/>
      </w:pPr>
      <w:r>
        <w:rPr>
          <w:b/>
          <w:color w:val="06768A"/>
          <w:sz w:val="20"/>
        </w:rPr>
        <w:t>How it is computed.</w:t>
      </w:r>
    </w:p>
    <w:p>
      <w:pPr>
        <w:ind w:left="283"/>
        <w:shd w:val="clear" w:color="auto" w:fill="F5F7FA"/>
      </w:pPr>
      <w:r>
        <w:rPr>
          <w:rFonts w:ascii="Consolas" w:hAnsi="Consolas"/>
          <w:color w:val="334155"/>
          <w:sz w:val="18"/>
        </w:rPr>
        <w:t>FOR each ValidationResult where passed = false:</w:t>
        <w:br/>
        <w:t xml:space="preserve">  day = ts.day_of_week    # Mon..Sun</w:t>
        <w:br/>
        <w:t xml:space="preserve">  hr  = ts.hour           # 0..23</w:t>
        <w:br/>
        <w:t xml:space="preserve">  cell[day, hr] += 1</w:t>
        <w:br/>
        <w:t>normalise: divide each cell by avg production rate that hour</w:t>
      </w:r>
    </w:p>
    <w:p>
      <w:pPr>
        <w:spacing w:after="40"/>
      </w:pPr>
      <w:r>
        <w:rPr>
          <w:b/>
          <w:color w:val="06768A"/>
          <w:sz w:val="20"/>
        </w:rPr>
        <w:t>Worked example — observed pattern in this plant.</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3744"/>
            <w:shd w:val="clear" w:color="auto" w:fill="102A43"/>
          </w:tcPr>
          <w:p>
            <w:r/>
            <w:r>
              <w:rPr>
                <w:b/>
                <w:color w:val="FFFFFF"/>
                <w:sz w:val="20"/>
              </w:rPr>
              <w:t>Window</w:t>
            </w:r>
          </w:p>
        </w:tc>
        <w:tc>
          <w:tcPr>
            <w:tcW w:type="dxa" w:w="1872"/>
            <w:shd w:val="clear" w:color="auto" w:fill="102A43"/>
          </w:tcPr>
          <w:p>
            <w:r/>
            <w:r>
              <w:rPr>
                <w:b/>
                <w:color w:val="FFFFFF"/>
                <w:sz w:val="20"/>
              </w:rPr>
              <w:t>Failures/hour</w:t>
            </w:r>
          </w:p>
        </w:tc>
        <w:tc>
          <w:tcPr>
            <w:tcW w:type="dxa" w:w="3024"/>
            <w:shd w:val="clear" w:color="auto" w:fill="102A43"/>
          </w:tcPr>
          <w:p>
            <w:r/>
            <w:r>
              <w:rPr>
                <w:b/>
                <w:color w:val="FFFFFF"/>
                <w:sz w:val="20"/>
              </w:rPr>
              <w:t>Vs baseline</w:t>
            </w:r>
          </w:p>
        </w:tc>
      </w:tr>
      <w:tr>
        <w:tc>
          <w:tcPr>
            <w:tcW w:type="dxa" w:w="3744"/>
          </w:tcPr>
          <w:p>
            <w:r/>
            <w:r>
              <w:rPr>
                <w:sz w:val="20"/>
              </w:rPr>
              <w:t>Baseline (10:00–13:00 weekdays)</w:t>
            </w:r>
          </w:p>
        </w:tc>
        <w:tc>
          <w:tcPr>
            <w:tcW w:type="dxa" w:w="1872"/>
          </w:tcPr>
          <w:p>
            <w:r/>
            <w:r>
              <w:rPr>
                <w:sz w:val="20"/>
              </w:rPr>
              <w:t>8</w:t>
            </w:r>
          </w:p>
        </w:tc>
        <w:tc>
          <w:tcPr>
            <w:tcW w:type="dxa" w:w="3024"/>
          </w:tcPr>
          <w:p>
            <w:r/>
            <w:r>
              <w:rPr>
                <w:sz w:val="20"/>
              </w:rPr>
              <w:t>1.0×</w:t>
            </w:r>
          </w:p>
        </w:tc>
      </w:tr>
      <w:tr>
        <w:tc>
          <w:tcPr>
            <w:tcW w:type="dxa" w:w="3744"/>
          </w:tcPr>
          <w:p>
            <w:r/>
            <w:r>
              <w:rPr>
                <w:sz w:val="20"/>
              </w:rPr>
              <w:t>Shift change A→B @ 14:00</w:t>
            </w:r>
          </w:p>
        </w:tc>
        <w:tc>
          <w:tcPr>
            <w:tcW w:type="dxa" w:w="1872"/>
          </w:tcPr>
          <w:p>
            <w:r/>
            <w:r>
              <w:rPr>
                <w:sz w:val="20"/>
              </w:rPr>
              <w:t>26</w:t>
            </w:r>
          </w:p>
        </w:tc>
        <w:tc>
          <w:tcPr>
            <w:tcW w:type="dxa" w:w="3024"/>
          </w:tcPr>
          <w:p>
            <w:r/>
            <w:r>
              <w:rPr>
                <w:sz w:val="20"/>
              </w:rPr>
              <w:t>3.3× ⚠</w:t>
            </w:r>
          </w:p>
        </w:tc>
      </w:tr>
      <w:tr>
        <w:tc>
          <w:tcPr>
            <w:tcW w:type="dxa" w:w="3744"/>
          </w:tcPr>
          <w:p>
            <w:r/>
            <w:r>
              <w:rPr>
                <w:sz w:val="20"/>
              </w:rPr>
              <w:t>Lunch dip 13:00–14:00</w:t>
            </w:r>
          </w:p>
        </w:tc>
        <w:tc>
          <w:tcPr>
            <w:tcW w:type="dxa" w:w="1872"/>
          </w:tcPr>
          <w:p>
            <w:r/>
            <w:r>
              <w:rPr>
                <w:sz w:val="20"/>
              </w:rPr>
              <w:t>4</w:t>
            </w:r>
          </w:p>
        </w:tc>
        <w:tc>
          <w:tcPr>
            <w:tcW w:type="dxa" w:w="3024"/>
          </w:tcPr>
          <w:p>
            <w:r/>
            <w:r>
              <w:rPr>
                <w:sz w:val="20"/>
              </w:rPr>
              <w:t>0.5× (fewer ops, fewer logs)</w:t>
            </w:r>
          </w:p>
        </w:tc>
      </w:tr>
      <w:tr>
        <w:tc>
          <w:tcPr>
            <w:tcW w:type="dxa" w:w="3744"/>
          </w:tcPr>
          <w:p>
            <w:r/>
            <w:r>
              <w:rPr>
                <w:sz w:val="20"/>
              </w:rPr>
              <w:t>Shift change B→C @ 22:00</w:t>
            </w:r>
          </w:p>
        </w:tc>
        <w:tc>
          <w:tcPr>
            <w:tcW w:type="dxa" w:w="1872"/>
          </w:tcPr>
          <w:p>
            <w:r/>
            <w:r>
              <w:rPr>
                <w:sz w:val="20"/>
              </w:rPr>
              <w:t>19</w:t>
            </w:r>
          </w:p>
        </w:tc>
        <w:tc>
          <w:tcPr>
            <w:tcW w:type="dxa" w:w="3024"/>
          </w:tcPr>
          <w:p>
            <w:r/>
            <w:r>
              <w:rPr>
                <w:sz w:val="20"/>
              </w:rPr>
              <w:t>2.4× ⚠</w:t>
            </w:r>
          </w:p>
        </w:tc>
      </w:tr>
      <w:tr>
        <w:tc>
          <w:tcPr>
            <w:tcW w:type="dxa" w:w="3744"/>
          </w:tcPr>
          <w:p>
            <w:r/>
            <w:r>
              <w:rPr>
                <w:sz w:val="20"/>
              </w:rPr>
              <w:t>Sunday 06:00 cold start</w:t>
            </w:r>
          </w:p>
        </w:tc>
        <w:tc>
          <w:tcPr>
            <w:tcW w:type="dxa" w:w="1872"/>
          </w:tcPr>
          <w:p>
            <w:r/>
            <w:r>
              <w:rPr>
                <w:sz w:val="20"/>
              </w:rPr>
              <w:t>31</w:t>
            </w:r>
          </w:p>
        </w:tc>
        <w:tc>
          <w:tcPr>
            <w:tcW w:type="dxa" w:w="3024"/>
          </w:tcPr>
          <w:p>
            <w:r/>
            <w:r>
              <w:rPr>
                <w:sz w:val="20"/>
              </w:rPr>
              <w:t>3.9× ⚠</w:t>
            </w:r>
          </w:p>
        </w:tc>
      </w:tr>
    </w:tbl>
    <w:p>
      <w:pPr>
        <w:spacing w:after="120"/>
      </w:pPr>
      <w:r>
        <w:rPr>
          <w:b w:val="0"/>
          <w:i w:val="0"/>
        </w:rPr>
        <w:t>The two shift-change peaks tell us the handover SOP is not being followed — lines stopping mid-batch. The Sunday startup peak says the cold-start warm-up procedure is too aggressive.</w:t>
      </w:r>
    </w:p>
    <w:p>
      <w:pPr>
        <w:spacing w:after="40"/>
      </w:pPr>
      <w:r>
        <w:rPr>
          <w:b/>
          <w:color w:val="06768A"/>
          <w:sz w:val="20"/>
        </w:rPr>
        <w:t>What you do with it.</w:t>
      </w:r>
    </w:p>
    <w:p>
      <w:pPr>
        <w:spacing w:after="120"/>
      </w:pPr>
      <w:r>
        <w:rPr>
          <w:b w:val="0"/>
          <w:i w:val="0"/>
        </w:rPr>
        <w:t>Add a 10-minute overlap to shift handovers; re-train operators on the cold-start procedure. Re-measure next quarter and confirm the peaks have flattened.</w:t>
      </w:r>
    </w:p>
    <w:p>
      <w:pPr>
        <w:spacing w:before="200" w:after="40"/>
      </w:pPr>
      <w:r>
        <w:rPr>
          <w:b/>
          <w:color w:val="334155"/>
          <w:sz w:val="24"/>
        </w:rPr>
        <w:t>4. Wrapper-to-cascade efficiency</w:t>
      </w:r>
    </w:p>
    <w:p>
      <w:pPr>
        <w:spacing w:after="40"/>
      </w:pPr>
      <w:r>
        <w:rPr>
          <w:b/>
          <w:color w:val="06768A"/>
          <w:sz w:val="20"/>
        </w:rPr>
        <w:t>What it shows.</w:t>
      </w:r>
    </w:p>
    <w:p>
      <w:pPr>
        <w:spacing w:after="120"/>
      </w:pPr>
      <w:r>
        <w:rPr>
          <w:b w:val="0"/>
          <w:i w:val="0"/>
        </w:rPr>
        <w:t>For each individual wrapping head (WRA2…WRA16, ACMA1) the average grams off target over the last N days, grouped by cascade. PKG-04 already fails wrappers that drift &gt; 3 g from same-target peers in real time; this is the long-term trend view that tells maintenance which heads are aging.</w:t>
      </w:r>
    </w:p>
    <w:p>
      <w:pPr>
        <w:spacing w:after="40"/>
      </w:pPr>
      <w:r>
        <w:rPr>
          <w:b/>
          <w:color w:val="06768A"/>
          <w:sz w:val="20"/>
        </w:rPr>
        <w:t>How it is computed.</w:t>
      </w:r>
    </w:p>
    <w:p>
      <w:pPr>
        <w:ind w:left="283"/>
        <w:shd w:val="clear" w:color="auto" w:fill="F5F7FA"/>
      </w:pPr>
      <w:r>
        <w:rPr>
          <w:rFonts w:ascii="Consolas" w:hAnsi="Consolas"/>
          <w:color w:val="334155"/>
          <w:sz w:val="18"/>
        </w:rPr>
        <w:t>FOR each row from packaging telemetry:</w:t>
        <w:br/>
        <w:t xml:space="preserve">  dev = |currentGrams - targetGrams|</w:t>
        <w:br/>
        <w:t>wrapper_avg[w] = mean(dev WHERE wrapperName = w AND ts &gt;= now - 30d)</w:t>
      </w:r>
    </w:p>
    <w:p>
      <w:pPr>
        <w:spacing w:after="40"/>
      </w:pPr>
      <w:r>
        <w:rPr>
          <w:b/>
          <w:color w:val="06768A"/>
          <w:sz w:val="20"/>
        </w:rPr>
        <w:t>Worked example — CAS5_6 (targets ~40 g, tolerance ±3 g):</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440"/>
            <w:shd w:val="clear" w:color="auto" w:fill="102A43"/>
          </w:tcPr>
          <w:p>
            <w:r/>
            <w:r>
              <w:rPr>
                <w:b/>
                <w:color w:val="FFFFFF"/>
                <w:sz w:val="20"/>
              </w:rPr>
              <w:t>Wrapper</w:t>
            </w:r>
          </w:p>
        </w:tc>
        <w:tc>
          <w:tcPr>
            <w:tcW w:type="dxa" w:w="1296"/>
            <w:shd w:val="clear" w:color="auto" w:fill="102A43"/>
          </w:tcPr>
          <w:p>
            <w:r/>
            <w:r>
              <w:rPr>
                <w:b/>
                <w:color w:val="FFFFFF"/>
                <w:sz w:val="20"/>
              </w:rPr>
              <w:t>Target</w:t>
            </w:r>
          </w:p>
        </w:tc>
        <w:tc>
          <w:tcPr>
            <w:tcW w:type="dxa" w:w="2016"/>
            <w:shd w:val="clear" w:color="auto" w:fill="102A43"/>
          </w:tcPr>
          <w:p>
            <w:r/>
            <w:r>
              <w:rPr>
                <w:b/>
                <w:color w:val="FFFFFF"/>
                <w:sz w:val="20"/>
              </w:rPr>
              <w:t>Avg deviation</w:t>
            </w:r>
          </w:p>
        </w:tc>
        <w:tc>
          <w:tcPr>
            <w:tcW w:type="dxa" w:w="3456"/>
            <w:shd w:val="clear" w:color="auto" w:fill="102A43"/>
          </w:tcPr>
          <w:p>
            <w:r/>
            <w:r>
              <w:rPr>
                <w:b/>
                <w:color w:val="FFFFFF"/>
                <w:sz w:val="20"/>
              </w:rPr>
              <w:t>Status</w:t>
            </w:r>
          </w:p>
        </w:tc>
      </w:tr>
      <w:tr>
        <w:tc>
          <w:tcPr>
            <w:tcW w:type="dxa" w:w="1440"/>
          </w:tcPr>
          <w:p>
            <w:r/>
            <w:r>
              <w:rPr>
                <w:sz w:val="20"/>
              </w:rPr>
              <w:t>WRA10</w:t>
            </w:r>
          </w:p>
        </w:tc>
        <w:tc>
          <w:tcPr>
            <w:tcW w:type="dxa" w:w="1296"/>
          </w:tcPr>
          <w:p>
            <w:r/>
            <w:r>
              <w:rPr>
                <w:sz w:val="20"/>
              </w:rPr>
              <w:t>41 g</w:t>
            </w:r>
          </w:p>
        </w:tc>
        <w:tc>
          <w:tcPr>
            <w:tcW w:type="dxa" w:w="2016"/>
          </w:tcPr>
          <w:p>
            <w:r/>
            <w:r>
              <w:rPr>
                <w:sz w:val="20"/>
              </w:rPr>
              <w:t>0.6 g</w:t>
            </w:r>
          </w:p>
        </w:tc>
        <w:tc>
          <w:tcPr>
            <w:tcW w:type="dxa" w:w="3456"/>
          </w:tcPr>
          <w:p>
            <w:r/>
            <w:r>
              <w:rPr>
                <w:sz w:val="20"/>
              </w:rPr>
              <w:t>Healthy</w:t>
            </w:r>
          </w:p>
        </w:tc>
      </w:tr>
      <w:tr>
        <w:tc>
          <w:tcPr>
            <w:tcW w:type="dxa" w:w="1440"/>
          </w:tcPr>
          <w:p>
            <w:r/>
            <w:r>
              <w:rPr>
                <w:sz w:val="20"/>
              </w:rPr>
              <w:t>WRA11</w:t>
            </w:r>
          </w:p>
        </w:tc>
        <w:tc>
          <w:tcPr>
            <w:tcW w:type="dxa" w:w="1296"/>
          </w:tcPr>
          <w:p>
            <w:r/>
            <w:r>
              <w:rPr>
                <w:sz w:val="20"/>
              </w:rPr>
              <w:t>41 g</w:t>
            </w:r>
          </w:p>
        </w:tc>
        <w:tc>
          <w:tcPr>
            <w:tcW w:type="dxa" w:w="2016"/>
          </w:tcPr>
          <w:p>
            <w:r/>
            <w:r>
              <w:rPr>
                <w:sz w:val="20"/>
              </w:rPr>
              <w:t>0.9 g</w:t>
            </w:r>
          </w:p>
        </w:tc>
        <w:tc>
          <w:tcPr>
            <w:tcW w:type="dxa" w:w="3456"/>
          </w:tcPr>
          <w:p>
            <w:r/>
            <w:r>
              <w:rPr>
                <w:sz w:val="20"/>
              </w:rPr>
              <w:t>Healthy</w:t>
            </w:r>
          </w:p>
        </w:tc>
      </w:tr>
      <w:tr>
        <w:tc>
          <w:tcPr>
            <w:tcW w:type="dxa" w:w="1440"/>
          </w:tcPr>
          <w:p>
            <w:r/>
            <w:r>
              <w:rPr>
                <w:sz w:val="20"/>
              </w:rPr>
              <w:t>WRA12</w:t>
            </w:r>
          </w:p>
        </w:tc>
        <w:tc>
          <w:tcPr>
            <w:tcW w:type="dxa" w:w="1296"/>
          </w:tcPr>
          <w:p>
            <w:r/>
            <w:r>
              <w:rPr>
                <w:sz w:val="20"/>
              </w:rPr>
              <w:t>41 g</w:t>
            </w:r>
          </w:p>
        </w:tc>
        <w:tc>
          <w:tcPr>
            <w:tcW w:type="dxa" w:w="2016"/>
          </w:tcPr>
          <w:p>
            <w:r/>
            <w:r>
              <w:rPr>
                <w:sz w:val="20"/>
              </w:rPr>
              <w:t>0.7 g</w:t>
            </w:r>
          </w:p>
        </w:tc>
        <w:tc>
          <w:tcPr>
            <w:tcW w:type="dxa" w:w="3456"/>
          </w:tcPr>
          <w:p>
            <w:r/>
            <w:r>
              <w:rPr>
                <w:sz w:val="20"/>
              </w:rPr>
              <w:t>Healthy</w:t>
            </w:r>
          </w:p>
        </w:tc>
      </w:tr>
      <w:tr>
        <w:tc>
          <w:tcPr>
            <w:tcW w:type="dxa" w:w="1440"/>
          </w:tcPr>
          <w:p>
            <w:r/>
            <w:r>
              <w:rPr>
                <w:sz w:val="20"/>
              </w:rPr>
              <w:t>WRA13</w:t>
            </w:r>
          </w:p>
        </w:tc>
        <w:tc>
          <w:tcPr>
            <w:tcW w:type="dxa" w:w="1296"/>
          </w:tcPr>
          <w:p>
            <w:r/>
            <w:r>
              <w:rPr>
                <w:sz w:val="20"/>
              </w:rPr>
              <w:t>39 g</w:t>
            </w:r>
          </w:p>
        </w:tc>
        <w:tc>
          <w:tcPr>
            <w:tcW w:type="dxa" w:w="2016"/>
          </w:tcPr>
          <w:p>
            <w:r/>
            <w:r>
              <w:rPr>
                <w:sz w:val="20"/>
              </w:rPr>
              <w:t>2.4 g</w:t>
            </w:r>
          </w:p>
        </w:tc>
        <w:tc>
          <w:tcPr>
            <w:tcW w:type="dxa" w:w="3456"/>
          </w:tcPr>
          <w:p>
            <w:r/>
            <w:r>
              <w:rPr>
                <w:sz w:val="20"/>
              </w:rPr>
              <w:t>Outlier — schedule cal</w:t>
            </w:r>
          </w:p>
        </w:tc>
      </w:tr>
      <w:tr>
        <w:tc>
          <w:tcPr>
            <w:tcW w:type="dxa" w:w="1440"/>
          </w:tcPr>
          <w:p>
            <w:r/>
            <w:r>
              <w:rPr>
                <w:sz w:val="20"/>
              </w:rPr>
              <w:t>WRA14</w:t>
            </w:r>
          </w:p>
        </w:tc>
        <w:tc>
          <w:tcPr>
            <w:tcW w:type="dxa" w:w="1296"/>
          </w:tcPr>
          <w:p>
            <w:r/>
            <w:r>
              <w:rPr>
                <w:sz w:val="20"/>
              </w:rPr>
              <w:t>39 g</w:t>
            </w:r>
          </w:p>
        </w:tc>
        <w:tc>
          <w:tcPr>
            <w:tcW w:type="dxa" w:w="2016"/>
          </w:tcPr>
          <w:p>
            <w:r/>
            <w:r>
              <w:rPr>
                <w:sz w:val="20"/>
              </w:rPr>
              <w:t>1.1 g</w:t>
            </w:r>
          </w:p>
        </w:tc>
        <w:tc>
          <w:tcPr>
            <w:tcW w:type="dxa" w:w="3456"/>
          </w:tcPr>
          <w:p>
            <w:r/>
            <w:r>
              <w:rPr>
                <w:sz w:val="20"/>
              </w:rPr>
              <w:t>Healthy</w:t>
            </w:r>
          </w:p>
        </w:tc>
      </w:tr>
      <w:tr>
        <w:tc>
          <w:tcPr>
            <w:tcW w:type="dxa" w:w="1440"/>
          </w:tcPr>
          <w:p>
            <w:r/>
            <w:r>
              <w:rPr>
                <w:sz w:val="20"/>
              </w:rPr>
              <w:t>WRA15</w:t>
            </w:r>
          </w:p>
        </w:tc>
        <w:tc>
          <w:tcPr>
            <w:tcW w:type="dxa" w:w="1296"/>
          </w:tcPr>
          <w:p>
            <w:r/>
            <w:r>
              <w:rPr>
                <w:sz w:val="20"/>
              </w:rPr>
              <w:t>39 g</w:t>
            </w:r>
          </w:p>
        </w:tc>
        <w:tc>
          <w:tcPr>
            <w:tcW w:type="dxa" w:w="2016"/>
          </w:tcPr>
          <w:p>
            <w:r/>
            <w:r>
              <w:rPr>
                <w:sz w:val="20"/>
              </w:rPr>
              <w:t>1.3 g</w:t>
            </w:r>
          </w:p>
        </w:tc>
        <w:tc>
          <w:tcPr>
            <w:tcW w:type="dxa" w:w="3456"/>
          </w:tcPr>
          <w:p>
            <w:r/>
            <w:r>
              <w:rPr>
                <w:sz w:val="20"/>
              </w:rPr>
              <w:t>Healthy</w:t>
            </w:r>
          </w:p>
        </w:tc>
      </w:tr>
      <w:tr>
        <w:tc>
          <w:tcPr>
            <w:tcW w:type="dxa" w:w="1440"/>
          </w:tcPr>
          <w:p>
            <w:r/>
            <w:r>
              <w:rPr>
                <w:sz w:val="20"/>
              </w:rPr>
              <w:t>WRA16</w:t>
            </w:r>
          </w:p>
        </w:tc>
        <w:tc>
          <w:tcPr>
            <w:tcW w:type="dxa" w:w="1296"/>
          </w:tcPr>
          <w:p>
            <w:r/>
            <w:r>
              <w:rPr>
                <w:sz w:val="20"/>
              </w:rPr>
              <w:t>39 g</w:t>
            </w:r>
          </w:p>
        </w:tc>
        <w:tc>
          <w:tcPr>
            <w:tcW w:type="dxa" w:w="2016"/>
          </w:tcPr>
          <w:p>
            <w:r/>
            <w:r>
              <w:rPr>
                <w:sz w:val="20"/>
              </w:rPr>
              <w:t>1.0 g</w:t>
            </w:r>
          </w:p>
        </w:tc>
        <w:tc>
          <w:tcPr>
            <w:tcW w:type="dxa" w:w="3456"/>
          </w:tcPr>
          <w:p>
            <w:r/>
            <w:r>
              <w:rPr>
                <w:sz w:val="20"/>
              </w:rPr>
              <w:t>Healthy</w:t>
            </w:r>
          </w:p>
        </w:tc>
      </w:tr>
    </w:tbl>
    <w:p>
      <w:pPr>
        <w:spacing w:after="120"/>
      </w:pPr>
      <w:r>
        <w:rPr>
          <w:b w:val="0"/>
          <w:i w:val="0"/>
        </w:rPr>
        <w:t>WRA13 sits at 2.4 g average — still within spec but trending toward the 3 g hard limit. A maintenance ticket goes in now, before it starts triggering CRITICAL PKG-02 alerts and producing scrap.</w:t>
      </w:r>
    </w:p>
    <w:p>
      <w:pPr>
        <w:spacing w:after="40"/>
      </w:pPr>
      <w:r>
        <w:rPr>
          <w:b/>
          <w:color w:val="06768A"/>
          <w:sz w:val="20"/>
        </w:rPr>
        <w:t>What you do with it.</w:t>
      </w:r>
    </w:p>
    <w:p>
      <w:pPr>
        <w:spacing w:after="120"/>
      </w:pPr>
      <w:r>
        <w:rPr>
          <w:b w:val="0"/>
          <w:i w:val="0"/>
        </w:rPr>
        <w:t>Convert into a monthly wrapper-health card. The maintenance team prioritises calibration by avg-deviation rank instead of the current "who shouted loudest" model.</w:t>
      </w:r>
    </w:p>
    <w:p>
      <w:pPr>
        <w:spacing w:before="200" w:after="40"/>
      </w:pPr>
      <w:r>
        <w:rPr>
          <w:b/>
          <w:color w:val="334155"/>
          <w:sz w:val="24"/>
        </w:rPr>
        <w:t>5. Silo cross-contamination probability</w:t>
      </w:r>
    </w:p>
    <w:p>
      <w:pPr>
        <w:spacing w:after="40"/>
      </w:pPr>
      <w:r>
        <w:rPr>
          <w:b/>
          <w:color w:val="06768A"/>
          <w:sz w:val="20"/>
        </w:rPr>
        <w:t>What it shows.</w:t>
      </w:r>
    </w:p>
    <w:p>
      <w:pPr>
        <w:spacing w:after="120"/>
      </w:pPr>
      <w:r>
        <w:rPr>
          <w:b w:val="0"/>
          <w:i w:val="0"/>
        </w:rPr>
        <w:t>SLO-05 pairs each Day_silo_N with its corresponding Buffer_silo_N (e.g. Day_silo_3 vs Buffer_silo_3) and fails when their noodle type disagrees. This report aggregates those failures into a per-silo-pair probability heatmap. Above-baseline rates indicate physical leakage, residual product, or fill-valve faults.</w:t>
      </w:r>
    </w:p>
    <w:p>
      <w:pPr>
        <w:spacing w:after="40"/>
      </w:pPr>
      <w:r>
        <w:rPr>
          <w:b/>
          <w:color w:val="06768A"/>
          <w:sz w:val="20"/>
        </w:rPr>
        <w:t>How it is computed.</w:t>
      </w:r>
    </w:p>
    <w:p>
      <w:pPr>
        <w:ind w:left="283"/>
        <w:shd w:val="clear" w:color="auto" w:fill="F5F7FA"/>
      </w:pPr>
      <w:r>
        <w:rPr>
          <w:rFonts w:ascii="Consolas" w:hAnsi="Consolas"/>
          <w:color w:val="334155"/>
          <w:sz w:val="18"/>
        </w:rPr>
        <w:t>FOR each SLO-05 result over the period:</w:t>
        <w:br/>
        <w:t xml:space="preserve">  pair_fail[silo_index]  += (1 if !passed else 0)</w:t>
        <w:br/>
        <w:t xml:space="preserve">  pair_total[silo_index] += 1</w:t>
        <w:br/>
        <w:t>fail_rate[i] = pair_fail[i] / pair_total[i]</w:t>
      </w:r>
    </w:p>
    <w:p>
      <w:pPr>
        <w:spacing w:after="40"/>
      </w:pPr>
      <w:r>
        <w:rPr>
          <w:b/>
          <w:color w:val="06768A"/>
          <w:sz w:val="20"/>
        </w:rPr>
        <w:t>Worked example — last 30 days:</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3456"/>
            <w:shd w:val="clear" w:color="auto" w:fill="102A43"/>
          </w:tcPr>
          <w:p>
            <w:r/>
            <w:r>
              <w:rPr>
                <w:b/>
                <w:color w:val="FFFFFF"/>
                <w:sz w:val="20"/>
              </w:rPr>
              <w:t>Silo pair (Day ↔ Buffer)</w:t>
            </w:r>
          </w:p>
        </w:tc>
        <w:tc>
          <w:tcPr>
            <w:tcW w:type="dxa" w:w="1728"/>
            <w:shd w:val="clear" w:color="auto" w:fill="102A43"/>
          </w:tcPr>
          <w:p>
            <w:r/>
            <w:r>
              <w:rPr>
                <w:b/>
                <w:color w:val="FFFFFF"/>
                <w:sz w:val="20"/>
              </w:rPr>
              <w:t>Samples</w:t>
            </w:r>
          </w:p>
        </w:tc>
        <w:tc>
          <w:tcPr>
            <w:tcW w:type="dxa" w:w="1872"/>
            <w:shd w:val="clear" w:color="auto" w:fill="102A43"/>
          </w:tcPr>
          <w:p>
            <w:r/>
            <w:r>
              <w:rPr>
                <w:b/>
                <w:color w:val="FFFFFF"/>
                <w:sz w:val="20"/>
              </w:rPr>
              <w:t>Mismatches</w:t>
            </w:r>
          </w:p>
        </w:tc>
        <w:tc>
          <w:tcPr>
            <w:tcW w:type="dxa" w:w="1440"/>
            <w:shd w:val="clear" w:color="auto" w:fill="102A43"/>
          </w:tcPr>
          <w:p>
            <w:r/>
            <w:r>
              <w:rPr>
                <w:b/>
                <w:color w:val="FFFFFF"/>
                <w:sz w:val="20"/>
              </w:rPr>
              <w:t>Rate</w:t>
            </w:r>
          </w:p>
        </w:tc>
      </w:tr>
      <w:tr>
        <w:tc>
          <w:tcPr>
            <w:tcW w:type="dxa" w:w="3456"/>
          </w:tcPr>
          <w:p>
            <w:r/>
            <w:r>
              <w:rPr>
                <w:sz w:val="20"/>
              </w:rPr>
              <w:t>1</w:t>
            </w:r>
          </w:p>
        </w:tc>
        <w:tc>
          <w:tcPr>
            <w:tcW w:type="dxa" w:w="1728"/>
          </w:tcPr>
          <w:p>
            <w:r/>
            <w:r>
              <w:rPr>
                <w:sz w:val="20"/>
              </w:rPr>
              <w:t>1,440</w:t>
            </w:r>
          </w:p>
        </w:tc>
        <w:tc>
          <w:tcPr>
            <w:tcW w:type="dxa" w:w="1872"/>
          </w:tcPr>
          <w:p>
            <w:r/>
            <w:r>
              <w:rPr>
                <w:sz w:val="20"/>
              </w:rPr>
              <w:t>18</w:t>
            </w:r>
          </w:p>
        </w:tc>
        <w:tc>
          <w:tcPr>
            <w:tcW w:type="dxa" w:w="1440"/>
          </w:tcPr>
          <w:p>
            <w:r/>
            <w:r>
              <w:rPr>
                <w:sz w:val="20"/>
              </w:rPr>
              <w:t>1.3 %</w:t>
            </w:r>
          </w:p>
        </w:tc>
      </w:tr>
      <w:tr>
        <w:tc>
          <w:tcPr>
            <w:tcW w:type="dxa" w:w="3456"/>
          </w:tcPr>
          <w:p>
            <w:r/>
            <w:r>
              <w:rPr>
                <w:sz w:val="20"/>
              </w:rPr>
              <w:t>2</w:t>
            </w:r>
          </w:p>
        </w:tc>
        <w:tc>
          <w:tcPr>
            <w:tcW w:type="dxa" w:w="1728"/>
          </w:tcPr>
          <w:p>
            <w:r/>
            <w:r>
              <w:rPr>
                <w:sz w:val="20"/>
              </w:rPr>
              <w:t>1,440</w:t>
            </w:r>
          </w:p>
        </w:tc>
        <w:tc>
          <w:tcPr>
            <w:tcW w:type="dxa" w:w="1872"/>
          </w:tcPr>
          <w:p>
            <w:r/>
            <w:r>
              <w:rPr>
                <w:sz w:val="20"/>
              </w:rPr>
              <w:t>32</w:t>
            </w:r>
          </w:p>
        </w:tc>
        <w:tc>
          <w:tcPr>
            <w:tcW w:type="dxa" w:w="1440"/>
          </w:tcPr>
          <w:p>
            <w:r/>
            <w:r>
              <w:rPr>
                <w:sz w:val="20"/>
              </w:rPr>
              <w:t>2.2 %</w:t>
            </w:r>
          </w:p>
        </w:tc>
      </w:tr>
      <w:tr>
        <w:tc>
          <w:tcPr>
            <w:tcW w:type="dxa" w:w="3456"/>
          </w:tcPr>
          <w:p>
            <w:r/>
            <w:r>
              <w:rPr>
                <w:sz w:val="20"/>
              </w:rPr>
              <w:t>3</w:t>
            </w:r>
          </w:p>
        </w:tc>
        <w:tc>
          <w:tcPr>
            <w:tcW w:type="dxa" w:w="1728"/>
          </w:tcPr>
          <w:p>
            <w:r/>
            <w:r>
              <w:rPr>
                <w:sz w:val="20"/>
              </w:rPr>
              <w:t>1,440</w:t>
            </w:r>
          </w:p>
        </w:tc>
        <w:tc>
          <w:tcPr>
            <w:tcW w:type="dxa" w:w="1872"/>
          </w:tcPr>
          <w:p>
            <w:r/>
            <w:r>
              <w:rPr>
                <w:sz w:val="20"/>
              </w:rPr>
              <w:t>330</w:t>
            </w:r>
          </w:p>
        </w:tc>
        <w:tc>
          <w:tcPr>
            <w:tcW w:type="dxa" w:w="1440"/>
          </w:tcPr>
          <w:p>
            <w:r/>
            <w:r>
              <w:rPr>
                <w:sz w:val="20"/>
              </w:rPr>
              <w:t>22.9 % ⚠</w:t>
            </w:r>
          </w:p>
        </w:tc>
      </w:tr>
      <w:tr>
        <w:tc>
          <w:tcPr>
            <w:tcW w:type="dxa" w:w="3456"/>
          </w:tcPr>
          <w:p>
            <w:r/>
            <w:r>
              <w:rPr>
                <w:sz w:val="20"/>
              </w:rPr>
              <w:t>4</w:t>
            </w:r>
          </w:p>
        </w:tc>
        <w:tc>
          <w:tcPr>
            <w:tcW w:type="dxa" w:w="1728"/>
          </w:tcPr>
          <w:p>
            <w:r/>
            <w:r>
              <w:rPr>
                <w:sz w:val="20"/>
              </w:rPr>
              <w:t>1,440</w:t>
            </w:r>
          </w:p>
        </w:tc>
        <w:tc>
          <w:tcPr>
            <w:tcW w:type="dxa" w:w="1872"/>
          </w:tcPr>
          <w:p>
            <w:r/>
            <w:r>
              <w:rPr>
                <w:sz w:val="20"/>
              </w:rPr>
              <w:t>24</w:t>
            </w:r>
          </w:p>
        </w:tc>
        <w:tc>
          <w:tcPr>
            <w:tcW w:type="dxa" w:w="1440"/>
          </w:tcPr>
          <w:p>
            <w:r/>
            <w:r>
              <w:rPr>
                <w:sz w:val="20"/>
              </w:rPr>
              <w:t>1.7 %</w:t>
            </w:r>
          </w:p>
        </w:tc>
      </w:tr>
      <w:tr>
        <w:tc>
          <w:tcPr>
            <w:tcW w:type="dxa" w:w="3456"/>
          </w:tcPr>
          <w:p>
            <w:r/>
            <w:r>
              <w:rPr>
                <w:sz w:val="20"/>
              </w:rPr>
              <w:t>5</w:t>
            </w:r>
          </w:p>
        </w:tc>
        <w:tc>
          <w:tcPr>
            <w:tcW w:type="dxa" w:w="1728"/>
          </w:tcPr>
          <w:p>
            <w:r/>
            <w:r>
              <w:rPr>
                <w:sz w:val="20"/>
              </w:rPr>
              <w:t>1,440</w:t>
            </w:r>
          </w:p>
        </w:tc>
        <w:tc>
          <w:tcPr>
            <w:tcW w:type="dxa" w:w="1872"/>
          </w:tcPr>
          <w:p>
            <w:r/>
            <w:r>
              <w:rPr>
                <w:sz w:val="20"/>
              </w:rPr>
              <w:t>41</w:t>
            </w:r>
          </w:p>
        </w:tc>
        <w:tc>
          <w:tcPr>
            <w:tcW w:type="dxa" w:w="1440"/>
          </w:tcPr>
          <w:p>
            <w:r/>
            <w:r>
              <w:rPr>
                <w:sz w:val="20"/>
              </w:rPr>
              <w:t>2.8 %</w:t>
            </w:r>
          </w:p>
        </w:tc>
      </w:tr>
      <w:tr>
        <w:tc>
          <w:tcPr>
            <w:tcW w:type="dxa" w:w="3456"/>
          </w:tcPr>
          <w:p>
            <w:r/>
            <w:r>
              <w:rPr>
                <w:sz w:val="20"/>
              </w:rPr>
              <w:t>6</w:t>
            </w:r>
          </w:p>
        </w:tc>
        <w:tc>
          <w:tcPr>
            <w:tcW w:type="dxa" w:w="1728"/>
          </w:tcPr>
          <w:p>
            <w:r/>
            <w:r>
              <w:rPr>
                <w:sz w:val="20"/>
              </w:rPr>
              <w:t>1,440</w:t>
            </w:r>
          </w:p>
        </w:tc>
        <w:tc>
          <w:tcPr>
            <w:tcW w:type="dxa" w:w="1872"/>
          </w:tcPr>
          <w:p>
            <w:r/>
            <w:r>
              <w:rPr>
                <w:sz w:val="20"/>
              </w:rPr>
              <w:t>36</w:t>
            </w:r>
          </w:p>
        </w:tc>
        <w:tc>
          <w:tcPr>
            <w:tcW w:type="dxa" w:w="1440"/>
          </w:tcPr>
          <w:p>
            <w:r/>
            <w:r>
              <w:rPr>
                <w:sz w:val="20"/>
              </w:rPr>
              <w:t>2.5 %</w:t>
            </w:r>
          </w:p>
        </w:tc>
      </w:tr>
    </w:tbl>
    <w:p>
      <w:pPr>
        <w:spacing w:after="120"/>
      </w:pPr>
      <w:r>
        <w:rPr>
          <w:b w:val="0"/>
          <w:i w:val="0"/>
        </w:rPr>
        <w:t>Pair 3 is the clear outlier — 10× baseline. Typical root cause: the Day_silo_3 fill valve is leaking back into Buffer_silo_3 between batches, so when the recipe changes from JASMINE → PLUMERIA the buffer still reports JASMINE for the first 20 minutes.</w:t>
      </w:r>
    </w:p>
    <w:p>
      <w:pPr>
        <w:spacing w:after="40"/>
      </w:pPr>
      <w:r>
        <w:rPr>
          <w:b/>
          <w:color w:val="06768A"/>
          <w:sz w:val="20"/>
        </w:rPr>
        <w:t>What you do with it.</w:t>
      </w:r>
    </w:p>
    <w:p>
      <w:pPr>
        <w:spacing w:after="120"/>
      </w:pPr>
      <w:r>
        <w:rPr>
          <w:b w:val="0"/>
          <w:i w:val="0"/>
        </w:rPr>
        <w:t>Targeted physical inspection on silo pair 3. Saves the line from a customer-side audit failure where the noodle in the bag does not match the noodle on the label.</w:t>
      </w:r>
    </w:p>
    <w:p>
      <w:pPr>
        <w:spacing w:before="200" w:after="40"/>
      </w:pPr>
      <w:r>
        <w:rPr>
          <w:b/>
          <w:color w:val="334155"/>
          <w:sz w:val="24"/>
        </w:rPr>
        <w:t>6. Comms reliability per device</w:t>
      </w:r>
    </w:p>
    <w:p>
      <w:pPr>
        <w:spacing w:after="40"/>
      </w:pPr>
      <w:r>
        <w:rPr>
          <w:b/>
          <w:color w:val="06768A"/>
          <w:sz w:val="20"/>
        </w:rPr>
        <w:t>What it shows.</w:t>
      </w:r>
    </w:p>
    <w:p>
      <w:pPr>
        <w:spacing w:after="120"/>
      </w:pPr>
      <w:r>
        <w:rPr>
          <w:b w:val="0"/>
          <w:i w:val="0"/>
        </w:rPr>
        <w:t>GEN-01, PKG-07, and SLO-08 all detect "tag went silent" during production hours. Aggregating those events by MachineId produces a ranking of which physical OPC-UA endpoints are most flaky — the input to the next site-reliability sprint.</w:t>
      </w:r>
    </w:p>
    <w:p>
      <w:pPr>
        <w:spacing w:after="40"/>
      </w:pPr>
      <w:r>
        <w:rPr>
          <w:b/>
          <w:color w:val="06768A"/>
          <w:sz w:val="20"/>
        </w:rPr>
        <w:t>How it is computed.</w:t>
      </w:r>
    </w:p>
    <w:p>
      <w:pPr>
        <w:ind w:left="283"/>
        <w:shd w:val="clear" w:color="auto" w:fill="F5F7FA"/>
      </w:pPr>
      <w:r>
        <w:rPr>
          <w:rFonts w:ascii="Consolas" w:hAnsi="Consolas"/>
          <w:color w:val="334155"/>
          <w:sz w:val="18"/>
        </w:rPr>
        <w:t>FOR each ValidationResult where ruleId in (GEN-01, PKG-07, SLO-08) AND !passed:</w:t>
        <w:br/>
        <w:t xml:space="preserve">  device_gaps[machineId] += 1</w:t>
        <w:br/>
        <w:t>total_polls[machineId] = count(*) WHERE ts &gt;= now - 30d</w:t>
        <w:br/>
        <w:t>flake_rate[m] = device_gaps[m] / total_polls[m]</w:t>
      </w:r>
    </w:p>
    <w:p>
      <w:pPr>
        <w:spacing w:after="40"/>
      </w:pPr>
      <w:r>
        <w:rPr>
          <w:b/>
          <w:color w:val="06768A"/>
          <w:sz w:val="20"/>
        </w:rPr>
        <w:t>Worked example — last 30 days:</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032"/>
            <w:shd w:val="clear" w:color="auto" w:fill="102A43"/>
          </w:tcPr>
          <w:p>
            <w:r/>
            <w:r>
              <w:rPr>
                <w:b/>
                <w:color w:val="FFFFFF"/>
                <w:sz w:val="20"/>
              </w:rPr>
              <w:t>MachineId</w:t>
            </w:r>
          </w:p>
        </w:tc>
        <w:tc>
          <w:tcPr>
            <w:tcW w:type="dxa" w:w="1440"/>
            <w:shd w:val="clear" w:color="auto" w:fill="102A43"/>
          </w:tcPr>
          <w:p>
            <w:r/>
            <w:r>
              <w:rPr>
                <w:b/>
                <w:color w:val="FFFFFF"/>
                <w:sz w:val="20"/>
              </w:rPr>
              <w:t>Polls</w:t>
            </w:r>
          </w:p>
        </w:tc>
        <w:tc>
          <w:tcPr>
            <w:tcW w:type="dxa" w:w="1296"/>
            <w:shd w:val="clear" w:color="auto" w:fill="102A43"/>
          </w:tcPr>
          <w:p>
            <w:r/>
            <w:r>
              <w:rPr>
                <w:b/>
                <w:color w:val="FFFFFF"/>
                <w:sz w:val="20"/>
              </w:rPr>
              <w:t>Gap events</w:t>
            </w:r>
          </w:p>
        </w:tc>
        <w:tc>
          <w:tcPr>
            <w:tcW w:type="dxa" w:w="1440"/>
            <w:shd w:val="clear" w:color="auto" w:fill="102A43"/>
          </w:tcPr>
          <w:p>
            <w:r/>
            <w:r>
              <w:rPr>
                <w:b/>
                <w:color w:val="FFFFFF"/>
                <w:sz w:val="20"/>
              </w:rPr>
              <w:t>Flake rate</w:t>
            </w:r>
          </w:p>
        </w:tc>
        <w:tc>
          <w:tcPr>
            <w:tcW w:type="dxa" w:w="1296"/>
            <w:shd w:val="clear" w:color="auto" w:fill="102A43"/>
          </w:tcPr>
          <w:p>
            <w:r/>
            <w:r>
              <w:rPr>
                <w:b/>
                <w:color w:val="FFFFFF"/>
                <w:sz w:val="20"/>
              </w:rPr>
              <w:t>Vs baseline</w:t>
            </w:r>
          </w:p>
        </w:tc>
      </w:tr>
      <w:tr>
        <w:tc>
          <w:tcPr>
            <w:tcW w:type="dxa" w:w="4032"/>
          </w:tcPr>
          <w:p>
            <w:r/>
            <w:r>
              <w:rPr>
                <w:sz w:val="20"/>
              </w:rPr>
              <w:t>8005000043300 (default)</w:t>
            </w:r>
          </w:p>
        </w:tc>
        <w:tc>
          <w:tcPr>
            <w:tcW w:type="dxa" w:w="1440"/>
          </w:tcPr>
          <w:p>
            <w:r/>
            <w:r>
              <w:rPr>
                <w:sz w:val="20"/>
              </w:rPr>
              <w:t>432,000</w:t>
            </w:r>
          </w:p>
        </w:tc>
        <w:tc>
          <w:tcPr>
            <w:tcW w:type="dxa" w:w="1296"/>
          </w:tcPr>
          <w:p>
            <w:r/>
            <w:r>
              <w:rPr>
                <w:sz w:val="20"/>
              </w:rPr>
              <w:t>8</w:t>
            </w:r>
          </w:p>
        </w:tc>
        <w:tc>
          <w:tcPr>
            <w:tcW w:type="dxa" w:w="1440"/>
          </w:tcPr>
          <w:p>
            <w:r/>
            <w:r>
              <w:rPr>
                <w:sz w:val="20"/>
              </w:rPr>
              <w:t>0.002 %</w:t>
            </w:r>
          </w:p>
        </w:tc>
        <w:tc>
          <w:tcPr>
            <w:tcW w:type="dxa" w:w="1296"/>
          </w:tcPr>
          <w:p>
            <w:r/>
            <w:r>
              <w:rPr>
                <w:sz w:val="20"/>
              </w:rPr>
              <w:t>1.0×</w:t>
            </w:r>
          </w:p>
        </w:tc>
      </w:tr>
      <w:tr>
        <w:tc>
          <w:tcPr>
            <w:tcW w:type="dxa" w:w="4032"/>
          </w:tcPr>
          <w:p>
            <w:r/>
            <w:r>
              <w:rPr>
                <w:sz w:val="20"/>
              </w:rPr>
              <w:t>800500104343-1 (WRA3, ACMA1)</w:t>
            </w:r>
          </w:p>
        </w:tc>
        <w:tc>
          <w:tcPr>
            <w:tcW w:type="dxa" w:w="1440"/>
          </w:tcPr>
          <w:p>
            <w:r/>
            <w:r>
              <w:rPr>
                <w:sz w:val="20"/>
              </w:rPr>
              <w:t>432,000</w:t>
            </w:r>
          </w:p>
        </w:tc>
        <w:tc>
          <w:tcPr>
            <w:tcW w:type="dxa" w:w="1296"/>
          </w:tcPr>
          <w:p>
            <w:r/>
            <w:r>
              <w:rPr>
                <w:sz w:val="20"/>
              </w:rPr>
              <w:t>47</w:t>
            </w:r>
          </w:p>
        </w:tc>
        <w:tc>
          <w:tcPr>
            <w:tcW w:type="dxa" w:w="1440"/>
          </w:tcPr>
          <w:p>
            <w:r/>
            <w:r>
              <w:rPr>
                <w:sz w:val="20"/>
              </w:rPr>
              <w:t>0.011 %</w:t>
            </w:r>
          </w:p>
        </w:tc>
        <w:tc>
          <w:tcPr>
            <w:tcW w:type="dxa" w:w="1296"/>
          </w:tcPr>
          <w:p>
            <w:r/>
            <w:r>
              <w:rPr>
                <w:sz w:val="20"/>
              </w:rPr>
              <w:t>5.5× ⚠</w:t>
            </w:r>
          </w:p>
        </w:tc>
      </w:tr>
      <w:tr>
        <w:tc>
          <w:tcPr>
            <w:tcW w:type="dxa" w:w="4032"/>
          </w:tcPr>
          <w:p>
            <w:r/>
            <w:r>
              <w:rPr>
                <w:sz w:val="20"/>
              </w:rPr>
              <w:t>800500005279-0 (WRA16)</w:t>
            </w:r>
          </w:p>
        </w:tc>
        <w:tc>
          <w:tcPr>
            <w:tcW w:type="dxa" w:w="1440"/>
          </w:tcPr>
          <w:p>
            <w:r/>
            <w:r>
              <w:rPr>
                <w:sz w:val="20"/>
              </w:rPr>
              <w:t>432,000</w:t>
            </w:r>
          </w:p>
        </w:tc>
        <w:tc>
          <w:tcPr>
            <w:tcW w:type="dxa" w:w="1296"/>
          </w:tcPr>
          <w:p>
            <w:r/>
            <w:r>
              <w:rPr>
                <w:sz w:val="20"/>
              </w:rPr>
              <w:t>12</w:t>
            </w:r>
          </w:p>
        </w:tc>
        <w:tc>
          <w:tcPr>
            <w:tcW w:type="dxa" w:w="1440"/>
          </w:tcPr>
          <w:p>
            <w:r/>
            <w:r>
              <w:rPr>
                <w:sz w:val="20"/>
              </w:rPr>
              <w:t>0.003 %</w:t>
            </w:r>
          </w:p>
        </w:tc>
        <w:tc>
          <w:tcPr>
            <w:tcW w:type="dxa" w:w="1296"/>
          </w:tcPr>
          <w:p>
            <w:r/>
            <w:r>
              <w:rPr>
                <w:sz w:val="20"/>
              </w:rPr>
              <w:t>1.5×</w:t>
            </w:r>
          </w:p>
        </w:tc>
      </w:tr>
    </w:tbl>
    <w:p>
      <w:pPr>
        <w:spacing w:after="120"/>
      </w:pPr>
      <w:r>
        <w:rPr>
          <w:b w:val="0"/>
          <w:i w:val="0"/>
        </w:rPr>
        <w:t>The 800500104343-1 endpoint, which carries WRA3 and ACMA1, shows 5× the comms-drop rate of the default endpoint.</w:t>
      </w:r>
    </w:p>
    <w:p>
      <w:pPr>
        <w:spacing w:after="40"/>
      </w:pPr>
      <w:r>
        <w:rPr>
          <w:b/>
          <w:color w:val="06768A"/>
          <w:sz w:val="20"/>
        </w:rPr>
        <w:t>What you do with it.</w:t>
      </w:r>
    </w:p>
    <w:p>
      <w:pPr>
        <w:spacing w:after="120"/>
      </w:pPr>
      <w:r>
        <w:rPr>
          <w:b w:val="0"/>
          <w:i w:val="0"/>
        </w:rPr>
        <w:t>IT/OT raises a ticket: swap the edge-gateway module or upgrade firmware on that specific endpoint. Data-backed prioritisation — not the loudest complaint.</w:t>
      </w:r>
    </w:p>
    <w:p>
      <w:pPr>
        <w:spacing w:before="200" w:after="40"/>
      </w:pPr>
      <w:r>
        <w:rPr>
          <w:b/>
          <w:color w:val="334155"/>
          <w:sz w:val="24"/>
        </w:rPr>
        <w:t>7. Batch-completion histogram</w:t>
      </w:r>
    </w:p>
    <w:p>
      <w:pPr>
        <w:spacing w:after="40"/>
      </w:pPr>
      <w:r>
        <w:rPr>
          <w:b/>
          <w:color w:val="06768A"/>
          <w:sz w:val="20"/>
        </w:rPr>
        <w:t>What it shows.</w:t>
      </w:r>
    </w:p>
    <w:p>
      <w:pPr>
        <w:spacing w:after="120"/>
      </w:pPr>
      <w:r>
        <w:rPr>
          <w:b w:val="0"/>
          <w:i w:val="0"/>
        </w:rPr>
        <w:t>For each PSM recipe, the distribution of time spent in dosing (from first S=2 to S=3) per batch. Median = the realistic cycle time; 95th-percentile = the buffer production planning must allocate; the spread reveals process stability.</w:t>
      </w:r>
    </w:p>
    <w:p>
      <w:pPr>
        <w:spacing w:after="40"/>
      </w:pPr>
      <w:r>
        <w:rPr>
          <w:b/>
          <w:color w:val="06768A"/>
          <w:sz w:val="20"/>
        </w:rPr>
        <w:t>How it is computed.</w:t>
      </w:r>
    </w:p>
    <w:p>
      <w:pPr>
        <w:ind w:left="283"/>
        <w:shd w:val="clear" w:color="auto" w:fill="F5F7FA"/>
      </w:pPr>
      <w:r>
        <w:rPr>
          <w:rFonts w:ascii="Consolas" w:hAnsi="Consolas"/>
          <w:color w:val="334155"/>
          <w:sz w:val="18"/>
        </w:rPr>
        <w:t>FOR each batchKey in PSM:</w:t>
        <w:br/>
        <w:t xml:space="preserve">  start_ts = min(ts WHERE batchKey = k AND S = 2)</w:t>
        <w:br/>
        <w:t xml:space="preserve">  end_ts   = min(ts WHERE batchKey = k AND S = 3 AND ts &gt; start_ts)</w:t>
        <w:br/>
        <w:t xml:space="preserve">  duration[batchKey] = end_ts - start_ts</w:t>
        <w:br/>
        <w:t>recipe_hist[r] = duration[batchKey] WHERE recipe = r</w:t>
      </w:r>
    </w:p>
    <w:p>
      <w:pPr>
        <w:spacing w:after="40"/>
      </w:pPr>
      <w:r>
        <w:rPr>
          <w:b/>
          <w:color w:val="06768A"/>
          <w:sz w:val="20"/>
        </w:rPr>
        <w:t>Worked example — last quarter:</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2880"/>
            <w:shd w:val="clear" w:color="auto" w:fill="102A43"/>
          </w:tcPr>
          <w:p>
            <w:r/>
            <w:r>
              <w:rPr>
                <w:b/>
                <w:color w:val="FFFFFF"/>
                <w:sz w:val="20"/>
              </w:rPr>
              <w:t>Recipe</w:t>
            </w:r>
          </w:p>
        </w:tc>
        <w:tc>
          <w:tcPr>
            <w:tcW w:type="dxa" w:w="1296"/>
            <w:shd w:val="clear" w:color="auto" w:fill="102A43"/>
          </w:tcPr>
          <w:p>
            <w:r/>
            <w:r>
              <w:rPr>
                <w:b/>
                <w:color w:val="FFFFFF"/>
                <w:sz w:val="20"/>
              </w:rPr>
              <w:t>Median</w:t>
            </w:r>
          </w:p>
        </w:tc>
        <w:tc>
          <w:tcPr>
            <w:tcW w:type="dxa" w:w="1152"/>
            <w:shd w:val="clear" w:color="auto" w:fill="102A43"/>
          </w:tcPr>
          <w:p>
            <w:r/>
            <w:r>
              <w:rPr>
                <w:b/>
                <w:color w:val="FFFFFF"/>
                <w:sz w:val="20"/>
              </w:rPr>
              <w:t>p95</w:t>
            </w:r>
          </w:p>
        </w:tc>
        <w:tc>
          <w:tcPr>
            <w:tcW w:type="dxa" w:w="1152"/>
            <w:shd w:val="clear" w:color="auto" w:fill="102A43"/>
          </w:tcPr>
          <w:p>
            <w:r/>
            <w:r>
              <w:rPr>
                <w:b/>
                <w:color w:val="FFFFFF"/>
                <w:sz w:val="20"/>
              </w:rPr>
              <w:t>p99</w:t>
            </w:r>
          </w:p>
        </w:tc>
        <w:tc>
          <w:tcPr>
            <w:tcW w:type="dxa" w:w="2304"/>
            <w:shd w:val="clear" w:color="auto" w:fill="102A43"/>
          </w:tcPr>
          <w:p>
            <w:r/>
            <w:r>
              <w:rPr>
                <w:b/>
                <w:color w:val="FFFFFF"/>
                <w:sz w:val="20"/>
              </w:rPr>
              <w:t>p99 / median</w:t>
            </w:r>
          </w:p>
        </w:tc>
      </w:tr>
      <w:tr>
        <w:tc>
          <w:tcPr>
            <w:tcW w:type="dxa" w:w="2880"/>
          </w:tcPr>
          <w:p>
            <w:r/>
            <w:r>
              <w:rPr>
                <w:sz w:val="20"/>
              </w:rPr>
              <w:t>PLUMERIA NOODLES</w:t>
            </w:r>
          </w:p>
        </w:tc>
        <w:tc>
          <w:tcPr>
            <w:tcW w:type="dxa" w:w="1296"/>
          </w:tcPr>
          <w:p>
            <w:r/>
            <w:r>
              <w:rPr>
                <w:sz w:val="20"/>
              </w:rPr>
              <w:t>22 min</w:t>
            </w:r>
          </w:p>
        </w:tc>
        <w:tc>
          <w:tcPr>
            <w:tcW w:type="dxa" w:w="1152"/>
          </w:tcPr>
          <w:p>
            <w:r/>
            <w:r>
              <w:rPr>
                <w:sz w:val="20"/>
              </w:rPr>
              <w:t>28 min</w:t>
            </w:r>
          </w:p>
        </w:tc>
        <w:tc>
          <w:tcPr>
            <w:tcW w:type="dxa" w:w="1152"/>
          </w:tcPr>
          <w:p>
            <w:r/>
            <w:r>
              <w:rPr>
                <w:sz w:val="20"/>
              </w:rPr>
              <w:t>31 min</w:t>
            </w:r>
          </w:p>
        </w:tc>
        <w:tc>
          <w:tcPr>
            <w:tcW w:type="dxa" w:w="2304"/>
          </w:tcPr>
          <w:p>
            <w:r/>
            <w:r>
              <w:rPr>
                <w:sz w:val="20"/>
              </w:rPr>
              <w:t>1.41× (stable)</w:t>
            </w:r>
          </w:p>
        </w:tc>
      </w:tr>
      <w:tr>
        <w:tc>
          <w:tcPr>
            <w:tcW w:type="dxa" w:w="2880"/>
          </w:tcPr>
          <w:p>
            <w:r/>
            <w:r>
              <w:rPr>
                <w:sz w:val="20"/>
              </w:rPr>
              <w:t>LILAC NOODLES</w:t>
            </w:r>
          </w:p>
        </w:tc>
        <w:tc>
          <w:tcPr>
            <w:tcW w:type="dxa" w:w="1296"/>
          </w:tcPr>
          <w:p>
            <w:r/>
            <w:r>
              <w:rPr>
                <w:sz w:val="20"/>
              </w:rPr>
              <w:t>24 min</w:t>
            </w:r>
          </w:p>
        </w:tc>
        <w:tc>
          <w:tcPr>
            <w:tcW w:type="dxa" w:w="1152"/>
          </w:tcPr>
          <w:p>
            <w:r/>
            <w:r>
              <w:rPr>
                <w:sz w:val="20"/>
              </w:rPr>
              <w:t>29 min</w:t>
            </w:r>
          </w:p>
        </w:tc>
        <w:tc>
          <w:tcPr>
            <w:tcW w:type="dxa" w:w="1152"/>
          </w:tcPr>
          <w:p>
            <w:r/>
            <w:r>
              <w:rPr>
                <w:sz w:val="20"/>
              </w:rPr>
              <w:t>33 min</w:t>
            </w:r>
          </w:p>
        </w:tc>
        <w:tc>
          <w:tcPr>
            <w:tcW w:type="dxa" w:w="2304"/>
          </w:tcPr>
          <w:p>
            <w:r/>
            <w:r>
              <w:rPr>
                <w:sz w:val="20"/>
              </w:rPr>
              <w:t>1.38× (stable)</w:t>
            </w:r>
          </w:p>
        </w:tc>
      </w:tr>
      <w:tr>
        <w:tc>
          <w:tcPr>
            <w:tcW w:type="dxa" w:w="2880"/>
          </w:tcPr>
          <w:p>
            <w:r/>
            <w:r>
              <w:rPr>
                <w:sz w:val="20"/>
              </w:rPr>
              <w:t>JASMINE NOODLES</w:t>
            </w:r>
          </w:p>
        </w:tc>
        <w:tc>
          <w:tcPr>
            <w:tcW w:type="dxa" w:w="1296"/>
          </w:tcPr>
          <w:p>
            <w:r/>
            <w:r>
              <w:rPr>
                <w:sz w:val="20"/>
              </w:rPr>
              <w:t>27 min</w:t>
            </w:r>
          </w:p>
        </w:tc>
        <w:tc>
          <w:tcPr>
            <w:tcW w:type="dxa" w:w="1152"/>
          </w:tcPr>
          <w:p>
            <w:r/>
            <w:r>
              <w:rPr>
                <w:sz w:val="20"/>
              </w:rPr>
              <w:t>41 min</w:t>
            </w:r>
          </w:p>
        </w:tc>
        <w:tc>
          <w:tcPr>
            <w:tcW w:type="dxa" w:w="1152"/>
          </w:tcPr>
          <w:p>
            <w:r/>
            <w:r>
              <w:rPr>
                <w:sz w:val="20"/>
              </w:rPr>
              <w:t>58 min</w:t>
            </w:r>
          </w:p>
        </w:tc>
        <w:tc>
          <w:tcPr>
            <w:tcW w:type="dxa" w:w="2304"/>
          </w:tcPr>
          <w:p>
            <w:r/>
            <w:r>
              <w:rPr>
                <w:sz w:val="20"/>
              </w:rPr>
              <w:t>2.15× (variable)</w:t>
            </w:r>
          </w:p>
        </w:tc>
      </w:tr>
      <w:tr>
        <w:tc>
          <w:tcPr>
            <w:tcW w:type="dxa" w:w="2880"/>
          </w:tcPr>
          <w:p>
            <w:r/>
            <w:r>
              <w:rPr>
                <w:sz w:val="20"/>
              </w:rPr>
              <w:t>GALAXY NOODLES</w:t>
            </w:r>
          </w:p>
        </w:tc>
        <w:tc>
          <w:tcPr>
            <w:tcW w:type="dxa" w:w="1296"/>
          </w:tcPr>
          <w:p>
            <w:r/>
            <w:r>
              <w:rPr>
                <w:sz w:val="20"/>
              </w:rPr>
              <w:t>31 min</w:t>
            </w:r>
          </w:p>
        </w:tc>
        <w:tc>
          <w:tcPr>
            <w:tcW w:type="dxa" w:w="1152"/>
          </w:tcPr>
          <w:p>
            <w:r/>
            <w:r>
              <w:rPr>
                <w:sz w:val="20"/>
              </w:rPr>
              <w:t>45 min</w:t>
            </w:r>
          </w:p>
        </w:tc>
        <w:tc>
          <w:tcPr>
            <w:tcW w:type="dxa" w:w="1152"/>
          </w:tcPr>
          <w:p>
            <w:r/>
            <w:r>
              <w:rPr>
                <w:sz w:val="20"/>
              </w:rPr>
              <w:t>67 min</w:t>
            </w:r>
          </w:p>
        </w:tc>
        <w:tc>
          <w:tcPr>
            <w:tcW w:type="dxa" w:w="2304"/>
          </w:tcPr>
          <w:p>
            <w:r/>
            <w:r>
              <w:rPr>
                <w:sz w:val="20"/>
              </w:rPr>
              <w:t>2.16× (variable)</w:t>
            </w:r>
          </w:p>
        </w:tc>
      </w:tr>
    </w:tbl>
    <w:p>
      <w:pPr>
        <w:spacing w:after="120"/>
      </w:pPr>
      <w:r>
        <w:rPr>
          <w:b w:val="0"/>
          <w:i w:val="0"/>
        </w:rPr>
        <w:t>GALAXY is 40 % slower at the median and twice as variable at the tail compared with PLUMERIA. Production planning currently allocates a flat 30-minute slot per batch — that under-specs GALAXY by 50 %, leading to cascading line delays.</w:t>
      </w:r>
    </w:p>
    <w:p>
      <w:pPr>
        <w:spacing w:after="40"/>
      </w:pPr>
      <w:r>
        <w:rPr>
          <w:b/>
          <w:color w:val="06768A"/>
          <w:sz w:val="20"/>
        </w:rPr>
        <w:t>What you do with it.</w:t>
      </w:r>
    </w:p>
    <w:p>
      <w:pPr>
        <w:spacing w:after="120"/>
      </w:pPr>
      <w:r>
        <w:rPr>
          <w:b w:val="0"/>
          <w:i w:val="0"/>
        </w:rPr>
        <w:t>Either re-slot GALAXY at 45 minutes or commission a process improvement on it. Without this report the line owner has no leverage to ask for either.</w:t>
      </w:r>
    </w:p>
    <w:p>
      <w:pPr>
        <w:spacing w:before="200" w:after="40"/>
      </w:pPr>
      <w:r>
        <w:rPr>
          <w:b/>
          <w:color w:val="334155"/>
          <w:sz w:val="24"/>
        </w:rPr>
        <w:t>8. Predictive-vs-actual ROC</w:t>
      </w:r>
    </w:p>
    <w:p>
      <w:pPr>
        <w:spacing w:after="40"/>
      </w:pPr>
      <w:r>
        <w:rPr>
          <w:b/>
          <w:color w:val="06768A"/>
          <w:sz w:val="20"/>
        </w:rPr>
        <w:t>What it shows.</w:t>
      </w:r>
    </w:p>
    <w:p>
      <w:pPr>
        <w:spacing w:after="120"/>
      </w:pPr>
      <w:r>
        <w:rPr>
          <w:b w:val="0"/>
          <w:i w:val="0"/>
        </w:rPr>
        <w:t>The spike_15m ONNX model emits a probability that a weight-spike will occur in the next 15 minutes. This report compares those predictions against what actually happened (from the rule engine's ground-truth labels) and plots a ROC curve. The AUC is the headline KPI for "is our ML still trustworthy."</w:t>
      </w:r>
    </w:p>
    <w:p>
      <w:pPr>
        <w:spacing w:after="40"/>
      </w:pPr>
      <w:r>
        <w:rPr>
          <w:b/>
          <w:color w:val="06768A"/>
          <w:sz w:val="20"/>
        </w:rPr>
        <w:t>How it is computed.</w:t>
      </w:r>
    </w:p>
    <w:p>
      <w:pPr>
        <w:ind w:left="283"/>
        <w:shd w:val="clear" w:color="auto" w:fill="F5F7FA"/>
      </w:pPr>
      <w:r>
        <w:rPr>
          <w:rFonts w:ascii="Consolas" w:hAnsi="Consolas"/>
          <w:color w:val="334155"/>
          <w:sz w:val="18"/>
        </w:rPr>
        <w:t>FOR each prediction P in last 30 days:</w:t>
        <w:br/>
        <w:t xml:space="preserve">  truth = (any CRITICAL rule fired within [P.ts, P.ts + 15min])</w:t>
        <w:br/>
        <w:t xml:space="preserve">  pairs.append((P.probability, truth))</w:t>
        <w:br/>
        <w:t>roc = sweep threshold across pairs</w:t>
        <w:br/>
        <w:t>AUC = area under curve</w:t>
      </w:r>
    </w:p>
    <w:p>
      <w:pPr>
        <w:spacing w:after="40"/>
      </w:pPr>
      <w:r>
        <w:rPr>
          <w:b/>
          <w:color w:val="06768A"/>
          <w:sz w:val="20"/>
        </w:rPr>
        <w:t>Worked example — monthly evolution:</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1440"/>
            <w:shd w:val="clear" w:color="auto" w:fill="102A43"/>
          </w:tcPr>
          <w:p>
            <w:r/>
            <w:r>
              <w:rPr>
                <w:b/>
                <w:color w:val="FFFFFF"/>
                <w:sz w:val="20"/>
              </w:rPr>
              <w:t>Month</w:t>
            </w:r>
          </w:p>
        </w:tc>
        <w:tc>
          <w:tcPr>
            <w:tcW w:type="dxa" w:w="1728"/>
            <w:shd w:val="clear" w:color="auto" w:fill="102A43"/>
          </w:tcPr>
          <w:p>
            <w:r/>
            <w:r>
              <w:rPr>
                <w:b/>
                <w:color w:val="FFFFFF"/>
                <w:sz w:val="20"/>
              </w:rPr>
              <w:t>Predictions</w:t>
            </w:r>
          </w:p>
        </w:tc>
        <w:tc>
          <w:tcPr>
            <w:tcW w:type="dxa" w:w="1008"/>
            <w:shd w:val="clear" w:color="auto" w:fill="102A43"/>
          </w:tcPr>
          <w:p>
            <w:r/>
            <w:r>
              <w:rPr>
                <w:b/>
                <w:color w:val="FFFFFF"/>
                <w:sz w:val="20"/>
              </w:rPr>
              <w:t>AUC</w:t>
            </w:r>
          </w:p>
        </w:tc>
        <w:tc>
          <w:tcPr>
            <w:tcW w:type="dxa" w:w="2448"/>
            <w:shd w:val="clear" w:color="auto" w:fill="102A43"/>
          </w:tcPr>
          <w:p>
            <w:r/>
            <w:r>
              <w:rPr>
                <w:b/>
                <w:color w:val="FFFFFF"/>
                <w:sz w:val="20"/>
              </w:rPr>
              <w:t>TPR @ 90% specificity</w:t>
            </w:r>
          </w:p>
        </w:tc>
        <w:tc>
          <w:tcPr>
            <w:tcW w:type="dxa" w:w="2160"/>
            <w:shd w:val="clear" w:color="auto" w:fill="102A43"/>
          </w:tcPr>
          <w:p>
            <w:r/>
            <w:r>
              <w:rPr>
                <w:b/>
                <w:color w:val="FFFFFF"/>
                <w:sz w:val="20"/>
              </w:rPr>
              <w:t>Status</w:t>
            </w:r>
          </w:p>
        </w:tc>
      </w:tr>
      <w:tr>
        <w:tc>
          <w:tcPr>
            <w:tcW w:type="dxa" w:w="1440"/>
          </w:tcPr>
          <w:p>
            <w:r/>
            <w:r>
              <w:rPr>
                <w:sz w:val="20"/>
              </w:rPr>
              <w:t>March</w:t>
            </w:r>
          </w:p>
        </w:tc>
        <w:tc>
          <w:tcPr>
            <w:tcW w:type="dxa" w:w="1728"/>
          </w:tcPr>
          <w:p>
            <w:r/>
            <w:r>
              <w:rPr>
                <w:sz w:val="20"/>
              </w:rPr>
              <w:t>218,400</w:t>
            </w:r>
          </w:p>
        </w:tc>
        <w:tc>
          <w:tcPr>
            <w:tcW w:type="dxa" w:w="1008"/>
          </w:tcPr>
          <w:p>
            <w:r/>
            <w:r>
              <w:rPr>
                <w:sz w:val="20"/>
              </w:rPr>
              <w:t>0.89</w:t>
            </w:r>
          </w:p>
        </w:tc>
        <w:tc>
          <w:tcPr>
            <w:tcW w:type="dxa" w:w="2448"/>
          </w:tcPr>
          <w:p>
            <w:r/>
            <w:r>
              <w:rPr>
                <w:sz w:val="20"/>
              </w:rPr>
              <w:t>0.71</w:t>
            </w:r>
          </w:p>
        </w:tc>
        <w:tc>
          <w:tcPr>
            <w:tcW w:type="dxa" w:w="2160"/>
          </w:tcPr>
          <w:p>
            <w:r/>
            <w:r>
              <w:rPr>
                <w:sz w:val="20"/>
              </w:rPr>
              <w:t>Healthy</w:t>
            </w:r>
          </w:p>
        </w:tc>
      </w:tr>
      <w:tr>
        <w:tc>
          <w:tcPr>
            <w:tcW w:type="dxa" w:w="1440"/>
          </w:tcPr>
          <w:p>
            <w:r/>
            <w:r>
              <w:rPr>
                <w:sz w:val="20"/>
              </w:rPr>
              <w:t>April</w:t>
            </w:r>
          </w:p>
        </w:tc>
        <w:tc>
          <w:tcPr>
            <w:tcW w:type="dxa" w:w="1728"/>
          </w:tcPr>
          <w:p>
            <w:r/>
            <w:r>
              <w:rPr>
                <w:sz w:val="20"/>
              </w:rPr>
              <w:t>218,400</w:t>
            </w:r>
          </w:p>
        </w:tc>
        <w:tc>
          <w:tcPr>
            <w:tcW w:type="dxa" w:w="1008"/>
          </w:tcPr>
          <w:p>
            <w:r/>
            <w:r>
              <w:rPr>
                <w:sz w:val="20"/>
              </w:rPr>
              <w:t>0.87</w:t>
            </w:r>
          </w:p>
        </w:tc>
        <w:tc>
          <w:tcPr>
            <w:tcW w:type="dxa" w:w="2448"/>
          </w:tcPr>
          <w:p>
            <w:r/>
            <w:r>
              <w:rPr>
                <w:sz w:val="20"/>
              </w:rPr>
              <w:t>0.69</w:t>
            </w:r>
          </w:p>
        </w:tc>
        <w:tc>
          <w:tcPr>
            <w:tcW w:type="dxa" w:w="2160"/>
          </w:tcPr>
          <w:p>
            <w:r/>
            <w:r>
              <w:rPr>
                <w:sz w:val="20"/>
              </w:rPr>
              <w:t>Healthy</w:t>
            </w:r>
          </w:p>
        </w:tc>
      </w:tr>
      <w:tr>
        <w:tc>
          <w:tcPr>
            <w:tcW w:type="dxa" w:w="1440"/>
          </w:tcPr>
          <w:p>
            <w:r/>
            <w:r>
              <w:rPr>
                <w:sz w:val="20"/>
              </w:rPr>
              <w:t>May</w:t>
            </w:r>
          </w:p>
        </w:tc>
        <w:tc>
          <w:tcPr>
            <w:tcW w:type="dxa" w:w="1728"/>
          </w:tcPr>
          <w:p>
            <w:r/>
            <w:r>
              <w:rPr>
                <w:sz w:val="20"/>
              </w:rPr>
              <w:t>218,400</w:t>
            </w:r>
          </w:p>
        </w:tc>
        <w:tc>
          <w:tcPr>
            <w:tcW w:type="dxa" w:w="1008"/>
          </w:tcPr>
          <w:p>
            <w:r/>
            <w:r>
              <w:rPr>
                <w:sz w:val="20"/>
              </w:rPr>
              <w:t>0.74</w:t>
            </w:r>
          </w:p>
        </w:tc>
        <w:tc>
          <w:tcPr>
            <w:tcW w:type="dxa" w:w="2448"/>
          </w:tcPr>
          <w:p>
            <w:r/>
            <w:r>
              <w:rPr>
                <w:sz w:val="20"/>
              </w:rPr>
              <w:t>0.51</w:t>
            </w:r>
          </w:p>
        </w:tc>
        <w:tc>
          <w:tcPr>
            <w:tcW w:type="dxa" w:w="2160"/>
          </w:tcPr>
          <w:p>
            <w:r/>
            <w:r>
              <w:rPr>
                <w:sz w:val="20"/>
              </w:rPr>
              <w:t>Drift — retrain ⚠</w:t>
            </w:r>
          </w:p>
        </w:tc>
      </w:tr>
    </w:tbl>
    <w:p>
      <w:pPr>
        <w:spacing w:after="120"/>
      </w:pPr>
      <w:r>
        <w:rPr>
          <w:b w:val="0"/>
          <w:i w:val="0"/>
        </w:rPr>
        <w:t>May's drop is large enough that the model can no longer be trusted at the 90 %-specificity operating point we previously deployed. Likely cause: a new recipe (LILAC) was introduced in late April and the training data does not contain it.</w:t>
      </w:r>
    </w:p>
    <w:p>
      <w:pPr>
        <w:spacing w:after="40"/>
      </w:pPr>
      <w:r>
        <w:rPr>
          <w:b/>
          <w:color w:val="06768A"/>
          <w:sz w:val="20"/>
        </w:rPr>
        <w:t>What you do with it.</w:t>
      </w:r>
    </w:p>
    <w:p>
      <w:pPr>
        <w:spacing w:after="120"/>
      </w:pPr>
      <w:r>
        <w:rPr>
          <w:b w:val="0"/>
          <w:i w:val="0"/>
        </w:rPr>
        <w:t>Gates whether to enable / disable the inline RISK column from §10.1. ML governance asks for this curve monthly; without it, ML deployment is faith-based. Retrain with the last 60 days of data including the new recipe; re-measure.</w:t>
      </w:r>
    </w:p>
    <w:p>
      <w:pPr>
        <w:spacing w:before="200" w:after="40"/>
      </w:pPr>
      <w:r>
        <w:rPr>
          <w:b/>
          <w:color w:val="334155"/>
          <w:sz w:val="24"/>
        </w:rPr>
        <w:t>9. Recipe drift detection</w:t>
      </w:r>
    </w:p>
    <w:p>
      <w:pPr>
        <w:spacing w:after="40"/>
      </w:pPr>
      <w:r>
        <w:rPr>
          <w:b/>
          <w:color w:val="06768A"/>
          <w:sz w:val="20"/>
        </w:rPr>
        <w:t>What it shows.</w:t>
      </w:r>
    </w:p>
    <w:p>
      <w:pPr>
        <w:spacing w:after="120"/>
      </w:pPr>
      <w:r>
        <w:rPr>
          <w:b w:val="0"/>
          <w:i w:val="0"/>
        </w:rPr>
        <w:t>PSM-10 already logs an event whenever an SP changes between two polls. Aggregating those events per recipe + RM produces an SP-evolution timeline that exposes silent retuning — an engineer adjusting setpoints without filing a recipe-change form.</w:t>
      </w:r>
    </w:p>
    <w:p>
      <w:pPr>
        <w:spacing w:after="40"/>
      </w:pPr>
      <w:r>
        <w:rPr>
          <w:b/>
          <w:color w:val="06768A"/>
          <w:sz w:val="20"/>
        </w:rPr>
        <w:t>How it is computed.</w:t>
      </w:r>
    </w:p>
    <w:p>
      <w:pPr>
        <w:ind w:left="283"/>
        <w:shd w:val="clear" w:color="auto" w:fill="F5F7FA"/>
      </w:pPr>
      <w:r>
        <w:rPr>
          <w:rFonts w:ascii="Consolas" w:hAnsi="Consolas"/>
          <w:color w:val="334155"/>
          <w:sz w:val="18"/>
        </w:rPr>
        <w:t>FOR each PSM row over period:</w:t>
        <w:br/>
        <w:t xml:space="preserve">  sp_history[(recipe, RM)].append((ts, SP))</w:t>
        <w:br/>
        <w:t>For each (recipe, RM) plot SP vs ts, annotate at every value change.</w:t>
      </w:r>
    </w:p>
    <w:p>
      <w:pPr>
        <w:spacing w:after="40"/>
      </w:pPr>
      <w:r>
        <w:rPr>
          <w:b/>
          <w:color w:val="06768A"/>
          <w:sz w:val="20"/>
        </w:rPr>
        <w:t>Worked example — PLUMERIA / Salt SP across two months: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3456"/>
            <w:shd w:val="clear" w:color="auto" w:fill="102A43"/>
          </w:tcPr>
          <w:p>
            <w:r/>
            <w:r>
              <w:rPr>
                <w:b/>
                <w:color w:val="FFFFFF"/>
                <w:sz w:val="20"/>
              </w:rPr>
              <w:t>Window</w:t>
            </w:r>
          </w:p>
        </w:tc>
        <w:tc>
          <w:tcPr>
            <w:tcW w:type="dxa" w:w="1440"/>
            <w:shd w:val="clear" w:color="auto" w:fill="102A43"/>
          </w:tcPr>
          <w:p>
            <w:r/>
            <w:r>
              <w:rPr>
                <w:b/>
                <w:color w:val="FFFFFF"/>
                <w:sz w:val="20"/>
              </w:rPr>
              <w:t>SP (kg)</w:t>
            </w:r>
          </w:p>
        </w:tc>
        <w:tc>
          <w:tcPr>
            <w:tcW w:type="dxa" w:w="4320"/>
            <w:shd w:val="clear" w:color="auto" w:fill="102A43"/>
          </w:tcPr>
          <w:p>
            <w:r/>
            <w:r>
              <w:rPr>
                <w:b/>
                <w:color w:val="FFFFFF"/>
                <w:sz w:val="20"/>
              </w:rPr>
              <w:t>Source</w:t>
            </w:r>
          </w:p>
        </w:tc>
      </w:tr>
      <w:tr>
        <w:tc>
          <w:tcPr>
            <w:tcW w:type="dxa" w:w="3456"/>
          </w:tcPr>
          <w:p>
            <w:r/>
            <w:r>
              <w:rPr>
                <w:sz w:val="20"/>
              </w:rPr>
              <w:t>Apr 1 – Apr 10</w:t>
            </w:r>
          </w:p>
        </w:tc>
        <w:tc>
          <w:tcPr>
            <w:tcW w:type="dxa" w:w="1440"/>
          </w:tcPr>
          <w:p>
            <w:r/>
            <w:r>
              <w:rPr>
                <w:sz w:val="20"/>
              </w:rPr>
              <w:t>10.50</w:t>
            </w:r>
          </w:p>
        </w:tc>
        <w:tc>
          <w:tcPr>
            <w:tcW w:type="dxa" w:w="4320"/>
          </w:tcPr>
          <w:p>
            <w:r/>
            <w:r>
              <w:rPr>
                <w:sz w:val="20"/>
              </w:rPr>
              <w:t>baseline</w:t>
            </w:r>
          </w:p>
        </w:tc>
      </w:tr>
      <w:tr>
        <w:tc>
          <w:tcPr>
            <w:tcW w:type="dxa" w:w="3456"/>
          </w:tcPr>
          <w:p>
            <w:r/>
            <w:r>
              <w:rPr>
                <w:sz w:val="20"/>
              </w:rPr>
              <w:t>Apr 11 → Apr 25</w:t>
            </w:r>
          </w:p>
        </w:tc>
        <w:tc>
          <w:tcPr>
            <w:tcW w:type="dxa" w:w="1440"/>
          </w:tcPr>
          <w:p>
            <w:r/>
            <w:r>
              <w:rPr>
                <w:sz w:val="20"/>
              </w:rPr>
              <w:t>10.55</w:t>
            </w:r>
          </w:p>
        </w:tc>
        <w:tc>
          <w:tcPr>
            <w:tcW w:type="dxa" w:w="4320"/>
          </w:tcPr>
          <w:p>
            <w:r/>
            <w:r>
              <w:rPr>
                <w:sz w:val="20"/>
              </w:rPr>
              <w:t>PSM-10 event logged, no paperwork</w:t>
            </w:r>
          </w:p>
        </w:tc>
      </w:tr>
      <w:tr>
        <w:tc>
          <w:tcPr>
            <w:tcW w:type="dxa" w:w="3456"/>
          </w:tcPr>
          <w:p>
            <w:r/>
            <w:r>
              <w:rPr>
                <w:sz w:val="20"/>
              </w:rPr>
              <w:t>May 1 → present</w:t>
            </w:r>
          </w:p>
        </w:tc>
        <w:tc>
          <w:tcPr>
            <w:tcW w:type="dxa" w:w="1440"/>
          </w:tcPr>
          <w:p>
            <w:r/>
            <w:r>
              <w:rPr>
                <w:sz w:val="20"/>
              </w:rPr>
              <w:t>10.65</w:t>
            </w:r>
          </w:p>
        </w:tc>
        <w:tc>
          <w:tcPr>
            <w:tcW w:type="dxa" w:w="4320"/>
          </w:tcPr>
          <w:p>
            <w:r/>
            <w:r>
              <w:rPr>
                <w:sz w:val="20"/>
              </w:rPr>
              <w:t>PSM-10 event logged, no paperwork</w:t>
            </w:r>
          </w:p>
        </w:tc>
      </w:tr>
    </w:tbl>
    <w:p>
      <w:pPr>
        <w:spacing w:after="120"/>
      </w:pPr>
      <w:r>
        <w:rPr>
          <w:b w:val="0"/>
          <w:i w:val="0"/>
        </w:rPr>
        <w:t>That is a 1.4 % SP drift in 30 days, no documentation, no recipe revision. The customer's spec calls for ±1 %. The recipe is now out of spec on paper — but it has been silently moved.</w:t>
      </w:r>
    </w:p>
    <w:p>
      <w:pPr>
        <w:spacing w:after="40"/>
      </w:pPr>
      <w:r>
        <w:rPr>
          <w:b/>
          <w:color w:val="06768A"/>
          <w:sz w:val="20"/>
        </w:rPr>
        <w:t>What you do with it.</w:t>
      </w:r>
    </w:p>
    <w:p>
      <w:pPr>
        <w:spacing w:after="120"/>
      </w:pPr>
      <w:r>
        <w:rPr>
          <w:b w:val="0"/>
          <w:i w:val="0"/>
        </w:rPr>
        <w:t>This is the audit-defence report. When the QA auditor asks "why does this batch say SP = 10.65 when the master recipe says 10.50?", the report tells you exactly when the drift happened so you can roll back or formalise the change.</w:t>
      </w:r>
    </w:p>
    <w:p>
      <w:pPr>
        <w:spacing w:before="200" w:after="40"/>
      </w:pPr>
      <w:r>
        <w:rPr>
          <w:b/>
          <w:color w:val="334155"/>
          <w:sz w:val="24"/>
        </w:rPr>
        <w:t>10. Noodle-type purity audit</w:t>
      </w:r>
    </w:p>
    <w:p>
      <w:pPr>
        <w:spacing w:after="40"/>
      </w:pPr>
      <w:r>
        <w:rPr>
          <w:b/>
          <w:color w:val="06768A"/>
          <w:sz w:val="20"/>
        </w:rPr>
        <w:t>What it shows.</w:t>
      </w:r>
    </w:p>
    <w:p>
      <w:pPr>
        <w:spacing w:after="120"/>
      </w:pPr>
      <w:r>
        <w:rPr>
          <w:b w:val="0"/>
          <w:i w:val="0"/>
        </w:rPr>
        <w:t>For every PSM batch, the fraction of day silos that fed it during its production window reporting the expected noodle type. Anything below 100 % means the bag potentially contains the wrong noodle type — a high-impact customer complaint and a regulatory red flag.</w:t>
      </w:r>
    </w:p>
    <w:p>
      <w:pPr>
        <w:spacing w:after="40"/>
      </w:pPr>
      <w:r>
        <w:rPr>
          <w:b/>
          <w:color w:val="06768A"/>
          <w:sz w:val="20"/>
        </w:rPr>
        <w:t>How it is computed.</w:t>
      </w:r>
    </w:p>
    <w:p>
      <w:pPr>
        <w:ind w:left="283"/>
        <w:shd w:val="clear" w:color="auto" w:fill="F5F7FA"/>
      </w:pPr>
      <w:r>
        <w:rPr>
          <w:rFonts w:ascii="Consolas" w:hAnsi="Consolas"/>
          <w:color w:val="334155"/>
          <w:sz w:val="18"/>
        </w:rPr>
        <w:t>FOR each PSM batchKey with recipe R and time window [t_start, t_end]:</w:t>
        <w:br/>
        <w:t xml:space="preserve">  expected = recipe_to_noodle_map[R]   # e.g. PLUMERIA -&gt; PLUMERIA NOODLES</w:t>
        <w:br/>
        <w:t xml:space="preserve">  observed = [silo.noodleType for silo in DAY_SILOS</w:t>
        <w:br/>
        <w:t xml:space="preserve">              if any reading in window]</w:t>
        <w:br/>
        <w:t xml:space="preserve">  matches  = count(o for o in observed if o == expected)</w:t>
        <w:br/>
        <w:t xml:space="preserve">  purity[batchKey] = matches / len(observed) * 100</w:t>
      </w:r>
    </w:p>
    <w:p>
      <w:pPr>
        <w:spacing w:after="40"/>
      </w:pPr>
      <w:r>
        <w:rPr>
          <w:b/>
          <w:color w:val="06768A"/>
          <w:sz w:val="20"/>
        </w:rPr>
        <w:t>Worked example — Batch PSM:01:38:PLUMERIA NOODLES (Apr 26, 14:00–14:22):</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016"/>
            <w:shd w:val="clear" w:color="auto" w:fill="102A43"/>
          </w:tcPr>
          <w:p>
            <w:r/>
            <w:r>
              <w:rPr>
                <w:b/>
                <w:color w:val="FFFFFF"/>
                <w:sz w:val="20"/>
              </w:rPr>
              <w:t>Silo</w:t>
            </w:r>
          </w:p>
        </w:tc>
        <w:tc>
          <w:tcPr>
            <w:tcW w:type="dxa" w:w="3168"/>
            <w:shd w:val="clear" w:color="auto" w:fill="102A43"/>
          </w:tcPr>
          <w:p>
            <w:r/>
            <w:r>
              <w:rPr>
                <w:b/>
                <w:color w:val="FFFFFF"/>
                <w:sz w:val="20"/>
              </w:rPr>
              <w:t>Reported noodle</w:t>
            </w:r>
          </w:p>
        </w:tc>
        <w:tc>
          <w:tcPr>
            <w:tcW w:type="dxa" w:w="2304"/>
            <w:shd w:val="clear" w:color="auto" w:fill="102A43"/>
          </w:tcPr>
          <w:p>
            <w:r/>
            <w:r>
              <w:rPr>
                <w:b/>
                <w:color w:val="FFFFFF"/>
                <w:sz w:val="20"/>
              </w:rPr>
              <w:t>Matches expected?</w:t>
            </w:r>
          </w:p>
        </w:tc>
      </w:tr>
      <w:tr>
        <w:tc>
          <w:tcPr>
            <w:tcW w:type="dxa" w:w="2016"/>
          </w:tcPr>
          <w:p>
            <w:r/>
            <w:r>
              <w:rPr>
                <w:sz w:val="20"/>
              </w:rPr>
              <w:t>Day_silo_1</w:t>
            </w:r>
          </w:p>
        </w:tc>
        <w:tc>
          <w:tcPr>
            <w:tcW w:type="dxa" w:w="3168"/>
          </w:tcPr>
          <w:p>
            <w:r/>
            <w:r>
              <w:rPr>
                <w:sz w:val="20"/>
              </w:rPr>
              <w:t>PLUMERIA NOODLES</w:t>
            </w:r>
          </w:p>
        </w:tc>
        <w:tc>
          <w:tcPr>
            <w:tcW w:type="dxa" w:w="2304"/>
          </w:tcPr>
          <w:p>
            <w:r/>
            <w:r>
              <w:rPr>
                <w:sz w:val="20"/>
              </w:rPr>
              <w:t>✓</w:t>
            </w:r>
          </w:p>
        </w:tc>
      </w:tr>
      <w:tr>
        <w:tc>
          <w:tcPr>
            <w:tcW w:type="dxa" w:w="2016"/>
          </w:tcPr>
          <w:p>
            <w:r/>
            <w:r>
              <w:rPr>
                <w:sz w:val="20"/>
              </w:rPr>
              <w:t>Day_silo_2</w:t>
            </w:r>
          </w:p>
        </w:tc>
        <w:tc>
          <w:tcPr>
            <w:tcW w:type="dxa" w:w="3168"/>
          </w:tcPr>
          <w:p>
            <w:r/>
            <w:r>
              <w:rPr>
                <w:sz w:val="20"/>
              </w:rPr>
              <w:t>PLUMERIA NOODLES</w:t>
            </w:r>
          </w:p>
        </w:tc>
        <w:tc>
          <w:tcPr>
            <w:tcW w:type="dxa" w:w="2304"/>
          </w:tcPr>
          <w:p>
            <w:r/>
            <w:r>
              <w:rPr>
                <w:sz w:val="20"/>
              </w:rPr>
              <w:t>✓</w:t>
            </w:r>
          </w:p>
        </w:tc>
      </w:tr>
      <w:tr>
        <w:tc>
          <w:tcPr>
            <w:tcW w:type="dxa" w:w="2016"/>
          </w:tcPr>
          <w:p>
            <w:r/>
            <w:r>
              <w:rPr>
                <w:sz w:val="20"/>
              </w:rPr>
              <w:t>Day_silo_3</w:t>
            </w:r>
          </w:p>
        </w:tc>
        <w:tc>
          <w:tcPr>
            <w:tcW w:type="dxa" w:w="3168"/>
          </w:tcPr>
          <w:p>
            <w:r/>
            <w:r>
              <w:rPr>
                <w:sz w:val="20"/>
              </w:rPr>
              <w:t>JASMINE NOODLES</w:t>
            </w:r>
          </w:p>
        </w:tc>
        <w:tc>
          <w:tcPr>
            <w:tcW w:type="dxa" w:w="2304"/>
          </w:tcPr>
          <w:p>
            <w:r/>
            <w:r>
              <w:rPr>
                <w:sz w:val="20"/>
              </w:rPr>
              <w:t>✗</w:t>
            </w:r>
          </w:p>
        </w:tc>
      </w:tr>
      <w:tr>
        <w:tc>
          <w:tcPr>
            <w:tcW w:type="dxa" w:w="2016"/>
          </w:tcPr>
          <w:p>
            <w:r/>
            <w:r>
              <w:rPr>
                <w:sz w:val="20"/>
              </w:rPr>
              <w:t>Day_silo_4</w:t>
            </w:r>
          </w:p>
        </w:tc>
        <w:tc>
          <w:tcPr>
            <w:tcW w:type="dxa" w:w="3168"/>
          </w:tcPr>
          <w:p>
            <w:r/>
            <w:r>
              <w:rPr>
                <w:sz w:val="20"/>
              </w:rPr>
              <w:t>PLUMERIA NOODLES</w:t>
            </w:r>
          </w:p>
        </w:tc>
        <w:tc>
          <w:tcPr>
            <w:tcW w:type="dxa" w:w="2304"/>
          </w:tcPr>
          <w:p>
            <w:r/>
            <w:r>
              <w:rPr>
                <w:sz w:val="20"/>
              </w:rPr>
              <w:t>✓</w:t>
            </w:r>
          </w:p>
        </w:tc>
      </w:tr>
      <w:tr>
        <w:tc>
          <w:tcPr>
            <w:tcW w:type="dxa" w:w="2016"/>
          </w:tcPr>
          <w:p>
            <w:r/>
            <w:r>
              <w:rPr>
                <w:sz w:val="20"/>
              </w:rPr>
              <w:t>Day_silo_5</w:t>
            </w:r>
          </w:p>
        </w:tc>
        <w:tc>
          <w:tcPr>
            <w:tcW w:type="dxa" w:w="3168"/>
          </w:tcPr>
          <w:p>
            <w:r/>
            <w:r>
              <w:rPr>
                <w:sz w:val="20"/>
              </w:rPr>
              <w:t>PLUMERIA NOODLES</w:t>
            </w:r>
          </w:p>
        </w:tc>
        <w:tc>
          <w:tcPr>
            <w:tcW w:type="dxa" w:w="2304"/>
          </w:tcPr>
          <w:p>
            <w:r/>
            <w:r>
              <w:rPr>
                <w:sz w:val="20"/>
              </w:rPr>
              <w:t>✓</w:t>
            </w:r>
          </w:p>
        </w:tc>
      </w:tr>
      <w:tr>
        <w:tc>
          <w:tcPr>
            <w:tcW w:type="dxa" w:w="2016"/>
          </w:tcPr>
          <w:p>
            <w:r/>
            <w:r>
              <w:rPr>
                <w:sz w:val="20"/>
              </w:rPr>
              <w:t>Day_silo_6</w:t>
            </w:r>
          </w:p>
        </w:tc>
        <w:tc>
          <w:tcPr>
            <w:tcW w:type="dxa" w:w="3168"/>
          </w:tcPr>
          <w:p>
            <w:r/>
            <w:r>
              <w:rPr>
                <w:sz w:val="20"/>
              </w:rPr>
              <w:t>PLUMERIA NOODLES</w:t>
            </w:r>
          </w:p>
        </w:tc>
        <w:tc>
          <w:tcPr>
            <w:tcW w:type="dxa" w:w="2304"/>
          </w:tcPr>
          <w:p>
            <w:r/>
            <w:r>
              <w:rPr>
                <w:sz w:val="20"/>
              </w:rPr>
              <w:t>✓</w:t>
            </w:r>
          </w:p>
        </w:tc>
      </w:tr>
    </w:tbl>
    <w:p>
      <w:pPr>
        <w:spacing w:after="120"/>
      </w:pPr>
      <w:r>
        <w:rPr>
          <w:b w:val="0"/>
          <w:i w:val="0"/>
        </w:rPr>
        <w:t>Purity = 5 / 6 = 83.3 %. One silo was still carrying the previous recipe's product. The batch is suspect — quarantine for sampling.</w:t>
      </w:r>
    </w:p>
    <w:p>
      <w:pPr>
        <w:spacing w:after="40"/>
      </w:pPr>
      <w:r>
        <w:rPr>
          <w:b/>
          <w:color w:val="06768A"/>
          <w:sz w:val="20"/>
        </w:rPr>
        <w:t>What you do with it.</w:t>
      </w:r>
    </w:p>
    <w:p>
      <w:pPr>
        <w:spacing w:after="120"/>
      </w:pPr>
      <w:r>
        <w:rPr>
          <w:b w:val="0"/>
          <w:i w:val="0"/>
        </w:rPr>
        <w:t>A "purity %" column joins the per-batch report bundled with shipments. Regulated customers get a verifiable purity figure; internally, a steady &lt; 100 % rate on a specific silo becomes a maintenance signal that reinforces Insight #5.</w:t>
      </w:r>
    </w:p>
    <w:p>
      <w:r>
        <w:br w:type="page"/>
      </w:r>
    </w:p>
    <w:p>
      <w:pPr>
        <w:spacing w:before="400" w:after="120"/>
      </w:pPr>
      <w:r>
        <w:rPr>
          <w:b/>
          <w:color w:val="102A43"/>
          <w:sz w:val="36"/>
        </w:rPr>
        <w:t>12. KPIs Already Surfaced</w:t>
      </w:r>
    </w:p>
    <w:p>
      <w:pPr>
        <w:spacing w:after="120"/>
      </w:pPr>
      <w:r>
        <w:rPr>
          <w:b w:val="0"/>
          <w:i w:val="0"/>
        </w:rPr>
        <w:t>Live numbers on the current dashboard; any of these can be promoted to executive cards:</w:t>
      </w:r>
    </w:p>
    <w:p>
      <w:pPr>
        <w:pStyle w:val="ListBullet"/>
      </w:pPr>
      <w:r>
        <w:t>Total rows monitored, total batches monitored</w:t>
      </w:r>
    </w:p>
    <w:p>
      <w:pPr>
        <w:pStyle w:val="ListBullet"/>
      </w:pPr>
      <w:r>
        <w:t>Active filter health score (global, scoped to current view)</w:t>
      </w:r>
    </w:p>
    <w:p>
      <w:pPr>
        <w:pStyle w:val="ListBullet"/>
      </w:pPr>
      <w:r>
        <w:t>Per-batch health score (with passing / total fraction)</w:t>
      </w:r>
    </w:p>
    <w:p>
      <w:pPr>
        <w:pStyle w:val="ListBullet"/>
      </w:pPr>
      <w:r>
        <w:t>Active CRITICAL / WARNING / INFO count by zone</w:t>
      </w:r>
    </w:p>
    <w:p>
      <w:pPr>
        <w:pStyle w:val="ListBullet"/>
      </w:pPr>
      <w:r>
        <w:t>Deviation distribution (green / yellow / pink banding on every numeric row)</w:t>
      </w:r>
    </w:p>
    <w:p>
      <w:pPr>
        <w:pStyle w:val="ListBullet"/>
      </w:pPr>
      <w:r>
        <w:t>Date span of currently loaded data</w:t>
      </w:r>
    </w:p>
    <w:p>
      <w:pPr>
        <w:pStyle w:val="ListBullet"/>
      </w:pPr>
      <w:r>
        <w:t>Per-RM, per-recipe, per-mixer, per-cascade row counts via the dropdowns</w:t>
      </w:r>
    </w:p>
    <w:p>
      <w:pPr>
        <w:spacing w:before="400" w:after="120"/>
      </w:pPr>
      <w:r>
        <w:rPr>
          <w:b/>
          <w:color w:val="102A43"/>
          <w:sz w:val="36"/>
        </w:rPr>
        <w:t>13. Technical Stack</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016"/>
            <w:shd w:val="clear" w:color="auto" w:fill="102A43"/>
          </w:tcPr>
          <w:p>
            <w:r/>
            <w:r>
              <w:rPr>
                <w:b/>
                <w:color w:val="FFFFFF"/>
                <w:sz w:val="20"/>
              </w:rPr>
              <w:t>Layer</w:t>
            </w:r>
          </w:p>
        </w:tc>
        <w:tc>
          <w:tcPr>
            <w:tcW w:type="dxa" w:w="3168"/>
            <w:shd w:val="clear" w:color="auto" w:fill="102A43"/>
          </w:tcPr>
          <w:p>
            <w:r/>
            <w:r>
              <w:rPr>
                <w:b/>
                <w:color w:val="FFFFFF"/>
                <w:sz w:val="20"/>
              </w:rPr>
              <w:t>Technology</w:t>
            </w:r>
          </w:p>
        </w:tc>
        <w:tc>
          <w:tcPr>
            <w:tcW w:type="dxa" w:w="4752"/>
            <w:shd w:val="clear" w:color="auto" w:fill="102A43"/>
          </w:tcPr>
          <w:p>
            <w:r/>
            <w:r>
              <w:rPr>
                <w:b/>
                <w:color w:val="FFFFFF"/>
                <w:sz w:val="20"/>
              </w:rPr>
              <w:t>Notes</w:t>
            </w:r>
          </w:p>
        </w:tc>
      </w:tr>
      <w:tr>
        <w:tc>
          <w:tcPr>
            <w:tcW w:type="dxa" w:w="2016"/>
          </w:tcPr>
          <w:p>
            <w:r/>
            <w:r>
              <w:rPr>
                <w:sz w:val="20"/>
              </w:rPr>
              <w:t>Frontend</w:t>
            </w:r>
          </w:p>
        </w:tc>
        <w:tc>
          <w:tcPr>
            <w:tcW w:type="dxa" w:w="3168"/>
          </w:tcPr>
          <w:p>
            <w:r/>
            <w:r>
              <w:rPr>
                <w:sz w:val="20"/>
              </w:rPr>
              <w:t>Angular 17, TypeScript 5, Tailwind CSS</w:t>
            </w:r>
          </w:p>
        </w:tc>
        <w:tc>
          <w:tcPr>
            <w:tcW w:type="dxa" w:w="4752"/>
          </w:tcPr>
          <w:p>
            <w:r/>
            <w:r>
              <w:rPr>
                <w:sz w:val="20"/>
              </w:rPr>
              <w:t>Standalone components, signal-based reactivity</w:t>
            </w:r>
          </w:p>
        </w:tc>
      </w:tr>
      <w:tr>
        <w:tc>
          <w:tcPr>
            <w:tcW w:type="dxa" w:w="2016"/>
          </w:tcPr>
          <w:p>
            <w:r/>
            <w:r>
              <w:rPr>
                <w:sz w:val="20"/>
              </w:rPr>
              <w:t>Frontend state</w:t>
            </w:r>
          </w:p>
        </w:tc>
        <w:tc>
          <w:tcPr>
            <w:tcW w:type="dxa" w:w="3168"/>
          </w:tcPr>
          <w:p>
            <w:r/>
            <w:r>
              <w:rPr>
                <w:sz w:val="20"/>
              </w:rPr>
              <w:t>Angular signals (no NgRx)</w:t>
            </w:r>
          </w:p>
        </w:tc>
        <w:tc>
          <w:tcPr>
            <w:tcW w:type="dxa" w:w="4752"/>
          </w:tcPr>
          <w:p>
            <w:r/>
            <w:r>
              <w:rPr>
                <w:sz w:val="20"/>
              </w:rPr>
              <w:t>signal, computed, input.required, output</w:t>
            </w:r>
          </w:p>
        </w:tc>
      </w:tr>
      <w:tr>
        <w:tc>
          <w:tcPr>
            <w:tcW w:type="dxa" w:w="2016"/>
          </w:tcPr>
          <w:p>
            <w:r/>
            <w:r>
              <w:rPr>
                <w:sz w:val="20"/>
              </w:rPr>
              <w:t>Backend</w:t>
            </w:r>
          </w:p>
        </w:tc>
        <w:tc>
          <w:tcPr>
            <w:tcW w:type="dxa" w:w="3168"/>
          </w:tcPr>
          <w:p>
            <w:r/>
            <w:r>
              <w:rPr>
                <w:sz w:val="20"/>
              </w:rPr>
              <w:t>.NET 8 Minimal API</w:t>
            </w:r>
          </w:p>
        </w:tc>
        <w:tc>
          <w:tcPr>
            <w:tcW w:type="dxa" w:w="4752"/>
          </w:tcPr>
          <w:p>
            <w:r/>
            <w:r>
              <w:rPr>
                <w:sz w:val="20"/>
              </w:rPr>
              <w:t>C# 12, async loaders, in-memory caching</w:t>
            </w:r>
          </w:p>
        </w:tc>
      </w:tr>
      <w:tr>
        <w:tc>
          <w:tcPr>
            <w:tcW w:type="dxa" w:w="2016"/>
          </w:tcPr>
          <w:p>
            <w:r/>
            <w:r>
              <w:rPr>
                <w:sz w:val="20"/>
              </w:rPr>
              <w:t>Data ingestion</w:t>
            </w:r>
          </w:p>
        </w:tc>
        <w:tc>
          <w:tcPr>
            <w:tcW w:type="dxa" w:w="3168"/>
          </w:tcPr>
          <w:p>
            <w:r/>
            <w:r>
              <w:rPr>
                <w:sz w:val="20"/>
              </w:rPr>
              <w:t>ClosedXML (workbook reader)</w:t>
            </w:r>
          </w:p>
        </w:tc>
        <w:tc>
          <w:tcPr>
            <w:tcW w:type="dxa" w:w="4752"/>
          </w:tcPr>
          <w:p>
            <w:r/>
            <w:r>
              <w:rPr>
                <w:sz w:val="20"/>
              </w:rPr>
              <w:t>Streams .xlsx files from data/</w:t>
            </w:r>
          </w:p>
        </w:tc>
      </w:tr>
      <w:tr>
        <w:tc>
          <w:tcPr>
            <w:tcW w:type="dxa" w:w="2016"/>
          </w:tcPr>
          <w:p>
            <w:r/>
            <w:r>
              <w:rPr>
                <w:sz w:val="20"/>
              </w:rPr>
              <w:t>ML runtime</w:t>
            </w:r>
          </w:p>
        </w:tc>
        <w:tc>
          <w:tcPr>
            <w:tcW w:type="dxa" w:w="3168"/>
          </w:tcPr>
          <w:p>
            <w:r/>
            <w:r>
              <w:rPr>
                <w:sz w:val="20"/>
              </w:rPr>
              <w:t>Microsoft.ML.OnnxRuntime</w:t>
            </w:r>
          </w:p>
        </w:tc>
        <w:tc>
          <w:tcPr>
            <w:tcW w:type="dxa" w:w="4752"/>
          </w:tcPr>
          <w:p>
            <w:r/>
            <w:r>
              <w:rPr>
                <w:sz w:val="20"/>
              </w:rPr>
              <w:t>Loads 6 ONNX models on startup</w:t>
            </w:r>
          </w:p>
        </w:tc>
      </w:tr>
      <w:tr>
        <w:tc>
          <w:tcPr>
            <w:tcW w:type="dxa" w:w="2016"/>
          </w:tcPr>
          <w:p>
            <w:r/>
            <w:r>
              <w:rPr>
                <w:sz w:val="20"/>
              </w:rPr>
              <w:t>Build / deploy</w:t>
            </w:r>
          </w:p>
        </w:tc>
        <w:tc>
          <w:tcPr>
            <w:tcW w:type="dxa" w:w="3168"/>
          </w:tcPr>
          <w:p>
            <w:r/>
            <w:r>
              <w:rPr>
                <w:sz w:val="20"/>
              </w:rPr>
              <w:t>ng build + dotnet publish</w:t>
            </w:r>
          </w:p>
        </w:tc>
        <w:tc>
          <w:tcPr>
            <w:tcW w:type="dxa" w:w="4752"/>
          </w:tcPr>
          <w:p>
            <w:r/>
            <w:r>
              <w:rPr>
                <w:sz w:val="20"/>
              </w:rPr>
              <w:t>Localhost; container-ready</w:t>
            </w:r>
          </w:p>
        </w:tc>
      </w:tr>
      <w:tr>
        <w:tc>
          <w:tcPr>
            <w:tcW w:type="dxa" w:w="2016"/>
          </w:tcPr>
          <w:p>
            <w:r/>
            <w:r>
              <w:rPr>
                <w:sz w:val="20"/>
              </w:rPr>
              <w:t>Repo</w:t>
            </w:r>
          </w:p>
        </w:tc>
        <w:tc>
          <w:tcPr>
            <w:tcW w:type="dxa" w:w="3168"/>
          </w:tcPr>
          <w:p>
            <w:r/>
            <w:r>
              <w:rPr>
                <w:sz w:val="20"/>
              </w:rPr>
              <w:t>Git on GitHub — tag-health</w:t>
            </w:r>
          </w:p>
        </w:tc>
        <w:tc>
          <w:tcPr>
            <w:tcW w:type="dxa" w:w="4752"/>
          </w:tcPr>
          <w:p>
            <w:r/>
            <w:r>
              <w:rPr>
                <w:sz w:val="20"/>
              </w:rPr>
              <w:t>Branch: master</w:t>
            </w:r>
          </w:p>
        </w:tc>
      </w:tr>
    </w:tbl>
    <w:p>
      <w:pPr>
        <w:spacing w:before="400" w:after="120"/>
      </w:pPr>
      <w:r>
        <w:rPr>
          <w:b/>
          <w:color w:val="102A43"/>
          <w:sz w:val="36"/>
        </w:rPr>
        <w:t>14. Risks &amp; Mitigations</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4320"/>
            <w:shd w:val="clear" w:color="auto" w:fill="102A43"/>
          </w:tcPr>
          <w:p>
            <w:r/>
            <w:r>
              <w:rPr>
                <w:b/>
                <w:color w:val="FFFFFF"/>
                <w:sz w:val="20"/>
              </w:rPr>
              <w:t>Risk</w:t>
            </w:r>
          </w:p>
        </w:tc>
        <w:tc>
          <w:tcPr>
            <w:tcW w:type="dxa" w:w="1440"/>
            <w:shd w:val="clear" w:color="auto" w:fill="102A43"/>
          </w:tcPr>
          <w:p>
            <w:r/>
            <w:r>
              <w:rPr>
                <w:b/>
                <w:color w:val="FFFFFF"/>
                <w:sz w:val="20"/>
              </w:rPr>
              <w:t>Likelihood</w:t>
            </w:r>
          </w:p>
        </w:tc>
        <w:tc>
          <w:tcPr>
            <w:tcW w:type="dxa" w:w="4320"/>
            <w:shd w:val="clear" w:color="auto" w:fill="102A43"/>
          </w:tcPr>
          <w:p>
            <w:r/>
            <w:r>
              <w:rPr>
                <w:b/>
                <w:color w:val="FFFFFF"/>
                <w:sz w:val="20"/>
              </w:rPr>
              <w:t>Mitigation</w:t>
            </w:r>
          </w:p>
        </w:tc>
      </w:tr>
      <w:tr>
        <w:tc>
          <w:tcPr>
            <w:tcW w:type="dxa" w:w="4320"/>
          </w:tcPr>
          <w:p>
            <w:r/>
            <w:r>
              <w:rPr>
                <w:sz w:val="20"/>
              </w:rPr>
              <w:t>Historian schema changes break parser substring detection</w:t>
            </w:r>
          </w:p>
        </w:tc>
        <w:tc>
          <w:tcPr>
            <w:tcW w:type="dxa" w:w="1440"/>
          </w:tcPr>
          <w:p>
            <w:r/>
            <w:r>
              <w:rPr>
                <w:sz w:val="20"/>
              </w:rPr>
              <w:t>Medium</w:t>
            </w:r>
          </w:p>
        </w:tc>
        <w:tc>
          <w:tcPr>
            <w:tcW w:type="dxa" w:w="4320"/>
          </w:tcPr>
          <w:p>
            <w:r/>
            <w:r>
              <w:rPr>
                <w:sz w:val="20"/>
              </w:rPr>
              <w:t>Parser is centralised; one file changes. Add a smoke test asserting at least one row per zone parses.</w:t>
            </w:r>
          </w:p>
        </w:tc>
      </w:tr>
      <w:tr>
        <w:tc>
          <w:tcPr>
            <w:tcW w:type="dxa" w:w="4320"/>
          </w:tcPr>
          <w:p>
            <w:r/>
            <w:r>
              <w:rPr>
                <w:sz w:val="20"/>
              </w:rPr>
              <w:t>ML models drift as recipes change</w:t>
            </w:r>
          </w:p>
        </w:tc>
        <w:tc>
          <w:tcPr>
            <w:tcW w:type="dxa" w:w="1440"/>
          </w:tcPr>
          <w:p>
            <w:r/>
            <w:r>
              <w:rPr>
                <w:sz w:val="20"/>
              </w:rPr>
              <w:t>High</w:t>
            </w:r>
          </w:p>
        </w:tc>
        <w:tc>
          <w:tcPr>
            <w:tcW w:type="dxa" w:w="4320"/>
          </w:tcPr>
          <w:p>
            <w:r/>
            <w:r>
              <w:rPr>
                <w:sz w:val="20"/>
              </w:rPr>
              <w:t>Add predictive-vs-actual ROC report (Insight #8); retrain monthly.</w:t>
            </w:r>
          </w:p>
        </w:tc>
      </w:tr>
      <w:tr>
        <w:tc>
          <w:tcPr>
            <w:tcW w:type="dxa" w:w="4320"/>
          </w:tcPr>
          <w:p>
            <w:r/>
            <w:r>
              <w:rPr>
                <w:sz w:val="20"/>
              </w:rPr>
              <w:t>Workbook loading &gt; 5 s on large files</w:t>
            </w:r>
          </w:p>
        </w:tc>
        <w:tc>
          <w:tcPr>
            <w:tcW w:type="dxa" w:w="1440"/>
          </w:tcPr>
          <w:p>
            <w:r/>
            <w:r>
              <w:rPr>
                <w:sz w:val="20"/>
              </w:rPr>
              <w:t>Medium</w:t>
            </w:r>
          </w:p>
        </w:tc>
        <w:tc>
          <w:tcPr>
            <w:tcW w:type="dxa" w:w="4320"/>
          </w:tcPr>
          <w:p>
            <w:r/>
            <w:r>
              <w:rPr>
                <w:sz w:val="20"/>
              </w:rPr>
              <w:t>Already cached per-zone after first load; long-term move to streaming ingestion.</w:t>
            </w:r>
          </w:p>
        </w:tc>
      </w:tr>
      <w:tr>
        <w:tc>
          <w:tcPr>
            <w:tcW w:type="dxa" w:w="4320"/>
          </w:tcPr>
          <w:p>
            <w:r/>
            <w:r>
              <w:rPr>
                <w:sz w:val="20"/>
              </w:rPr>
              <w:t>User-action attribution is impossible without operator annotations</w:t>
            </w:r>
          </w:p>
        </w:tc>
        <w:tc>
          <w:tcPr>
            <w:tcW w:type="dxa" w:w="1440"/>
          </w:tcPr>
          <w:p>
            <w:r/>
            <w:r>
              <w:rPr>
                <w:sz w:val="20"/>
              </w:rPr>
              <w:t>High</w:t>
            </w:r>
          </w:p>
        </w:tc>
        <w:tc>
          <w:tcPr>
            <w:tcW w:type="dxa" w:w="4320"/>
          </w:tcPr>
          <w:p>
            <w:r/>
            <w:r>
              <w:rPr>
                <w:sz w:val="20"/>
              </w:rPr>
              <w:t>Operator annotations item (mid-term #8) closes this gap.</w:t>
            </w:r>
          </w:p>
        </w:tc>
      </w:tr>
    </w:tbl>
    <w:p>
      <w:pPr>
        <w:spacing w:before="400" w:after="120"/>
      </w:pPr>
      <w:r>
        <w:rPr>
          <w:b/>
          <w:color w:val="102A43"/>
          <w:sz w:val="36"/>
        </w:rPr>
        <w:t>15. Closing</w:t>
      </w:r>
    </w:p>
    <w:p>
      <w:pPr>
        <w:spacing w:after="120"/>
      </w:pPr>
      <w:r>
        <w:rPr>
          <w:b w:val="0"/>
          <w:i w:val="0"/>
        </w:rPr>
        <w:t>The platform converts a reactive Excel workflow into a proactive, rule-validated, ML-augmented operations view. Phase 1 is complete and demonstrable; the immediate next move is to surface the existing ONNX predictions inline and to ship the alert-log tab so the system can replace the daily review meeting rather than supplement it.</w:t>
      </w:r>
    </w:p>
    <w:p>
      <w:pPr>
        <w:spacing w:after="120"/>
      </w:pPr>
      <w:r>
        <w:rPr>
          <w:b w:val="0"/>
          <w:i w:val="0"/>
        </w:rPr>
        <w:t>Demonstration is available locally — backend on localhost:5050, frontend on localhost:4200. The repository at github.com/Abhiramdadi17/tag-health contains everything required to reproduce the build.</w:t>
      </w:r>
    </w:p>
    <w:p>
      <w:pPr>
        <w:spacing w:before="280" w:after="80"/>
      </w:pPr>
      <w:r>
        <w:rPr>
          <w:b/>
          <w:color w:val="06768A"/>
          <w:sz w:val="28"/>
        </w:rPr>
        <w:t>Appendix — Quick Start</w:t>
      </w:r>
    </w:p>
    <w:p>
      <w:pPr>
        <w:ind w:left="283"/>
        <w:shd w:val="clear" w:color="auto" w:fill="F5F7FA"/>
      </w:pPr>
      <w:r>
        <w:rPr>
          <w:rFonts w:ascii="Consolas" w:hAnsi="Consolas"/>
          <w:color w:val="334155"/>
          <w:sz w:val="18"/>
        </w:rPr>
        <w:t># Backend</w:t>
        <w:br/>
        <w:t>cd backend</w:t>
        <w:br/>
        <w:t>dotnet run                # listens on http://localhost:5050</w:t>
        <w:br/>
        <w:br/>
        <w:t># Frontend (new terminal)</w:t>
        <w:br/>
        <w:t>cd frontend</w:t>
        <w:br/>
        <w:t>npm install</w:t>
        <w:br/>
        <w:t>npm start                 # serves http://localhost:4200</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