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02A43"/>
          <w:sz w:val="56"/>
        </w:rPr>
        <w:t>TAG Health Monitor</w:t>
      </w:r>
    </w:p>
    <w:p>
      <w:r>
        <w:rPr>
          <w:i/>
          <w:color w:val="06768A"/>
          <w:sz w:val="26"/>
        </w:rPr>
        <w:t>Real-time tag-quality and batch-health platform for LLPL Plant 1</w:t>
      </w:r>
    </w:p>
    <w:p>
      <w:pPr>
        <w:pBdr>
          <w:bottom w:val="single" w:sz="8" w:space="1" w:color="C5CDD8"/>
        </w:pBdr>
      </w:pPr>
    </w:p>
    <w:p>
      <w:pPr>
        <w:spacing w:after="120"/>
      </w:pPr>
      <w:r>
        <w:rPr>
          <w:b/>
          <w:i w:val="0"/>
        </w:rPr>
        <w:t>Prepared by: Engineering Team</w:t>
      </w:r>
    </w:p>
    <w:p>
      <w:pPr>
        <w:spacing w:after="120"/>
      </w:pPr>
      <w:r>
        <w:rPr>
          <w:b w:val="0"/>
          <w:i w:val="0"/>
        </w:rPr>
        <w:t>Repository: github.com/Abhiramdadi17/tag-health</w:t>
      </w:r>
    </w:p>
    <w:p>
      <w:pPr>
        <w:spacing w:after="120"/>
      </w:pPr>
      <w:r>
        <w:rPr>
          <w:b w:val="0"/>
          <w:i w:val="0"/>
        </w:rPr>
        <w:t>Status: Phase 1 — Internal preview (functional, locally hosted)</w:t>
      </w:r>
    </w:p>
    <w:p>
      <w:pPr>
        <w:spacing w:after="120"/>
      </w:pPr>
      <w:r>
        <w:rPr>
          <w:b w:val="0"/>
          <w:i w:val="0"/>
        </w:rPr>
        <w:t>Stack: Angular 17 · .NET 8 · ONNX Runtime · ClosedXML</w:t>
      </w:r>
    </w:p>
    <w:p>
      <w:pPr>
        <w:pBdr>
          <w:bottom w:val="single" w:sz="8" w:space="1" w:color="C5CDD8"/>
        </w:pBdr>
      </w:pPr>
    </w:p>
    <w:p>
      <w:pPr>
        <w:spacing w:before="400" w:after="120"/>
      </w:pPr>
      <w:r>
        <w:rPr>
          <w:b/>
          <w:color w:val="102A43"/>
          <w:sz w:val="36"/>
        </w:rPr>
        <w:t>1. Executive Summary</w:t>
      </w:r>
    </w:p>
    <w:p>
      <w:pPr>
        <w:spacing w:after="120"/>
      </w:pPr>
      <w:r>
        <w:rPr>
          <w:b w:val="0"/>
          <w:i w:val="0"/>
        </w:rPr>
        <w:t>TAG Health Monitor is an internal operations console that ingests OPC-UA telemetry from the LLPL soap-noodle line and surfaces, in a single view, what every instrumented tag is doing right now and how trustworthy that signal is. It replaces a manual, spreadsheet-driven inspection workflow with a typed, rule-validated dashboard backed by a predictive ML layer.</w:t>
      </w:r>
    </w:p>
    <w:p>
      <w:pPr>
        <w:spacing w:after="120"/>
      </w:pPr>
      <w:r>
        <w:rPr>
          <w:b w:val="0"/>
          <w:i w:val="0"/>
        </w:rPr>
        <w:t>In its current state the system:</w:t>
      </w:r>
    </w:p>
    <w:p>
      <w:pPr>
        <w:pStyle w:val="ListBullet"/>
      </w:pPr>
      <w:r>
        <w:t>Parses four zones of equipment (PSM dosing, Sigma mixers, day/buffer silos, packaging wrappers) from a unified schema.</w:t>
      </w:r>
    </w:p>
    <w:p>
      <w:pPr>
        <w:pStyle w:val="ListBullet"/>
      </w:pPr>
      <w:r>
        <w:t>Applies 37 deterministic validation rules across those zones, classified by severity (CRITICAL / WARNING / INFO).</w:t>
      </w:r>
    </w:p>
    <w:p>
      <w:pPr>
        <w:pStyle w:val="ListBullet"/>
      </w:pPr>
      <w:r>
        <w:t>Computes a per-batch health score (passing rows divided by rich-data rows) so operations leads can see at a glance which batches need scrutiny.</w:t>
      </w:r>
    </w:p>
    <w:p>
      <w:pPr>
        <w:pStyle w:val="ListBullet"/>
      </w:pPr>
      <w:r>
        <w:t>Exposes a single sortable table of 4,500+ rows across 200+ batches with sticky filters for zone, status, date, raw material, recipe, plant, station, cascade, and wrapper.</w:t>
      </w:r>
    </w:p>
    <w:p>
      <w:pPr>
        <w:pStyle w:val="ListBullet"/>
      </w:pPr>
      <w:r>
        <w:t>Ships an ONNX-backed prediction layer with five trained models (spike-within-5/10/15-minute windows, precursor risk, future error %, and a TFT attention model) that can be promoted to inline predictions next iteration.</w:t>
      </w:r>
    </w:p>
    <w:p>
      <w:pPr>
        <w:spacing w:before="400" w:after="120"/>
      </w:pPr>
      <w:r>
        <w:rPr>
          <w:b/>
          <w:color w:val="102A43"/>
          <w:sz w:val="36"/>
        </w:rPr>
        <w:t>2. Problem Statement</w:t>
      </w:r>
    </w:p>
    <w:p>
      <w:pPr>
        <w:spacing w:after="120"/>
      </w:pPr>
      <w:r>
        <w:rPr>
          <w:b w:val="0"/>
          <w:i w:val="0"/>
        </w:rPr>
        <w:t>Plant 1 streams several million telemetry rows per week across PSM, Sigma, Silo, and Packaging zones. Today, quality issues — bad weights, frozen sensors, recipe drift, silo cross-contamination — surface only when an operator notices a downstream defect, often hours after the upstream event.</w:t>
      </w:r>
    </w:p>
    <w:p>
      <w:pPr>
        <w:spacing w:after="120"/>
      </w:pPr>
      <w:r>
        <w:rPr>
          <w:b w:val="0"/>
          <w:i w:val="0"/>
        </w:rPr>
        <w:t>The existing review workflow is:</w:t>
      </w:r>
    </w:p>
    <w:p>
      <w:pPr>
        <w:pStyle w:val="ListNumber"/>
      </w:pPr>
      <w:r>
        <w:t>Pull last 24 hours of .xlsx from the historian.</w:t>
      </w:r>
    </w:p>
    <w:p>
      <w:pPr>
        <w:pStyle w:val="ListNumber"/>
      </w:pPr>
      <w:r>
        <w:t>Filter by tag in Excel.</w:t>
      </w:r>
    </w:p>
    <w:p>
      <w:pPr>
        <w:pStyle w:val="ListNumber"/>
      </w:pPr>
      <w:r>
        <w:t>Eyeball deviations.</w:t>
      </w:r>
    </w:p>
    <w:p>
      <w:pPr>
        <w:spacing w:after="120"/>
      </w:pPr>
      <w:r>
        <w:rPr>
          <w:b/>
          <w:i w:val="0"/>
        </w:rPr>
        <w:t>This is slow, inconsistent, and undetectable upstream. The system moves that workflow from reactive spreadsheet review to a continuously-updating, rule-validated panel with an evidence trail per tag.</w:t>
      </w:r>
    </w:p>
    <w:p>
      <w:pPr>
        <w:spacing w:before="400" w:after="120"/>
      </w:pPr>
      <w:r>
        <w:rPr>
          <w:b/>
          <w:color w:val="102A43"/>
          <w:sz w:val="36"/>
        </w:rPr>
        <w:t>3. Data Sources</w:t>
      </w:r>
    </w:p>
    <w:p>
      <w:pPr>
        <w:spacing w:after="120"/>
      </w:pPr>
      <w:r>
        <w:rPr>
          <w:b w:val="0"/>
          <w:i w:val="0"/>
        </w:rPr>
        <w:t>All data originates from the OPC-UA edge gateway (uaq-lakme-hul-iotedge-01) on Site LLPL, Sensor opcua. We consume five workbooks served from the data/ directory through the .NET backend: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744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Workbook</w:t>
            </w:r>
          </w:p>
        </w:tc>
        <w:tc>
          <w:tcPr>
            <w:tcW w:type="dxa" w:w="144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Rows</w:t>
            </w:r>
          </w:p>
        </w:tc>
        <w:tc>
          <w:tcPr>
            <w:tcW w:type="dxa" w:w="201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Period</w:t>
            </w:r>
          </w:p>
        </w:tc>
        <w:tc>
          <w:tcPr>
            <w:tcW w:type="dxa" w:w="201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Zone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LLPL PSM 1st April to 20th May.xlsx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~477 K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Apr 1 → May 20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PSM telemetry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PSM_TagData_10th_to_20th.xlsx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aggregated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10–20 May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PSM RM-batch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LLPL SigmaMixer Zone.xlsx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~50 K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Apr–May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Sigma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LLPL Silo Zone.xlsx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~80 K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Apr–May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Silo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LLPL Packaging.xlsx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~120 K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Apr–May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Packaging</w:t>
            </w:r>
          </w:p>
        </w:tc>
      </w:tr>
    </w:tbl>
    <w:p>
      <w:pPr>
        <w:spacing w:after="120"/>
      </w:pPr>
      <w:r>
        <w:rPr>
          <w:b w:val="0"/>
          <w:i w:val="0"/>
        </w:rPr>
        <w:t>The common envelope of every row is the RawTagRow contract:</w:t>
      </w:r>
    </w:p>
    <w:p>
      <w:pPr>
        <w:ind w:left="283"/>
        <w:shd w:val="clear" w:color="auto" w:fill="F5F7FA"/>
      </w:pPr>
      <w:r>
        <w:rPr>
          <w:rFonts w:ascii="Consolas" w:hAnsi="Consolas"/>
          <w:color w:val="334155"/>
          <w:sz w:val="18"/>
        </w:rPr>
        <w:t>interface RawTagRow {</w:t>
        <w:br/>
        <w:t xml:space="preserve">  IotDeviceId: string;   // 'uaq-lakme-hul-iotedge-01'</w:t>
        <w:br/>
        <w:t xml:space="preserve">  SensorId: string;      // 'opcua'</w:t>
        <w:br/>
        <w:t xml:space="preserve">  SiteId: string;        // 'LLPL'</w:t>
        <w:br/>
        <w:t xml:space="preserve">  MachineId: string;</w:t>
        <w:br/>
        <w:t xml:space="preserve">  Tag: string;</w:t>
        <w:br/>
        <w:t xml:space="preserve">  Value: string | number;</w:t>
        <w:br/>
        <w:t xml:space="preserve">  TS: string;            // '4/26/2026, 6:00:15.199 AM'</w:t>
        <w:br/>
        <w:t>}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4. Tag Type Catalogue</w:t>
      </w:r>
    </w:p>
    <w:p>
      <w:pPr>
        <w:spacing w:before="280" w:after="80"/>
      </w:pPr>
      <w:r>
        <w:rPr>
          <w:b/>
          <w:color w:val="06768A"/>
          <w:sz w:val="28"/>
        </w:rPr>
        <w:t>4.1 PSM (Personal Soap Maker — dosing skid)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448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Sub-type</w:t>
            </w:r>
          </w:p>
        </w:tc>
        <w:tc>
          <w:tcPr>
            <w:tcW w:type="dxa" w:w="3312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Tag pattern</w:t>
            </w:r>
          </w:p>
        </w:tc>
        <w:tc>
          <w:tcPr>
            <w:tcW w:type="dxa" w:w="345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Payload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RM-Batch dosing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Psm_&lt;plant&gt;_&lt;RM&gt;_Batch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D:202641,S:3,B:38,R:PLUMERIA,RM:EDTA,SP:2.05,PV:2.08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Batch PV weight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PSM_&lt;plant&gt;_Batch_PV_Weight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scalar (kg)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Batch SP weight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PSM_&lt;plant&gt;_Batch_SP_Weight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scalar (kg)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Batch counter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PSM_&lt;plant&gt;_Batch_Counter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int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Noodle name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PSM_&lt;plant&gt;_Noodle_Name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string (e.g. JASMINE NOODLES)</w:t>
            </w:r>
          </w:p>
        </w:tc>
      </w:tr>
    </w:tbl>
    <w:p>
      <w:pPr>
        <w:spacing w:after="120"/>
      </w:pPr>
      <w:r>
        <w:rPr>
          <w:b w:val="0"/>
          <w:i w:val="0"/>
        </w:rPr>
        <w:t>The D: field is a Julian date (YYYYDDD); S: is a status code (1 = idle, 2 = dosing, 3 = complete); B: is a 0–39 batch counter; R: is the recipe; RM: is the raw material; SP/PV are setpoint and process value in kg.</w:t>
      </w:r>
    </w:p>
    <w:p>
      <w:pPr>
        <w:spacing w:after="120"/>
      </w:pPr>
      <w:r>
        <w:rPr>
          <w:b w:val="0"/>
          <w:i w:val="0"/>
        </w:rPr>
        <w:t>Raw materials tracked: EDTA, EHDP, AOS, Salt, Water, Caustic, DFA, EMILY, GLYCERINE, Sodium Sulphate.</w:t>
      </w:r>
    </w:p>
    <w:p>
      <w:pPr>
        <w:spacing w:before="280" w:after="80"/>
      </w:pPr>
      <w:r>
        <w:rPr>
          <w:b/>
          <w:color w:val="06768A"/>
          <w:sz w:val="28"/>
        </w:rPr>
        <w:t>4.2 Sigma Mixer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Sub-type</w:t>
            </w:r>
          </w:p>
        </w:tc>
        <w:tc>
          <w:tcPr>
            <w:tcW w:type="dxa" w:w="288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Tag substring</w:t>
            </w:r>
          </w:p>
        </w:tc>
        <w:tc>
          <w:tcPr>
            <w:tcW w:type="dxa" w:w="432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Payload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LAURIC_STRING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D/S/B/R/RM/SP/PV schema; RM = Lauric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Barcode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SM_MX*_BC / _BC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numeric barcode, or "Scan Barcode" when idle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Rework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 (0 = normal, &gt; 0 = rework active)</w:t>
            </w:r>
          </w:p>
        </w:tc>
      </w:tr>
    </w:tbl>
    <w:p>
      <w:pPr>
        <w:spacing w:after="120"/>
      </w:pPr>
      <w:r>
        <w:rPr>
          <w:b w:val="0"/>
          <w:i w:val="0"/>
        </w:rPr>
        <w:t>Two mixers (MX1, MX2) detected from substrings MIXER_2 / MX2 / MX02.</w:t>
      </w:r>
    </w:p>
    <w:p>
      <w:pPr>
        <w:spacing w:before="280" w:after="80"/>
      </w:pPr>
      <w:r>
        <w:rPr>
          <w:b/>
          <w:color w:val="06768A"/>
          <w:sz w:val="28"/>
        </w:rPr>
        <w:t>4.3 Silo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04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Sub-type</w:t>
            </w:r>
          </w:p>
        </w:tc>
        <w:tc>
          <w:tcPr>
            <w:tcW w:type="dxa" w:w="2448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Tag substring</w:t>
            </w:r>
          </w:p>
        </w:tc>
        <w:tc>
          <w:tcPr>
            <w:tcW w:type="dxa" w:w="4464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Payload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Noodle type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type_of_noodle</w:t>
            </w:r>
          </w:p>
        </w:tc>
        <w:tc>
          <w:tcPr>
            <w:tcW w:type="dxa" w:w="4464"/>
          </w:tcPr>
          <w:p>
            <w:r/>
            <w:r>
              <w:rPr>
                <w:sz w:val="20"/>
              </w:rPr>
              <w:t>one of seven valid noodle types (or empty when idle)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Bag-out detail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All_Details</w:t>
            </w:r>
          </w:p>
        </w:tc>
        <w:tc>
          <w:tcPr>
            <w:tcW w:type="dxa" w:w="4464"/>
          </w:tcPr>
          <w:p>
            <w:r/>
            <w:r>
              <w:rPr>
                <w:sz w:val="20"/>
              </w:rPr>
              <w:t>batchId,SP,PV,noodleType (single ',' = idle)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Station barcode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Scnr_barcode</w:t>
            </w:r>
          </w:p>
        </w:tc>
        <w:tc>
          <w:tcPr>
            <w:tcW w:type="dxa" w:w="4464"/>
          </w:tcPr>
          <w:p>
            <w:r/>
            <w:r>
              <w:rPr>
                <w:sz w:val="20"/>
              </w:rPr>
              <w:t>numeric (&gt;=6 digits) when active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Warehouse barcode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Dosing_Barcode</w:t>
            </w:r>
          </w:p>
        </w:tc>
        <w:tc>
          <w:tcPr>
            <w:tcW w:type="dxa" w:w="4464"/>
          </w:tcPr>
          <w:p>
            <w:r/>
            <w:r>
              <w:rPr>
                <w:sz w:val="20"/>
              </w:rPr>
              <w:t>batchId,weight,noodleType,count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Shreeji barcode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Shreeji</w:t>
            </w:r>
          </w:p>
        </w:tc>
        <w:tc>
          <w:tcPr>
            <w:tcW w:type="dxa" w:w="4464"/>
          </w:tcPr>
          <w:p>
            <w:r/>
            <w:r>
              <w:rPr>
                <w:sz w:val="20"/>
              </w:rPr>
              <w:t>barcodeId,MODE,weight  (MODE typically literal "PV")</w:t>
            </w:r>
          </w:p>
        </w:tc>
      </w:tr>
    </w:tbl>
    <w:p>
      <w:pPr>
        <w:spacing w:after="120"/>
      </w:pPr>
      <w:r>
        <w:rPr>
          <w:b w:val="0"/>
          <w:i w:val="0"/>
        </w:rPr>
        <w:t>Day silos 1–6 and Buffer silos 1–5 surfaced separately. Station IDs: Stn_01, Stn_02.</w:t>
      </w:r>
    </w:p>
    <w:p>
      <w:pPr>
        <w:spacing w:before="280" w:after="80"/>
      </w:pPr>
      <w:r>
        <w:rPr>
          <w:b/>
          <w:color w:val="06768A"/>
          <w:sz w:val="28"/>
        </w:rPr>
        <w:t>4.4 Packaging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Sub-type</w:t>
            </w:r>
          </w:p>
        </w:tc>
        <w:tc>
          <w:tcPr>
            <w:tcW w:type="dxa" w:w="2592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Tag</w:t>
            </w:r>
          </w:p>
        </w:tc>
        <w:tc>
          <w:tcPr>
            <w:tcW w:type="dxa" w:w="4608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Payload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Wrapper</w:t>
            </w:r>
          </w:p>
        </w:tc>
        <w:tc>
          <w:tcPr>
            <w:tcW w:type="dxa" w:w="2592"/>
          </w:tcPr>
          <w:p>
            <w:r/>
            <w:r>
              <w:rPr>
                <w:sz w:val="20"/>
              </w:rPr>
              <w:t>WRA&lt;n&gt; or ACMA1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integer grams; target from WRAPPER_TARGETS table</w:t>
            </w:r>
          </w:p>
        </w:tc>
      </w:tr>
    </w:tbl>
    <w:p>
      <w:pPr>
        <w:spacing w:after="120"/>
      </w:pPr>
      <w:r>
        <w:rPr>
          <w:b w:val="0"/>
          <w:i w:val="0"/>
        </w:rPr>
        <w:t>Cascades: CAS3 (WRA2–9, ACMA1; targets 40–150 g) and CAS5_6 (WRA10–16; targets 39–41 g). Default machine ID is 8005000043300; three wrappers (WRA3, ACMA1, WRA16) have non-default machine IDs validated against WRAPPER_MACHINE_MAP.</w:t>
      </w:r>
    </w:p>
    <w:p>
      <w:pPr>
        <w:spacing w:before="280" w:after="80"/>
      </w:pPr>
      <w:r>
        <w:rPr>
          <w:b/>
          <w:color w:val="06768A"/>
          <w:sz w:val="28"/>
        </w:rPr>
        <w:t>4.5 Valid Noodle Types</w:t>
      </w:r>
    </w:p>
    <w:p>
      <w:pPr>
        <w:spacing w:after="120"/>
      </w:pPr>
      <w:r>
        <w:rPr>
          <w:b w:val="0"/>
          <w:i w:val="0"/>
        </w:rPr>
        <w:t>JASMINE NOODLES, PLUMERIA NOODLES, SERGIO 56 NOODLES, TEXAS MOD NOODLES, GALAXY NOODLES, 20 PKO TULIP NOODLES, LILAC NOODLES.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5. Validation Rules Catalogue</w:t>
      </w:r>
    </w:p>
    <w:p>
      <w:pPr>
        <w:spacing w:after="120"/>
      </w:pPr>
      <w:r>
        <w:rPr>
          <w:b w:val="0"/>
          <w:i w:val="0"/>
        </w:rPr>
        <w:t>TagValidationService runs 37 rules per tag. Every rule emits a ValidationResult { ruleId, severity, passed, message }. The batch health score uses only the passed flag on rows where dataAvailable = true.</w:t>
      </w:r>
    </w:p>
    <w:p>
      <w:pPr>
        <w:spacing w:before="280" w:after="80"/>
      </w:pPr>
      <w:r>
        <w:rPr>
          <w:b/>
          <w:color w:val="06768A"/>
          <w:sz w:val="28"/>
        </w:rPr>
        <w:t>5.1 General Rules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9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44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648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GEN-01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Streaming silence &gt; 5 min during production hours (06:00–22:00 IST)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GEN-02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Null or empty value (idle bag-out exempted)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GEN-03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Timestamps must be monotonically increasing per tag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GEN-04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Source metadata sanity (SiteId, IotDeviceId, SensorId)</w:t>
            </w:r>
          </w:p>
        </w:tc>
      </w:tr>
    </w:tbl>
    <w:p>
      <w:pPr>
        <w:spacing w:before="280" w:after="80"/>
      </w:pPr>
      <w:r>
        <w:rPr>
          <w:b/>
          <w:color w:val="06768A"/>
          <w:sz w:val="28"/>
        </w:rPr>
        <w:t>5.2 PSM Rules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9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44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648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PSM-01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Schema must contain all of D, S, B, R, RM, SP, PV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PSM-02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PV must not be 0 while status = dosing (S=2)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PSM-03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PV must not be negative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PSM-04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PV must not drop &gt; 0.5 kg within the same batch counter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PSM-05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Completion deviation |PV-SP|/SP ≤ 5 % when S=3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PSM-06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Status code must be 1, 2, or 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PSM-07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Batch counter sequential or 39→0 wrap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PSM-08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All RMs in current cycle agree on D and 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PSM-09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Streaming gap inside production hours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PSM-10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SP-change detection (event log only)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PSM-11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Julian date D within 2 days of system time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PSM-12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Batch_PV_Weight ≈ Σ RM PVs (≤ 2 % deviation)</w:t>
            </w:r>
          </w:p>
        </w:tc>
      </w:tr>
    </w:tbl>
    <w:p>
      <w:pPr>
        <w:spacing w:before="280" w:after="80"/>
      </w:pPr>
      <w:r>
        <w:rPr>
          <w:b/>
          <w:color w:val="06768A"/>
          <w:sz w:val="28"/>
        </w:rPr>
        <w:t>5.3 Sigma Rules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9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44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648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SMX-02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Barcode must be empty/idle marker, or pure numeric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SMX-03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Rework stuck &gt; 0 for &gt; 3 consecutive polls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SMX-04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MX1 and MX2 must not dose the same batch counter simultaneously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SMX-05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Recipe must not change mid-batch</w:t>
            </w:r>
          </w:p>
        </w:tc>
      </w:tr>
    </w:tbl>
    <w:p>
      <w:pPr>
        <w:spacing w:before="280" w:after="80"/>
      </w:pPr>
      <w:r>
        <w:rPr>
          <w:b/>
          <w:color w:val="06768A"/>
          <w:sz w:val="28"/>
        </w:rPr>
        <w:t>5.4 Silo Rules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9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44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648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SLO-01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Noodle type must be in the valid set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SLO-02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Bag-out detail must be CSV of 4 fields, or single ',' for idle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SLO-03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Bag PV weight ≥ 0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SLO-04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Bag PV within 10 % of SP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SLO-05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Day-silo and Buffer-silo at same index agree on noodle type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SLO-06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Station barcode format (≥ 6 digits) when active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SLO-07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Warehouse barcode valid (weight &gt; 0, count 1–6, noodle in set)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SLO-08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Silo streaming gap &gt; 5 min (Shreeji exempt)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SLO-09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No silo should be the lone source of a unique noodle type</w:t>
            </w:r>
          </w:p>
        </w:tc>
      </w:tr>
    </w:tbl>
    <w:p>
      <w:pPr>
        <w:spacing w:before="280" w:after="80"/>
      </w:pPr>
      <w:r>
        <w:rPr>
          <w:b/>
          <w:color w:val="06768A"/>
          <w:sz w:val="28"/>
        </w:rPr>
        <w:t>5.5 Packaging Rules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9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44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648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PKG-01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Grams &gt; 0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PKG-02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0392B"/>
                <w:sz w:val="20"/>
              </w:rPr>
              <w:t>CRITICAL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|grams − wrapper_target| ≤ 3 g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PKG-03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No sudden jump &gt; 5 g between polls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PKG-04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Same-target peers in cascade within 3 g spread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PKG-05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MachineId matches WRAPPER_MACHINE_MAP expectation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PKG-06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C98A0C"/>
                <w:sz w:val="20"/>
              </w:rPr>
              <w:t>WARNING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Value not frozen for &gt; 5 identical consecutive polls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20"/>
              </w:rPr>
              <w:t>PKG-07</w:t>
            </w:r>
          </w:p>
        </w:tc>
        <w:tc>
          <w:tcPr>
            <w:tcW w:type="dxa" w:w="1440"/>
          </w:tcPr>
          <w:p>
            <w:r/>
            <w:r>
              <w:rPr>
                <w:color w:val="426BA5"/>
                <w:sz w:val="20"/>
              </w:rPr>
              <w:t>INFO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Wrapper gap &gt; 6 min</w:t>
            </w:r>
          </w:p>
        </w:tc>
      </w:tr>
    </w:tbl>
    <w:p>
      <w:pPr>
        <w:spacing w:before="280" w:after="80"/>
      </w:pPr>
      <w:r>
        <w:rPr>
          <w:b/>
          <w:color w:val="06768A"/>
          <w:sz w:val="28"/>
        </w:rPr>
        <w:t>5.6 Status Buckets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4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576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Underlying statuses</w:t>
            </w:r>
          </w:p>
        </w:tc>
        <w:tc>
          <w:tcPr>
            <w:tcW w:type="dxa" w:w="1872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Colour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GOOD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OK, NORMAL, COMPLETE, IN-SPEC, ACTIVE, SCANNED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Green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WARNING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ALERT, WARNING, DOSING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Yellow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SEVERE, CRITICAL, OUT-OF-SPEC, FROZEN, OFFLINE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Pink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IDLE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IDLE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Muted</w:t>
            </w:r>
          </w:p>
        </w:tc>
      </w:tr>
    </w:tbl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6. Batch Health Methodology</w:t>
      </w:r>
    </w:p>
    <w:p>
      <w:pPr>
        <w:spacing w:after="120"/>
      </w:pPr>
      <w:r>
        <w:rPr>
          <w:b w:val="0"/>
          <w:i w:val="0"/>
        </w:rPr>
        <w:t>ZoneAggregatorService.computeBatchHealth() groups every row by a zone-specific batchKey:</w:t>
      </w:r>
    </w:p>
    <w:p>
      <w:pPr>
        <w:pStyle w:val="ListBullet"/>
      </w:pPr>
      <w:r>
        <w:t>PSM:  PSM:&lt;plant&gt;:&lt;batchId&gt;:&lt;recipe&gt;</w:t>
      </w:r>
    </w:p>
    <w:p>
      <w:pPr>
        <w:pStyle w:val="ListBullet"/>
      </w:pPr>
      <w:r>
        <w:t>Sigma:  SIGMA:&lt;mixer&gt;:&lt;batchCounter&gt;</w:t>
      </w:r>
    </w:p>
    <w:p>
      <w:pPr>
        <w:pStyle w:val="ListBullet"/>
      </w:pPr>
      <w:r>
        <w:t>Silo:  SILO:&lt;barcode&gt; if known, else SILO:&lt;siloId&gt; or SILO:&lt;stationId&gt;</w:t>
      </w:r>
    </w:p>
    <w:p>
      <w:pPr>
        <w:pStyle w:val="ListBullet"/>
      </w:pPr>
      <w:r>
        <w:t>Packaging:  PACKAGING:&lt;cascade&gt;</w:t>
      </w:r>
    </w:p>
    <w:p>
      <w:pPr>
        <w:spacing w:after="120"/>
      </w:pPr>
      <w:r>
        <w:rPr>
          <w:b/>
          <w:i w:val="0"/>
        </w:rPr>
        <w:t>Score = passing / total × 100, but only rows with dataAvailable = true count. Idle barcodes, noodle-name labels, and zero-rework heartbeats don't penalise or credit the batch — only rule-applicable telemetry does.</w:t>
      </w:r>
    </w:p>
    <w:p>
      <w:pPr>
        <w:spacing w:after="120"/>
      </w:pPr>
      <w:r>
        <w:rPr>
          <w:b w:val="0"/>
          <w:i w:val="0"/>
        </w:rPr>
        <w:t>A score ≥ 95 % renders green; ≥ 80 % yellow; otherwise pink, with the underlying passing / total fraction tooltipped on hover.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7. Dashboard Walkthrough</w:t>
      </w:r>
    </w:p>
    <w:p>
      <w:pPr>
        <w:spacing w:after="120"/>
      </w:pPr>
      <w:r>
        <w:rPr>
          <w:b w:val="0"/>
          <w:i w:val="0"/>
        </w:rPr>
        <w:t>The UI is one Angular page rendered around the UnifiedTagsTableComponent. The sticky header packages all of the discovery controls together so the user never loses context while scrolling 4,000+ rows.</w:t>
      </w:r>
    </w:p>
    <w:p>
      <w:pPr>
        <w:spacing w:before="280" w:after="80"/>
      </w:pPr>
      <w:r>
        <w:rPr>
          <w:b/>
          <w:color w:val="06768A"/>
          <w:sz w:val="28"/>
        </w:rPr>
        <w:t>7.1 Sticky Title 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792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itle-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9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Figure — Top sticky header — title, row/batch counter, sort indicator, Data-only toggle, Zone &amp; Status dropdowns, and the Date range row with TODAY / 24H / 7D / 30D / ALL presets.</w:t>
      </w:r>
    </w:p>
    <w:p>
      <w:pPr>
        <w:spacing w:after="120"/>
      </w:pPr>
      <w:r>
        <w:rPr>
          <w:b w:val="0"/>
          <w:i w:val="0"/>
        </w:rPr>
        <w:t>Row 1 carries the brand, the live row/batch count, the active sort indicator, the Data only toggle, the Zone dropdown, and the Status dropdown. Row 2 is the Date range with anchored presets that work on historical workbooks (anchored on the newest timestamp present, not "now"). Below that sits the collapsible ZONE FILTERS panel.</w:t>
      </w:r>
    </w:p>
    <w:p>
      <w:pPr>
        <w:spacing w:before="280" w:after="80"/>
      </w:pPr>
      <w:r>
        <w:rPr>
          <w:b/>
          <w:color w:val="06768A"/>
          <w:sz w:val="28"/>
        </w:rPr>
        <w:t>7.2 Zone Filter Cards (collapsible)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569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zone-fil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5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Figure — Zone filter panel expanded — each zone gets its own colour-coded card with column-level filters (Plant, Recipe, RM, Mixer, Station, Noodle, Cascade, Tag Type).</w:t>
      </w:r>
    </w:p>
    <w:p>
      <w:pPr>
        <w:spacing w:after="120"/>
      </w:pPr>
      <w:r>
        <w:rPr>
          <w:b w:val="0"/>
          <w:i w:val="0"/>
        </w:rPr>
        <w:t>Each zone gets its own column-filter card, colour-coded by zone identity (PSM cyan, Sigma purple, Silo yellow, Packaging orange). Cards only appear when the parent Zone dropdown includes them. An "X active" counter and a RESET ALL button show in the header when any selection is non-default.</w:t>
      </w:r>
    </w:p>
    <w:p>
      <w:pPr>
        <w:spacing w:before="280" w:after="80"/>
      </w:pPr>
      <w:r>
        <w:rPr>
          <w:b/>
          <w:color w:val="06768A"/>
          <w:sz w:val="28"/>
        </w:rPr>
        <w:t>7.3 Unified Table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nified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Figure — Sortable unified table with coloured zone &amp; status chips, deviation gradient, and batch-health pill.</w:t>
      </w:r>
    </w:p>
    <w:p>
      <w:pPr>
        <w:spacing w:after="120"/>
      </w:pPr>
      <w:r>
        <w:rPr>
          <w:b w:val="0"/>
          <w:i w:val="0"/>
        </w:rPr>
        <w:t>Thirteen columns: ZONE · TAG / ENTITY · MACHINE · BATCH · RECIPE · RM / NOODLE · STATUS · SP · PV · DEV % · BATCH HEALTH · LATEST VALUE · TS. Every header except LATEST VALUE is sortable; numeric/date columns toggle desc-first, text columns asc-first. Deviation % is colour-graded (≤ 5 % green, ≤ 10 % yellow, otherwise pink). Batch health renders as a coloured pill with the passing / total fraction beside it.</w:t>
      </w:r>
    </w:p>
    <w:p>
      <w:pPr>
        <w:spacing w:before="280" w:after="80"/>
      </w:pPr>
      <w:r>
        <w:rPr>
          <w:b/>
          <w:color w:val="06768A"/>
          <w:sz w:val="28"/>
        </w:rPr>
        <w:t>7.4 Tag Detail Drawer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ag-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Figure — Right-side drawer with the full parsed payload, active rule failures, and (for PSM) the last 10 PV readings as a sparkline.</w:t>
      </w:r>
    </w:p>
    <w:p>
      <w:pPr>
        <w:spacing w:after="120"/>
      </w:pPr>
      <w:r>
        <w:rPr>
          <w:b w:val="0"/>
          <w:i w:val="0"/>
        </w:rPr>
        <w:t>Clicking any row opens a fixed drawer containing the full payload, the parsed schema, the active rule failures (if any), and — for PSM rows — the last 10 PV readings rendered as a mini history chart. The drawer reads from the parent component's allRows signal, so cross-batch comparison is immediate.</w:t>
      </w:r>
    </w:p>
    <w:p>
      <w:pPr>
        <w:spacing w:before="280" w:after="80"/>
      </w:pPr>
      <w:r>
        <w:rPr>
          <w:b/>
          <w:color w:val="06768A"/>
          <w:sz w:val="28"/>
        </w:rPr>
        <w:t>7.5 Dark / Light Theming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6424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he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42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Figure — Theme switching is signal-driven — every component's [ngStyle] binding re-evaluates without a route reload.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8. Predictive Layer (ONNX)</w:t>
      </w:r>
    </w:p>
    <w:p>
      <w:pPr>
        <w:spacing w:after="120"/>
      </w:pPr>
      <w:r>
        <w:rPr>
          <w:b w:val="0"/>
          <w:i w:val="0"/>
        </w:rPr>
        <w:t>backend/Models/onnx/ ships six trained models behind OnnxRiskPredictor: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8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5472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1872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spike_5m.onnx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P(weight-spike within 5 min)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probability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spike_10m.onnx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P(weight-spike within 10 min)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probability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spike_15m.onnx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P(weight-spike within 15 min)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probability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spike_within_window.onnx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P(spike anywhere in next 15 min)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probability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precursor_risk.onnx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P(current window leads to a defective batch)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probability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future_error_pct.onnx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Regression: |PV-SP|/SP 5 min ahead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float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tft.onnx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TFT — attention weights for explainability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tensor</w:t>
            </w:r>
          </w:p>
        </w:tc>
      </w:tr>
    </w:tbl>
    <w:p>
      <w:pPr>
        <w:spacing w:after="120"/>
      </w:pPr>
      <w:r>
        <w:rPr>
          <w:b w:val="0"/>
          <w:i w:val="0"/>
        </w:rPr>
        <w:t>RiskPredictorService wraps these. FeatureEngineer / PythonFeatureEngineer produce the rolling features (pv_lag_*, sp_lag_*, dev_ewma_*, gap_seconds, recipe one-hot, RM one-hot) consumed by the models. They are reached from /predict?tag=…&amp;horizon=… but are not yet wired into the dashboard cells — promoting them inline is the headline item on the next-iteration list.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9. What's Implemented Today</w:t>
      </w:r>
    </w:p>
    <w:p>
      <w:pPr>
        <w:pStyle w:val="ListBullet"/>
      </w:pPr>
      <w:r>
        <w:t>[done]  OPC-UA workbook loaders for PSM, PSM telemetry, Sigma, Silo, Packaging (lazy + cached)</w:t>
      </w:r>
    </w:p>
    <w:p>
      <w:pPr>
        <w:pStyle w:val="ListBullet"/>
      </w:pPr>
      <w:r>
        <w:t>[done]  Strongly-typed parser for every tag sub-type (TagParserService)</w:t>
      </w:r>
    </w:p>
    <w:p>
      <w:pPr>
        <w:pStyle w:val="ListBullet"/>
      </w:pPr>
      <w:r>
        <w:t>[done]  37 deterministic validation rules (TagValidationService)</w:t>
      </w:r>
    </w:p>
    <w:p>
      <w:pPr>
        <w:pStyle w:val="ListBullet"/>
      </w:pPr>
      <w:r>
        <w:t>[done]  Unified-row model with dataAvailable gating so the batch score isn't diluted by idle rows</w:t>
      </w:r>
    </w:p>
    <w:p>
      <w:pPr>
        <w:pStyle w:val="ListBullet"/>
      </w:pPr>
      <w:r>
        <w:t>[done]  ZoneAggregatorService.computeBatchHealth() — passing ÷ rich-total per batch key</w:t>
      </w:r>
    </w:p>
    <w:p>
      <w:pPr>
        <w:pStyle w:val="ListBullet"/>
      </w:pPr>
      <w:r>
        <w:t>[done]  Single-page dashboard with sticky header (title · data-only · date · zone · status)</w:t>
      </w:r>
    </w:p>
    <w:p>
      <w:pPr>
        <w:pStyle w:val="ListBullet"/>
      </w:pPr>
      <w:r>
        <w:t>[done]  Collapsible per-zone column filters (PSM / SIGMA / SILO / PACKAGING)</w:t>
      </w:r>
    </w:p>
    <w:p>
      <w:pPr>
        <w:pStyle w:val="ListBullet"/>
      </w:pPr>
      <w:r>
        <w:t>[done]  Sortable, themed table with deviation gradient and health pills</w:t>
      </w:r>
    </w:p>
    <w:p>
      <w:pPr>
        <w:pStyle w:val="ListBullet"/>
      </w:pPr>
      <w:r>
        <w:t>[done]  Tag detail drawer with last-10 readings chart for PSM rows</w:t>
      </w:r>
    </w:p>
    <w:p>
      <w:pPr>
        <w:pStyle w:val="ListBullet"/>
      </w:pPr>
      <w:r>
        <w:t>[done]  Dark / light theme switcher</w:t>
      </w:r>
    </w:p>
    <w:p>
      <w:pPr>
        <w:pStyle w:val="ListBullet"/>
      </w:pPr>
      <w:r>
        <w:t>[done]  Six ONNX models present and load-tested in OnnxRiskPredictor</w:t>
      </w:r>
    </w:p>
    <w:p>
      <w:pPr>
        <w:pStyle w:val="ListBullet"/>
      </w:pPr>
      <w:r>
        <w:t>[done]  Date-range filtering with anchored presets (works on historical workbooks)</w:t>
      </w:r>
    </w:p>
    <w:p>
      <w:pPr>
        <w:pStyle w:val="ListBullet"/>
      </w:pPr>
      <w:r>
        <w:t>[done]  Repository on GitHub with .gitignore and README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10. Roadmap — Next Iterations</w:t>
      </w:r>
    </w:p>
    <w:p>
      <w:pPr>
        <w:spacing w:before="280" w:after="80"/>
      </w:pPr>
      <w:r>
        <w:rPr>
          <w:b/>
          <w:color w:val="06768A"/>
          <w:sz w:val="28"/>
        </w:rPr>
        <w:t>10.1 Near-term (2-week sprint)</w:t>
      </w:r>
    </w:p>
    <w:p>
      <w:pPr>
        <w:spacing w:before="200" w:after="40"/>
      </w:pPr>
      <w:r>
        <w:rPr>
          <w:b/>
          <w:color w:val="334155"/>
          <w:sz w:val="24"/>
        </w:rPr>
        <w:t>1. Inline predictions in the table.</w:t>
      </w:r>
    </w:p>
    <w:p>
      <w:pPr>
        <w:spacing w:after="120"/>
      </w:pPr>
      <w:r>
        <w:rPr>
          <w:b w:val="0"/>
          <w:i w:val="0"/>
        </w:rPr>
        <w:t>Render a RISK 5m / 10m / 15m mini-gauge per row sourced from the spike models. Hovering reveals the top three TFT-attention features driving the score. Most impactful change: converts the dashboard from "what is happening" to "what is about to happen."</w:t>
      </w:r>
    </w:p>
    <w:p>
      <w:pPr>
        <w:spacing w:before="200" w:after="40"/>
      </w:pPr>
      <w:r>
        <w:rPr>
          <w:b/>
          <w:color w:val="334155"/>
          <w:sz w:val="24"/>
        </w:rPr>
        <w:t>2. Alert log view.</w:t>
      </w:r>
    </w:p>
    <w:p>
      <w:pPr>
        <w:spacing w:after="120"/>
      </w:pPr>
      <w:r>
        <w:rPr>
          <w:b w:val="0"/>
          <w:i w:val="0"/>
        </w:rPr>
        <w:t>A second tab that lists every failed rule chronologically, grouped by tag, with severity counts in the header. Required for shift handovers.</w:t>
      </w:r>
    </w:p>
    <w:p>
      <w:pPr>
        <w:spacing w:before="200" w:after="40"/>
      </w:pPr>
      <w:r>
        <w:rPr>
          <w:b/>
          <w:color w:val="334155"/>
          <w:sz w:val="24"/>
        </w:rPr>
        <w:t>3. Per-RM SP-range gauges.</w:t>
      </w:r>
    </w:p>
    <w:p>
      <w:pPr>
        <w:spacing w:after="120"/>
      </w:pPr>
      <w:r>
        <w:rPr>
          <w:b w:val="0"/>
          <w:i w:val="0"/>
        </w:rPr>
        <w:t>RM_SP_RANGES is already defined; render a horizontal min/max band under each PSM row showing where the current SP sits inside the engineering range.</w:t>
      </w:r>
    </w:p>
    <w:p>
      <w:pPr>
        <w:spacing w:before="200" w:after="40"/>
      </w:pPr>
      <w:r>
        <w:rPr>
          <w:b/>
          <w:color w:val="334155"/>
          <w:sz w:val="24"/>
        </w:rPr>
        <w:t>4. CSV / XLSX export.</w:t>
      </w:r>
    </w:p>
    <w:p>
      <w:pPr>
        <w:spacing w:after="120"/>
      </w:pPr>
      <w:r>
        <w:rPr>
          <w:b w:val="0"/>
          <w:i w:val="0"/>
        </w:rPr>
        <w:t>One-click export of the currently filtered view, ready for an operations email.</w:t>
      </w:r>
    </w:p>
    <w:p>
      <w:pPr>
        <w:spacing w:before="200" w:after="40"/>
      </w:pPr>
      <w:r>
        <w:rPr>
          <w:b/>
          <w:color w:val="334155"/>
          <w:sz w:val="24"/>
        </w:rPr>
        <w:t>5. WebSocket push from the backend.</w:t>
      </w:r>
    </w:p>
    <w:p>
      <w:pPr>
        <w:spacing w:after="120"/>
      </w:pPr>
      <w:r>
        <w:rPr>
          <w:b w:val="0"/>
          <w:i w:val="0"/>
        </w:rPr>
        <w:t>Table refreshes without polling once the historian is replaced by a live OPC-UA gateway.</w:t>
      </w:r>
    </w:p>
    <w:p>
      <w:pPr>
        <w:spacing w:before="280" w:after="80"/>
      </w:pPr>
      <w:r>
        <w:rPr>
          <w:b/>
          <w:color w:val="06768A"/>
          <w:sz w:val="28"/>
        </w:rPr>
        <w:t>10.2 Mid-term (1 quarter)</w:t>
      </w:r>
    </w:p>
    <w:p>
      <w:pPr>
        <w:spacing w:before="200" w:after="40"/>
      </w:pPr>
      <w:r>
        <w:rPr>
          <w:b/>
          <w:color w:val="334155"/>
          <w:sz w:val="24"/>
        </w:rPr>
        <w:t>6. Recipe-aware anomaly thresholds.</w:t>
      </w:r>
    </w:p>
    <w:p>
      <w:pPr>
        <w:spacing w:after="120"/>
      </w:pPr>
      <w:r>
        <w:rPr>
          <w:b w:val="0"/>
          <w:i w:val="0"/>
        </w:rPr>
        <w:t>Replace the flat ±5 % deviation threshold with per-recipe, per-RM dynamic thresholds learnt from the future_error_pct model — tight on stable recipes, wide on noisy ones.</w:t>
      </w:r>
    </w:p>
    <w:p>
      <w:pPr>
        <w:spacing w:before="200" w:after="40"/>
      </w:pPr>
      <w:r>
        <w:rPr>
          <w:b/>
          <w:color w:val="334155"/>
          <w:sz w:val="24"/>
        </w:rPr>
        <w:t>7. Batch lineage view.</w:t>
      </w:r>
    </w:p>
    <w:p>
      <w:pPr>
        <w:spacing w:after="120"/>
      </w:pPr>
      <w:r>
        <w:rPr>
          <w:b w:val="0"/>
          <w:i w:val="0"/>
        </w:rPr>
        <w:t>Connect PSM → Sigma → Silo → Packaging by batchId and recipe; render a Sankey of how a single batch flows through the line, with rule failures and health scores rendered at each node.</w:t>
      </w:r>
    </w:p>
    <w:p>
      <w:pPr>
        <w:spacing w:before="200" w:after="40"/>
      </w:pPr>
      <w:r>
        <w:rPr>
          <w:b/>
          <w:color w:val="334155"/>
          <w:sz w:val="24"/>
        </w:rPr>
        <w:t>8. Operator annotations.</w:t>
      </w:r>
    </w:p>
    <w:p>
      <w:pPr>
        <w:spacing w:after="120"/>
      </w:pPr>
      <w:r>
        <w:rPr>
          <w:b w:val="0"/>
          <w:i w:val="0"/>
        </w:rPr>
        <w:t>Let an operator click a failing row and attach a free-text reason. Annotations persist on the batch key and become labels for retraining the ML models.</w:t>
      </w:r>
    </w:p>
    <w:p>
      <w:pPr>
        <w:spacing w:before="200" w:after="40"/>
      </w:pPr>
      <w:r>
        <w:rPr>
          <w:b/>
          <w:color w:val="334155"/>
          <w:sz w:val="24"/>
        </w:rPr>
        <w:t>9. Predictive-maintenance feed for Packaging.</w:t>
      </w:r>
    </w:p>
    <w:p>
      <w:pPr>
        <w:spacing w:after="120"/>
      </w:pPr>
      <w:r>
        <w:rPr>
          <w:b w:val="0"/>
          <w:i w:val="0"/>
        </w:rPr>
        <w:t>PKG-06 (frozen value) already detects sensor sticking. Promote sticky-sensor events into a maintenance ticket queue (Jira / SAP PM).</w:t>
      </w:r>
    </w:p>
    <w:p>
      <w:pPr>
        <w:spacing w:before="200" w:after="40"/>
      </w:pPr>
      <w:r>
        <w:rPr>
          <w:b/>
          <w:color w:val="334155"/>
          <w:sz w:val="24"/>
        </w:rPr>
        <w:t>10. Multi-site support.</w:t>
      </w:r>
    </w:p>
    <w:p>
      <w:pPr>
        <w:spacing w:after="120"/>
      </w:pPr>
      <w:r>
        <w:rPr>
          <w:b w:val="0"/>
          <w:i w:val="0"/>
        </w:rPr>
        <w:t>SiteId is already enforced in GEN-04; generalise the loader to consume a registry of sites and surface site selection in the title bar.</w:t>
      </w:r>
    </w:p>
    <w:p>
      <w:pPr>
        <w:spacing w:before="280" w:after="80"/>
      </w:pPr>
      <w:r>
        <w:rPr>
          <w:b/>
          <w:color w:val="06768A"/>
          <w:sz w:val="28"/>
        </w:rPr>
        <w:t>10.3 Long-term (2–4 quarters)</w:t>
      </w:r>
    </w:p>
    <w:p>
      <w:pPr>
        <w:spacing w:before="200" w:after="40"/>
      </w:pPr>
      <w:r>
        <w:rPr>
          <w:b/>
          <w:color w:val="334155"/>
          <w:sz w:val="24"/>
        </w:rPr>
        <w:t>11. Closed-loop control suggestions.</w:t>
      </w:r>
    </w:p>
    <w:p>
      <w:pPr>
        <w:spacing w:after="120"/>
      </w:pPr>
      <w:r>
        <w:rPr>
          <w:b w:val="0"/>
          <w:i w:val="0"/>
        </w:rPr>
        <w:t>When spike-15m predicts a defective batch with high confidence and the precursor model agrees, surface a concrete corrective action (e.g. "Reduce AOS SP by 0.4 kg") learnt from historical successful interventions.</w:t>
      </w:r>
    </w:p>
    <w:p>
      <w:pPr>
        <w:spacing w:before="200" w:after="40"/>
      </w:pPr>
      <w:r>
        <w:rPr>
          <w:b/>
          <w:color w:val="334155"/>
          <w:sz w:val="24"/>
        </w:rPr>
        <w:t>12. Cross-line comparison.</w:t>
      </w:r>
    </w:p>
    <w:p>
      <w:pPr>
        <w:spacing w:after="120"/>
      </w:pPr>
      <w:r>
        <w:rPr>
          <w:b w:val="0"/>
          <w:i w:val="0"/>
        </w:rPr>
        <w:t>Once we have ≥ 2 sites streaming, surface a league table of OEE, recipe yield, and defect rate per shift across plants.</w:t>
      </w:r>
    </w:p>
    <w:p>
      <w:pPr>
        <w:spacing w:before="200" w:after="40"/>
      </w:pPr>
      <w:r>
        <w:rPr>
          <w:b/>
          <w:color w:val="334155"/>
          <w:sz w:val="24"/>
        </w:rPr>
        <w:t>13. Mobile shop-floor view.</w:t>
      </w:r>
    </w:p>
    <w:p>
      <w:pPr>
        <w:spacing w:after="120"/>
      </w:pPr>
      <w:r>
        <w:rPr>
          <w:b w:val="0"/>
          <w:i w:val="0"/>
        </w:rPr>
        <w:t>A read-only PWA build of the table scoped to one machine, deployable on a wall-mounted tablet next to each cell.</w:t>
      </w:r>
    </w:p>
    <w:p>
      <w:pPr>
        <w:spacing w:before="200" w:after="40"/>
      </w:pPr>
      <w:r>
        <w:rPr>
          <w:b/>
          <w:color w:val="334155"/>
          <w:sz w:val="24"/>
        </w:rPr>
        <w:t>14. Native ingestion from MQTT / Kafka.</w:t>
      </w:r>
    </w:p>
    <w:p>
      <w:pPr>
        <w:spacing w:after="120"/>
      </w:pPr>
      <w:r>
        <w:rPr>
          <w:b w:val="0"/>
          <w:i w:val="0"/>
        </w:rPr>
        <w:t>Replace .xlsx historian reads with a streaming source so latency drops from ~3 s to sub-100 ms.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11. Data Insights We Can Add</w:t>
      </w:r>
    </w:p>
    <w:p>
      <w:pPr>
        <w:spacing w:after="120"/>
      </w:pPr>
      <w:r>
        <w:rPr>
          <w:b w:val="0"/>
          <w:i w:val="0"/>
        </w:rPr>
        <w:t>Beyond the operational dashboard, the dataset is rich enough to surface insights that are not in scope today but would be high-value reports for the project manager and plant head.</w:t>
      </w:r>
    </w:p>
    <w:p>
      <w:pPr>
        <w:spacing w:before="200" w:after="40"/>
      </w:pPr>
      <w:r>
        <w:rPr>
          <w:b/>
          <w:color w:val="334155"/>
          <w:sz w:val="24"/>
        </w:rPr>
        <w:t>1. Yield-per-recipe trendline.</w:t>
      </w:r>
    </w:p>
    <w:p>
      <w:pPr>
        <w:spacing w:after="120"/>
      </w:pPr>
      <w:r>
        <w:rPr>
          <w:b w:val="0"/>
          <w:i w:val="0"/>
        </w:rPr>
        <w:t>Average |PV−SP|/SP per recipe across the last 30 days, ranked. Identifies the recipes that are hardest to dose accurately.</w:t>
      </w:r>
    </w:p>
    <w:p>
      <w:pPr>
        <w:spacing w:before="200" w:after="40"/>
      </w:pPr>
      <w:r>
        <w:rPr>
          <w:b/>
          <w:color w:val="334155"/>
          <w:sz w:val="24"/>
        </w:rPr>
        <w:t>2. RM contribution to defects.</w:t>
      </w:r>
    </w:p>
    <w:p>
      <w:pPr>
        <w:spacing w:after="120"/>
      </w:pPr>
      <w:r>
        <w:rPr>
          <w:b w:val="0"/>
          <w:i w:val="0"/>
        </w:rPr>
        <w:t>For every CRITICAL rule failure on a batch, decompose which raw material's row failed. Shows whether (e.g.) Caustic dosing is the dominant cause of batch defects.</w:t>
      </w:r>
    </w:p>
    <w:p>
      <w:pPr>
        <w:spacing w:before="200" w:after="40"/>
      </w:pPr>
      <w:r>
        <w:rPr>
          <w:b/>
          <w:color w:val="334155"/>
          <w:sz w:val="24"/>
        </w:rPr>
        <w:t>3. Operator / shift heatmap.</w:t>
      </w:r>
    </w:p>
    <w:p>
      <w:pPr>
        <w:spacing w:after="120"/>
      </w:pPr>
      <w:r>
        <w:rPr>
          <w:b w:val="0"/>
          <w:i w:val="0"/>
        </w:rPr>
        <w:t>Group rule failures by hour of day. Surfaces shift transitions, lunch dips, and pre/post-maintenance windows where the line is unstable.</w:t>
      </w:r>
    </w:p>
    <w:p>
      <w:pPr>
        <w:spacing w:before="200" w:after="40"/>
      </w:pPr>
      <w:r>
        <w:rPr>
          <w:b/>
          <w:color w:val="334155"/>
          <w:sz w:val="24"/>
        </w:rPr>
        <w:t>4. Wrapper-to-cascade efficiency.</w:t>
      </w:r>
    </w:p>
    <w:p>
      <w:pPr>
        <w:spacing w:after="120"/>
      </w:pPr>
      <w:r>
        <w:rPr>
          <w:b w:val="0"/>
          <w:i w:val="0"/>
        </w:rPr>
        <w:t>Average grams-deviation per wrapper grouped by cascade. PKG-04 enforces this; the chart highlights long-term outlier wrappers for maintenance prioritisation.</w:t>
      </w:r>
    </w:p>
    <w:p>
      <w:pPr>
        <w:spacing w:before="200" w:after="40"/>
      </w:pPr>
      <w:r>
        <w:rPr>
          <w:b/>
          <w:color w:val="334155"/>
          <w:sz w:val="24"/>
        </w:rPr>
        <w:t>5. Silo cross-contamination probability.</w:t>
      </w:r>
    </w:p>
    <w:p>
      <w:pPr>
        <w:spacing w:after="120"/>
      </w:pPr>
      <w:r>
        <w:rPr>
          <w:b w:val="0"/>
          <w:i w:val="0"/>
        </w:rPr>
        <w:t>Cross-tabulate SLO-05 failures by silo-index. Output is a heatmap of which day/buffer pairs disagree most often — direct input to the silo cleaning schedule.</w:t>
      </w:r>
    </w:p>
    <w:p>
      <w:pPr>
        <w:spacing w:before="200" w:after="40"/>
      </w:pPr>
      <w:r>
        <w:rPr>
          <w:b/>
          <w:color w:val="334155"/>
          <w:sz w:val="24"/>
        </w:rPr>
        <w:t>6. Comms reliability per device.</w:t>
      </w:r>
    </w:p>
    <w:p>
      <w:pPr>
        <w:spacing w:after="120"/>
      </w:pPr>
      <w:r>
        <w:rPr>
          <w:b w:val="0"/>
          <w:i w:val="0"/>
        </w:rPr>
        <w:t>GEN-01 / PKG-07 / SLO-08 gap events grouped by MachineId. Identifies which OPC-UA endpoints are flaky and need an edge-gateway refresh.</w:t>
      </w:r>
    </w:p>
    <w:p>
      <w:pPr>
        <w:spacing w:before="200" w:after="40"/>
      </w:pPr>
      <w:r>
        <w:rPr>
          <w:b/>
          <w:color w:val="334155"/>
          <w:sz w:val="24"/>
        </w:rPr>
        <w:t>7. Batch-completion histogram.</w:t>
      </w:r>
    </w:p>
    <w:p>
      <w:pPr>
        <w:spacing w:after="120"/>
      </w:pPr>
      <w:r>
        <w:rPr>
          <w:b w:val="0"/>
          <w:i w:val="0"/>
        </w:rPr>
        <w:t>Distribution of time-to-complete per recipe. Median and 95th-percentile = capacity baseline for production planning.</w:t>
      </w:r>
    </w:p>
    <w:p>
      <w:pPr>
        <w:spacing w:before="200" w:after="40"/>
      </w:pPr>
      <w:r>
        <w:rPr>
          <w:b/>
          <w:color w:val="334155"/>
          <w:sz w:val="24"/>
        </w:rPr>
        <w:t>8. Predictive-vs-actual ROC.</w:t>
      </w:r>
    </w:p>
    <w:p>
      <w:pPr>
        <w:spacing w:after="120"/>
      </w:pPr>
      <w:r>
        <w:rPr>
          <w:b w:val="0"/>
          <w:i w:val="0"/>
        </w:rPr>
        <w:t>Plot the ROC curve of spike_15m against the labels actually emitted by the rule engine over the last 30 days. Monthly KPI for "is the ML still trustworthy."</w:t>
      </w:r>
    </w:p>
    <w:p>
      <w:pPr>
        <w:spacing w:before="200" w:after="40"/>
      </w:pPr>
      <w:r>
        <w:rPr>
          <w:b/>
          <w:color w:val="334155"/>
          <w:sz w:val="24"/>
        </w:rPr>
        <w:t>9. Recipe drift detection.</w:t>
      </w:r>
    </w:p>
    <w:p>
      <w:pPr>
        <w:spacing w:after="120"/>
      </w:pPr>
      <w:r>
        <w:rPr>
          <w:b w:val="0"/>
          <w:i w:val="0"/>
        </w:rPr>
        <w:t>Use psm10_spChangeDetection to draw an SP-evolution chart per recipe. Detects silent retuning without paperwork.</w:t>
      </w:r>
    </w:p>
    <w:p>
      <w:pPr>
        <w:spacing w:before="200" w:after="40"/>
      </w:pPr>
      <w:r>
        <w:rPr>
          <w:b/>
          <w:color w:val="334155"/>
          <w:sz w:val="24"/>
        </w:rPr>
        <w:t>10. Noodle-type purity audit.</w:t>
      </w:r>
    </w:p>
    <w:p>
      <w:pPr>
        <w:spacing w:after="120"/>
      </w:pPr>
      <w:r>
        <w:rPr>
          <w:b w:val="0"/>
          <w:i w:val="0"/>
        </w:rPr>
        <w:t>For every batch, ratio of expected vs observed noodle types across the day silos that feed it. Adds a "purity %" column — relevant for the customer audit pack.</w:t>
      </w:r>
    </w:p>
    <w:p>
      <w:r>
        <w:br w:type="page"/>
      </w:r>
    </w:p>
    <w:p>
      <w:pPr>
        <w:spacing w:before="400" w:after="120"/>
      </w:pPr>
      <w:r>
        <w:rPr>
          <w:b/>
          <w:color w:val="102A43"/>
          <w:sz w:val="36"/>
        </w:rPr>
        <w:t>12. KPIs Already Surfaced</w:t>
      </w:r>
    </w:p>
    <w:p>
      <w:pPr>
        <w:spacing w:after="120"/>
      </w:pPr>
      <w:r>
        <w:rPr>
          <w:b w:val="0"/>
          <w:i w:val="0"/>
        </w:rPr>
        <w:t>Live numbers on the current dashboard; any of these can be promoted to executive cards:</w:t>
      </w:r>
    </w:p>
    <w:p>
      <w:pPr>
        <w:pStyle w:val="ListBullet"/>
      </w:pPr>
      <w:r>
        <w:t>Total rows monitored, total batches monitored</w:t>
      </w:r>
    </w:p>
    <w:p>
      <w:pPr>
        <w:pStyle w:val="ListBullet"/>
      </w:pPr>
      <w:r>
        <w:t>Active filter health score (global, scoped to current view)</w:t>
      </w:r>
    </w:p>
    <w:p>
      <w:pPr>
        <w:pStyle w:val="ListBullet"/>
      </w:pPr>
      <w:r>
        <w:t>Per-batch health score (with passing / total fraction)</w:t>
      </w:r>
    </w:p>
    <w:p>
      <w:pPr>
        <w:pStyle w:val="ListBullet"/>
      </w:pPr>
      <w:r>
        <w:t>Active CRITICAL / WARNING / INFO count by zone</w:t>
      </w:r>
    </w:p>
    <w:p>
      <w:pPr>
        <w:pStyle w:val="ListBullet"/>
      </w:pPr>
      <w:r>
        <w:t>Deviation distribution (green / yellow / pink banding on every numeric row)</w:t>
      </w:r>
    </w:p>
    <w:p>
      <w:pPr>
        <w:pStyle w:val="ListBullet"/>
      </w:pPr>
      <w:r>
        <w:t>Date span of currently loaded data</w:t>
      </w:r>
    </w:p>
    <w:p>
      <w:pPr>
        <w:pStyle w:val="ListBullet"/>
      </w:pPr>
      <w:r>
        <w:t>Per-RM, per-recipe, per-mixer, per-cascade row counts via the dropdowns</w:t>
      </w:r>
    </w:p>
    <w:p>
      <w:pPr>
        <w:spacing w:before="400" w:after="120"/>
      </w:pPr>
      <w:r>
        <w:rPr>
          <w:b/>
          <w:color w:val="102A43"/>
          <w:sz w:val="36"/>
        </w:rPr>
        <w:t>13. Technical Stack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68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4752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Frontend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Angular 17, TypeScript 5, Tailwind CSS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Standalone components, signal-based reactivity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Frontend state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Angular signals (no NgRx)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signal, computed, input.required, output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.NET 8 Minimal API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C# 12, async loaders, in-memory caching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Data ingestion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ClosedXML (workbook reader)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Streams .xlsx files from data/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ML runtime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Microsoft.ML.OnnxRuntime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Loads 6 ONNX models on startup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Build / deploy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ng build + dotnet publish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Localhost; container-ready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Repo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Git on GitHub — tag-health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Branch: master</w:t>
            </w:r>
          </w:p>
        </w:tc>
      </w:tr>
    </w:tbl>
    <w:p>
      <w:pPr>
        <w:spacing w:before="400" w:after="120"/>
      </w:pPr>
      <w:r>
        <w:rPr>
          <w:b/>
          <w:color w:val="102A43"/>
          <w:sz w:val="36"/>
        </w:rPr>
        <w:t>14. Risks &amp; Mitigations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32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44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4320"/>
            <w:shd w:val="clear" w:color="auto" w:fill="102A43"/>
          </w:tcPr>
          <w:p>
            <w:r/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Historian schema changes break parser substring detection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Parser is centralised; one file changes. Add a smoke test asserting at least one row per zone parses.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ML models drift as recipes change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Add predictive-vs-actual ROC report (Insight #8); retrain monthly.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Workbook loading &gt; 5 s on large files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Already cached per-zone after first load; long-term move to streaming ingestion.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User-action attribution is impossible without operator annotations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Operator annotations item (mid-term #8) closes this gap.</w:t>
            </w:r>
          </w:p>
        </w:tc>
      </w:tr>
    </w:tbl>
    <w:p>
      <w:pPr>
        <w:spacing w:before="400" w:after="120"/>
      </w:pPr>
      <w:r>
        <w:rPr>
          <w:b/>
          <w:color w:val="102A43"/>
          <w:sz w:val="36"/>
        </w:rPr>
        <w:t>15. Closing</w:t>
      </w:r>
    </w:p>
    <w:p>
      <w:pPr>
        <w:spacing w:after="120"/>
      </w:pPr>
      <w:r>
        <w:rPr>
          <w:b w:val="0"/>
          <w:i w:val="0"/>
        </w:rPr>
        <w:t>The platform converts a reactive Excel workflow into a proactive, rule-validated, ML-augmented operations view. Phase 1 is complete and demonstrable; the immediate next move is to surface the existing ONNX predictions inline and to ship the alert-log tab so the system can replace the daily review meeting rather than supplement it.</w:t>
      </w:r>
    </w:p>
    <w:p>
      <w:pPr>
        <w:spacing w:after="120"/>
      </w:pPr>
      <w:r>
        <w:rPr>
          <w:b w:val="0"/>
          <w:i w:val="0"/>
        </w:rPr>
        <w:t>Demonstration is available locally — backend on localhost:5050, frontend on localhost:4200. The repository at github.com/Abhiramdadi17/tag-health contains everything required to reproduce the build.</w:t>
      </w:r>
    </w:p>
    <w:p>
      <w:pPr>
        <w:spacing w:before="280" w:after="80"/>
      </w:pPr>
      <w:r>
        <w:rPr>
          <w:b/>
          <w:color w:val="06768A"/>
          <w:sz w:val="28"/>
        </w:rPr>
        <w:t>Appendix — Quick Start</w:t>
      </w:r>
    </w:p>
    <w:p>
      <w:pPr>
        <w:ind w:left="283"/>
        <w:shd w:val="clear" w:color="auto" w:fill="F5F7FA"/>
      </w:pPr>
      <w:r>
        <w:rPr>
          <w:rFonts w:ascii="Consolas" w:hAnsi="Consolas"/>
          <w:color w:val="334155"/>
          <w:sz w:val="18"/>
        </w:rPr>
        <w:t># Backend</w:t>
        <w:br/>
        <w:t>cd backend</w:t>
        <w:br/>
        <w:t>dotnet run                # listens on http://localhost:5050</w:t>
        <w:br/>
        <w:br/>
        <w:t># Frontend (new terminal)</w:t>
        <w:br/>
        <w:t>cd frontend</w:t>
        <w:br/>
        <w:t>npm install</w:t>
        <w:br/>
        <w:t>npm start                 # serves http://localhost:4200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