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o="urn:schemas-microsoft-com:office:office" xmlns:r="http://schemas.openxmlformats.org/officeDocument/2006/relationships" xmlns:v="urn:schemas-microsoft-com:vml" xmlns:w15="http://schemas.microsoft.com/office/word/2012/wordml" xmlns:w="http://schemas.openxmlformats.org/wordprocessingml/2006/main" xmlns:w10="urn:schemas-microsoft-com:office:word" xmlns:mc="http://schemas.openxmlformats.org/markup-compatibility/2006" mc:Ignorable="w14 wp14 w15">
  <w:body>
    <w:p>
      <w:pPr>
        <w:pStyle w:val="Title"/>
      </w:pPr>
      <w:r>
        <w:t/>
      </w:r>
      <w:r>
        <w:t>extracted - Code Documentation</w:t>
      </w:r>
    </w:p>
    <w:p>
      <w:pPr>
        <w:pStyle w:val="Heading1"/>
      </w:pPr>
      <w:r>
        <w:t>1. Project Overview</w:t>
      </w:r>
    </w:p>
    <w:p>
      <w:r>
        <w:t>extracted: Multi-language codebase</w:t>
      </w:r>
    </w:p>
    <w:p>
      <w:pPr>
        <w:pStyle w:val="Heading1"/>
      </w:pPr>
      <w:r>
        <w:t>2. Architecture Diagram</w:t>
      </w:r>
    </w:p>
    <w:p>
      <w:r>
        <w:t>Upload → Parse → Process → Generate Documentation</w:t>
      </w:r>
    </w:p>
    <w:p>
      <w:pPr>
        <w:pStyle w:val="Heading1"/>
      </w:pPr>
      <w:r>
        <w:t>3. Tech Stack Summary</w:t>
      </w:r>
    </w:p>
    <w:p>
      <w:r>
        <w:t>• Unknown</w:t>
      </w:r>
    </w:p>
    <w:p>
      <w:pPr>
        <w:pStyle w:val="Heading1"/>
      </w:pPr>
      <w:r>
        <w:t>4. Folder Structure</w:t>
      </w:r>
    </w:p>
    <w:tbl>
      <w:tblPr/>
      <w:tblGrid/>
      <w:tr>
        <w:trPr/>
        <w:tc>
          <w:p>
            <w:r>
              <w:t>Folder</w:t>
            </w:r>
          </w:p>
        </w:tc>
        <w:tc>
          <w:p>
            <w:r>
              <w:t>Description</w:t>
            </w:r>
          </w:p>
        </w:tc>
      </w:tr>
      <w:tr>
        <w:trPr/>
        <w:tc>
          <w:p>
            <w:r>
              <w:t>UploadDocument-Saas/</w:t>
            </w:r>
          </w:p>
        </w:tc>
        <w:tc>
          <w:p>
            <w:r>
              <w:t>Project specific directory</w:t>
            </w:r>
          </w:p>
        </w:tc>
      </w:tr>
    </w:tbl>
    <w:p>
      <w:pPr>
        <w:pStyle w:val="Heading1"/>
      </w:pPr>
      <w:r>
        <w:t>5. Setup Instructions</w:t>
      </w:r>
    </w:p>
    <w:p>
      <w:r>
        <w:t>• git clone &lt;repository-url&gt;</w:t>
      </w:r>
    </w:p>
    <w:p>
      <w:r>
        <w:t>• cd extracted</w:t>
      </w:r>
    </w:p>
    <w:p>
      <w:r>
        <w:t>• Follow project-specific setup instructions</w:t>
      </w:r>
    </w:p>
    <w:p>
      <w:pPr>
        <w:pStyle w:val="Heading1"/>
      </w:pPr>
      <w:r>
        <w:t>6. API Reference</w:t>
      </w:r>
    </w:p>
    <w:tbl>
      <w:tblPr/>
      <w:tblGrid/>
      <w:tr>
        <w:trPr/>
        <w:tc>
          <w:p>
            <w:r>
              <w:t>Method</w:t>
            </w:r>
          </w:p>
        </w:tc>
        <w:tc>
          <w:p>
            <w:r>
              <w:t>Path</w:t>
            </w:r>
          </w:p>
        </w:tc>
        <w:tc>
          <w:p>
            <w:r>
              <w:t>Description</w:t>
            </w:r>
          </w:p>
        </w:tc>
        <w:tc>
          <w:p>
            <w:r>
              <w:t>Example</w:t>
            </w:r>
          </w:p>
        </w:tc>
      </w:tr>
      <w:tr>
        <w:trPr/>
        <w:tc>
          <w:p>
            <w:r>
              <w:t>GET</w:t>
            </w:r>
          </w:p>
        </w:tc>
        <w:tc>
          <w:p>
            <w:r>
              <w:t>/</w:t>
            </w:r>
          </w:p>
        </w:tc>
        <w:tc>
          <w:p>
            <w:r>
              <w:t>Home page</w:t>
            </w:r>
          </w:p>
        </w:tc>
        <w:tc>
          <w:p>
            <w:r>
              <w:t>curl http://localhost:3000/</w:t>
            </w:r>
          </w:p>
        </w:tc>
      </w:tr>
      <w:tr>
        <w:trPr/>
        <w:tc>
          <w:p>
            <w:r>
              <w:t>GET</w:t>
            </w:r>
          </w:p>
        </w:tc>
        <w:tc>
          <w:p>
            <w:r>
              <w:t>/api/health</w:t>
            </w:r>
          </w:p>
        </w:tc>
        <w:tc>
          <w:p>
            <w:r>
              <w:t>Health check</w:t>
            </w:r>
          </w:p>
        </w:tc>
        <w:tc>
          <w:p>
            <w:r>
              <w:t>curl http://localhost:3000/api/health</w:t>
            </w:r>
          </w:p>
        </w:tc>
      </w:tr>
    </w:tbl>
    <w:p>
      <w:pPr>
        <w:pStyle w:val="Heading1"/>
      </w:pPr>
      <w:r>
        <w:t>7. Parsers Info</w:t>
      </w:r>
    </w:p>
    <w:tbl>
      <w:tblPr/>
      <w:tblGrid/>
      <w:tr>
        <w:trPr/>
        <w:tc>
          <w:p>
            <w:r>
              <w:t>Language</w:t>
            </w:r>
          </w:p>
        </w:tc>
        <w:tc>
          <w:p>
            <w:r>
              <w:t>Parser Details</w:t>
            </w:r>
          </w:p>
        </w:tc>
      </w:tr>
      <w:tr>
        <w:trPr/>
        <w:tc>
          <w:p>
            <w:r>
              <w:t>Generic</w:t>
            </w:r>
          </w:p>
        </w:tc>
        <w:tc>
          <w:p>
            <w:r>
              <w:t>File extension based language detection</w:t>
            </w:r>
          </w:p>
        </w:tc>
      </w:tr>
    </w:tbl>
    <w:p>
      <w:pPr>
        <w:pStyle w:val="Heading1"/>
      </w:pPr>
      <w:r>
        <w:t>8. Data Flow</w:t>
      </w:r>
    </w:p>
    <w:p>
      <w:r>
        <w:t>Input → Processing → Business Logic → Data Layer → Output</w:t>
      </w:r>
    </w:p>
    <w:p>
      <w:pPr>
        <w:pStyle w:val="Heading1"/>
      </w:pPr>
      <w:r>
        <w:t>9. External Services</w:t>
      </w:r>
    </w:p>
    <w:p>
      <w:r>
        <w:t>• No external services detected</w:t>
      </w:r>
    </w:p>
    <w:p>
      <w:pPr>
        <w:pStyle w:val="Heading1"/>
      </w:pPr>
      <w:r>
        <w:t>10. Deployment Info</w:t>
      </w:r>
    </w:p>
    <w:p>
      <w:r>
        <w:t>Standard deployment practices apply for Unknown</w:t>
      </w:r>
    </w:p>
    <w:p>
      <w:pPr>
        <w:pStyle w:val="Heading1"/>
      </w:pPr>
      <w:r>
        <w:t>11. Future Roadmap</w:t>
      </w:r>
    </w:p>
    <w:p>
      <w:r>
        <w:t>• Add comprehensive unit tests</w:t>
      </w:r>
    </w:p>
    <w:p>
      <w:r>
        <w:t>• Implement CI/CD pipeline</w:t>
      </w:r>
    </w:p>
    <w:p>
      <w:r>
        <w:t>• Add API documentation</w:t>
      </w:r>
    </w:p>
    <w:p>
      <w:r>
        <w:t>• Performance optimization</w:t>
      </w:r>
    </w:p>
    <w:p>
      <w:r>
        <w:t>• Security audit and improvements</w:t>
      </w:r>
    </w:p>
    <w:p>
      <w:pPr>
        <w:pStyle w:val="Heading1"/>
      </w:pPr>
      <w:r>
        <w:t>12. Common Issues</w:t>
      </w:r>
    </w:p>
    <w:p>
      <w:r>
        <w:t>• Environment variables not set correctly</w:t>
      </w:r>
    </w:p>
    <w:p>
      <w:r>
        <w:t>• Database connection issues</w:t>
      </w:r>
    </w:p>
    <w:p>
      <w:r>
        <w:t>• Port already in use</w:t>
      </w:r>
    </w:p>
    <w:p>
      <w:r>
        <w:t>• Missing dependencies</w:t>
      </w:r>
    </w:p>
    <w:p>
      <w:pPr>
        <w:pStyle w:val="Heading1"/>
      </w:pPr>
      <w:r>
        <w:t>13. Developer Notes</w:t>
      </w:r>
    </w:p>
    <w:p>
      <w:r>
        <w:t>This documentation was auto-generated from code analysis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