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</w:t>
      </w:r>
    </w:p>
    <w:p>
      <w:pPr>
        <w:pStyle w:val="Heading2"/>
      </w:pPr>
      <w:r>
        <w:t>Chapter 16 – Operations, Maintenance &amp; Support</w:t>
      </w:r>
    </w:p>
    <w:p>
      <w:pPr>
        <w:pStyle w:val="Heading3"/>
      </w:pPr>
      <w:r>
        <w:t>16.1 Objective</w:t>
      </w:r>
    </w:p>
    <w:p>
      <w:r>
        <w:t>Defines operational processes, maintenance, support, monitoring, incident management, business continuity and governance.</w:t>
      </w:r>
    </w:p>
    <w:p>
      <w:pPr>
        <w:pStyle w:val="Heading3"/>
      </w:pPr>
      <w:r>
        <w:t>16.2 Operational Architecture</w:t>
      </w:r>
    </w:p>
    <w:p>
      <w:r>
        <w:t>Users -&gt; Support Desk -&gt; L1 -&gt; L2 -&gt; L3 -&gt; Monitoring -&gt; Supabase/Vercel/GitHub</w:t>
      </w:r>
    </w:p>
    <w:p>
      <w:pPr>
        <w:pStyle w:val="Heading3"/>
      </w:pPr>
      <w:r>
        <w:t>16.3 Incident Workflow</w:t>
      </w:r>
    </w:p>
    <w:p>
      <w:r>
        <w:t>Issue -&gt; Ticket -&gt; Severity -&gt; L1 -&gt; L2/L3 if needed -&gt; Resolution -&gt; Validation -&gt; Closure</w:t>
      </w:r>
    </w:p>
    <w:p>
      <w:pPr>
        <w:pStyle w:val="Heading3"/>
      </w:pPr>
      <w:r>
        <w:t>16.4 Monitoring</w:t>
      </w:r>
    </w:p>
    <w:p>
      <w:r>
        <w:t>Monitor APIs, DB, realtime, notifications, jobs, auth, library workflows.</w:t>
      </w:r>
    </w:p>
    <w:p>
      <w:pPr>
        <w:pStyle w:val="Heading3"/>
      </w:pPr>
      <w:r>
        <w:t>16.5 Maintenance</w:t>
      </w:r>
    </w:p>
    <w:p>
      <w:r>
        <w:t>Corrective, Preventive, Adaptive and Perfective maintenance.</w:t>
      </w:r>
    </w:p>
    <w:p>
      <w:pPr>
        <w:pStyle w:val="Heading3"/>
      </w:pPr>
      <w:r>
        <w:t>16.6 Change Management</w:t>
      </w:r>
    </w:p>
    <w:p>
      <w:r>
        <w:t>Request -&gt; Analysis -&gt; Approval -&gt; Development -&gt; QA -&gt; Staging -&gt; Production.</w:t>
      </w:r>
    </w:p>
    <w:p>
      <w:pPr>
        <w:pStyle w:val="Heading3"/>
      </w:pPr>
      <w:r>
        <w:t>16.7 Backup &amp; Recovery</w:t>
      </w:r>
    </w:p>
    <w:p>
      <w:r>
        <w:t>Daily backups, PITR, restore drills, documented runbooks.</w:t>
      </w:r>
    </w:p>
    <w:p>
      <w:pPr>
        <w:pStyle w:val="Heading3"/>
      </w:pPr>
      <w:r>
        <w:t>16.7.1 Interim Implementation Note — Free-Tier Phase (2026-09-24)</w:t>
      </w:r>
    </w:p>
    <w:p>
      <w:pPr/>
      <w:r>
        <w:t>See Chapter 12 §12.7.1 for the full interim exception, risk statement, and scale-up commitment governing this requirement during the current pre-scale phase. In brief: daily backups and PITR are not currently enabled (Supabase Free tier); documented runbooks currently cover schema/logical-backup recovery only, not managed point-in-time recovery, until the project scales to a billed Pro + PITR subscription per the approved trigger.</w:t>
      </w:r>
    </w:p>
    <w:p>
      <w:pPr>
        <w:pStyle w:val="Heading3"/>
      </w:pPr>
      <w:r>
        <w:t>16.8 Business Continuity</w:t>
      </w:r>
    </w:p>
    <w:p>
      <w:r>
        <w:t>Fallback to manual hostel workflow when critical integrations fail.</w:t>
      </w:r>
    </w:p>
    <w:p>
      <w:pPr>
        <w:pStyle w:val="Heading3"/>
      </w:pPr>
      <w:r>
        <w:t>16.9 Roles</w:t>
      </w:r>
    </w:p>
    <w:p>
      <w:r>
        <w:t>System Admin, Support Engineer, Backend Dev, Mobile Dev, DBA, Hostel Operations.</w:t>
      </w:r>
    </w:p>
    <w:p>
      <w:pPr>
        <w:pStyle w:val="Heading3"/>
      </w:pPr>
      <w:r>
        <w:t>16.10 SLA</w:t>
      </w:r>
    </w:p>
    <w:p>
      <w:r>
        <w:t>Availability 99.5%+, Critical response 15 min, High 1 hr.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