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Institutional Research Operating System (IROS)</w:t>
      </w:r>
    </w:p>
    <w:p>
      <w:pPr>
        <w:jc w:val="center"/>
      </w:pPr>
      <w:r>
        <w:rPr>
          <w:color w:val="2D5BAA"/>
          <w:sz w:val="36"/>
        </w:rPr>
        <w:t>Implementation &amp; Features Reference</w:t>
      </w:r>
    </w:p>
    <w:p>
      <w:pPr>
        <w:jc w:val="center"/>
      </w:pPr>
      <w:r>
        <w:rPr>
          <w:i/>
        </w:rPr>
        <w:t>An 8-desk, 25-agent AI equity-research pipeline</w:t>
        <w:br/>
      </w:r>
      <w:r>
        <w:rPr>
          <w:i/>
        </w:rPr>
        <w:t>Local-first · citation-required · human-approval-gated publishing</w:t>
      </w:r>
    </w:p>
    <w:p>
      <w:r>
        <w:br w:type="page"/>
      </w:r>
    </w:p>
    <w:p>
      <w:pPr>
        <w:pStyle w:val="Heading1"/>
      </w:pPr>
      <w:r>
        <w:rPr>
          <w:color w:val="2D5BAA"/>
        </w:rPr>
        <w:t>1. Executive Summary</w:t>
      </w:r>
    </w:p>
    <w:p>
      <w:r>
        <w:t>IROS automates the end-to-end workflow of a senior institutional equity-research analyst: pulling real public filings and market data, extracting typed facts, running five specialist analysts, building and valuing a real 3-statement DCF model, and producing a single, evidence-linked investment decision that only publishes after an adversarial internal review and explicit human compliance sign-off.</w:t>
      </w:r>
    </w:p>
    <w:p>
      <w:pPr>
        <w:pStyle w:val="ListBullet"/>
      </w:pPr>
      <w:r>
        <w:rPr>
          <w:b/>
        </w:rPr>
        <w:t xml:space="preserve">25 specialist agents </w:t>
      </w:r>
      <w:r>
        <w:t>organized into 8 “desks”, each with its own collaboration pattern (sequential handoff, parallel wave, gated parallel, or adversarial chain).</w:t>
      </w:r>
    </w:p>
    <w:p>
      <w:pPr>
        <w:pStyle w:val="ListBullet"/>
      </w:pPr>
      <w:r>
        <w:rPr>
          <w:b/>
        </w:rPr>
        <w:t xml:space="preserve">Two independent surfaces: </w:t>
      </w:r>
      <w:r>
        <w:t>a standalone real-time Ticker Dashboard (any real ticker, live Yahoo Finance/SEC data, AI narrative, DCF/Excel export) and the full 25-agent Research Cockpit pipeline.</w:t>
      </w:r>
    </w:p>
    <w:p>
      <w:pPr>
        <w:pStyle w:val="ListBullet"/>
      </w:pPr>
      <w:r>
        <w:rPr>
          <w:b/>
        </w:rPr>
        <w:t xml:space="preserve">Zero-hallucination discipline: </w:t>
      </w:r>
      <w:r>
        <w:t>every claim in the final thesis must cite a resolvable evidence reference; agents that lack sufficient real evidence abstain rather than invent an answer.</w:t>
      </w:r>
    </w:p>
    <w:p>
      <w:pPr>
        <w:pStyle w:val="ListBullet"/>
      </w:pPr>
      <w:r>
        <w:rPr>
          <w:b/>
        </w:rPr>
        <w:t xml:space="preserve">Local-first: </w:t>
      </w:r>
      <w:r>
        <w:t>runs entirely on a laptop with SQLite + a local Ollama LLM - no cloud API keys, no paid data feeds, no telemetry.</w:t>
      </w:r>
    </w:p>
    <w:p>
      <w:pPr>
        <w:pStyle w:val="ListBullet"/>
      </w:pPr>
      <w:r>
        <w:rPr>
          <w:b/>
        </w:rPr>
        <w:t xml:space="preserve">Fail-closed governance: </w:t>
      </w:r>
      <w:r>
        <w:t>no export, memo, or trade recommendation is ever produced until a Compliance &amp; MNPI Guardrail agent clears the run AND a human explicitly approves publication.</w:t>
      </w:r>
    </w:p>
    <w:p>
      <w:pPr>
        <w:pStyle w:val="Heading1"/>
      </w:pPr>
      <w:r>
        <w:rPr>
          <w:color w:val="2D5BAA"/>
        </w:rPr>
        <w:t>2. Architecture</w:t>
      </w:r>
    </w:p>
    <w:p>
      <w:r>
        <w:t>Orchestration is handled entirely by LangGraph's StateGraph - there is no separate workflow engine (e.g. Temporal). Every agent is a plain Python class extending a shared BaseAgent, registered into a single graph with declared depends_on edges that LangGraph topologically sorts into parallel “waves” automatically.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LangGraph (StateGraph), no Temporal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3.12, FastAPI, Pydantic v2, SQLAlchemy (async)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by default (zero-config); PostgreSQL via docker-compose.yml</w:t>
            </w:r>
          </w:p>
        </w:tc>
      </w:tr>
      <w:tr>
        <w:tc>
          <w:tcPr>
            <w:tcW w:type="dxa" w:w="4320"/>
          </w:tcPr>
          <w:p>
            <w:r>
              <w:t>LLM routing</w:t>
            </w:r>
          </w:p>
        </w:tc>
        <w:tc>
          <w:tcPr>
            <w:tcW w:type="dxa" w:w="4320"/>
          </w:tcPr>
          <w:p>
            <w:r>
              <w:t>ModelRouter → Ollama (llama3.1, nomic-embed-text), deterministic mock fallback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Hybrid BM25 + embedding cosine-similarity RAG over real SEC filing text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14 (App Router), React 18, TypeScript, Zustand, Recharts</w:t>
            </w:r>
          </w:p>
        </w:tc>
      </w:tr>
      <w:tr>
        <w:tc>
          <w:tcPr>
            <w:tcW w:type="dxa" w:w="4320"/>
          </w:tcPr>
          <w:p>
            <w:r>
              <w:t>Real data sources</w:t>
            </w:r>
          </w:p>
        </w:tc>
        <w:tc>
          <w:tcPr>
            <w:tcW w:type="dxa" w:w="4320"/>
          </w:tcPr>
          <w:p>
            <w:r>
              <w:t>yfinance (live quotes/fundamentals), sec-edgar-downloader (real filings)</w:t>
            </w:r>
          </w:p>
        </w:tc>
      </w:tr>
      <w:tr>
        <w:tc>
          <w:tcPr>
            <w:tcW w:type="dxa" w:w="4320"/>
          </w:tcPr>
          <w:p>
            <w:r>
              <w:t>Modeling</w:t>
            </w:r>
          </w:p>
        </w:tc>
        <w:tc>
          <w:tcPr>
            <w:tcW w:type="dxa" w:w="4320"/>
          </w:tcPr>
          <w:p>
            <w:r>
              <w:t>openpyxl (live-formula Excel export), formulas (independent re-verification)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+ Hypothesis (backend), Vitest + Playwright (frontend)</w:t>
            </w:r>
          </w:p>
        </w:tc>
      </w:tr>
    </w:tbl>
    <w:p/>
    <w:p>
      <w:r>
        <w:t>Only 4 of the 25 agents call an LLM at all: Industry &amp; Competitive Context, Transcript Intelligence, Filing Narrative Analyst, and the standing Continuous Monitoring Agent. The other 21 are pure, deterministic Python with no hallucination surface by construction.</w:t>
      </w:r>
    </w:p>
    <w:p>
      <w:pPr>
        <w:pStyle w:val="Heading1"/>
      </w:pPr>
      <w:r>
        <w:rPr>
          <w:color w:val="2D5BAA"/>
        </w:rPr>
        <w:t>3. The 8-Desk / 25-Agent Pipeline</w:t>
      </w:r>
    </w:p>
    <w:p>
      <w:r>
        <w:rPr>
          <w:b/>
        </w:rPr>
        <w:t xml:space="preserve">1. Mandate &amp; Coverage </w:t>
      </w:r>
      <w:r>
        <w:rPr>
          <w:i/>
          <w:color w:val="2D5BAA"/>
        </w:rPr>
        <w:t>— Sequential handoff</w:t>
      </w:r>
    </w:p>
    <w:p>
      <w:r>
        <w:t>Research Planner → Entity &amp; Universe Resolver. Scopes the mandate and resolves the exact company/security + peer set before anything else can run.</w:t>
      </w:r>
    </w:p>
    <w:p>
      <w:r>
        <w:rPr>
          <w:b/>
        </w:rPr>
        <w:t xml:space="preserve">2. Data Acquisition </w:t>
      </w:r>
      <w:r>
        <w:rPr>
          <w:i/>
          <w:color w:val="2D5BAA"/>
        </w:rPr>
        <w:t>— Parallel wave</w:t>
      </w:r>
    </w:p>
    <w:p>
      <w:r>
        <w:t>Acquisition Orchestrator (SEC EDGAR + news connectors) and Expert Notes Ingestion (stricter MNPI screen for uploaded material) run concurrently.</w:t>
      </w:r>
    </w:p>
    <w:p>
      <w:r>
        <w:rPr>
          <w:b/>
        </w:rPr>
        <w:t xml:space="preserve">3. Document &amp; Fact Extraction </w:t>
      </w:r>
      <w:r>
        <w:rPr>
          <w:i/>
          <w:color w:val="2D5BAA"/>
        </w:rPr>
        <w:t>— Gated parallel</w:t>
      </w:r>
    </w:p>
    <w:p>
      <w:r>
        <w:t>Document Intelligence parses raw filings first; Financial Fact Extraction and Transcript Intelligence then run against that parsed output.</w:t>
      </w:r>
    </w:p>
    <w:p>
      <w:r>
        <w:rPr>
          <w:b/>
        </w:rPr>
        <w:t xml:space="preserve">4. Fundamental &amp; Context Research </w:t>
      </w:r>
      <w:r>
        <w:rPr>
          <w:i/>
          <w:color w:val="2D5BAA"/>
        </w:rPr>
        <w:t>— Parallel wave</w:t>
      </w:r>
    </w:p>
    <w:p>
      <w:r>
        <w:t>Five specialist analysts - Financial Integrity, Industry &amp; Competitive Context, Filing Narrative Analyst, Macro/ESG Signal Context, and Market Data Validation - all read the same frozen fact base.</w:t>
      </w:r>
    </w:p>
    <w:p>
      <w:r>
        <w:rPr>
          <w:b/>
        </w:rPr>
        <w:t xml:space="preserve">5. Strategy &amp; Idea Generation </w:t>
      </w:r>
      <w:r>
        <w:rPr>
          <w:i/>
          <w:color w:val="2D5BAA"/>
        </w:rPr>
        <w:t>— Parallel wave</w:t>
      </w:r>
    </w:p>
    <w:p>
      <w:r>
        <w:t>Risk &amp; Catalyst (taxonomized risk map + dated catalyst calendar) and Variant Perception Ideation (non-consensus hypotheses with mandatory falsification tests).</w:t>
      </w:r>
    </w:p>
    <w:p>
      <w:r>
        <w:rPr>
          <w:b/>
        </w:rPr>
        <w:t xml:space="preserve">6. Modeling &amp; Valuation </w:t>
      </w:r>
      <w:r>
        <w:rPr>
          <w:i/>
          <w:color w:val="2D5BAA"/>
        </w:rPr>
        <w:t>— Sequential handoff</w:t>
      </w:r>
    </w:p>
    <w:p>
      <w:r>
        <w:t>Operating Model (driver-based 3-statement forecast) → Valuation Scenario (DCF / comps / probability-weighted scenarios).</w:t>
      </w:r>
    </w:p>
    <w:p>
      <w:r>
        <w:rPr>
          <w:b/>
        </w:rPr>
        <w:t xml:space="preserve">7. Investment Committee </w:t>
      </w:r>
      <w:r>
        <w:rPr>
          <w:i/>
          <w:color w:val="2D5BAA"/>
        </w:rPr>
        <w:t>— Adversarial chain (deliberately never parallelized)</w:t>
      </w:r>
    </w:p>
    <w:p>
      <w:r>
        <w:t>Thesis Synthesizer proposes → Devil's Advocate and Verification Agent independently attack/fact-check → Adjudicator weighs both and sets final confidence/publishability → Compliance &amp; MNPI Guardrail has the final legal word.</w:t>
      </w:r>
    </w:p>
    <w:p>
      <w:r>
        <w:rPr>
          <w:b/>
        </w:rPr>
        <w:t xml:space="preserve">8. Decision, Distribution &amp; Monitoring </w:t>
      </w:r>
      <w:r>
        <w:rPr>
          <w:i/>
          <w:color w:val="2D5BAA"/>
        </w:rPr>
        <w:t>— Gated parallel + standing agent</w:t>
      </w:r>
    </w:p>
    <w:p>
      <w:r>
        <w:t>Portfolio Sizing Advisor and Report &amp; Notebook Agent run concurrently once compliance clears; IC Memo Writer follows. Continuous Monitoring Agent is a standing member that runs on its own schedule, independent of any single research run, watching for the next material trigger.</w:t>
      </w:r>
    </w:p>
    <w:p>
      <w:r>
        <w:t>Desk 7 is the anti-hallucination core of the whole system: it is the one place in the pipeline that is permanently, deliberately non-parallelizable, mirroring a real investment committee's separation of powers. The Adjudicator's disagreement-adjudication protocol discounts the bull thesis's own confidence for every unresolved Devil's Advocate claim and every failed verification check - disagreements are never averaged away or silently ignored.</w:t>
      </w:r>
    </w:p>
    <w:p>
      <w:pPr>
        <w:pStyle w:val="Heading1"/>
      </w:pPr>
      <w:r>
        <w:rPr>
          <w:color w:val="2D5BAA"/>
        </w:rPr>
        <w:t>4. Feature Tour</w:t>
      </w:r>
    </w:p>
    <w:p>
      <w:r>
        <w:rPr>
          <w:b/>
        </w:rPr>
        <w:t xml:space="preserve">Home: </w:t>
      </w:r>
      <w:r>
        <w:t>Command bar to start a new research run (staged review or full auto-run mode), a live backend-status indicator, and a list of recent runs across the workspace.</w:t>
      </w:r>
    </w:p>
    <w:p>
      <w:r>
        <w:rPr>
          <w:b/>
        </w:rPr>
        <w:t xml:space="preserve">Ticker Dashboard: </w:t>
      </w:r>
      <w:r>
        <w:t>A standalone, always-fast feature independent of the 25-agent pipeline: real-time Yahoo Finance quote/ratios/peer comps, an on-demand AI analyst summary (with a fact-check counter showing how many provided real figures were actually cited), a 207-point deterministic data-quality validation pass, multi-year financial statements, and a full DCF/3-statement financial model with a live-formula Excel export.</w:t>
      </w:r>
    </w:p>
    <w:p>
      <w:r>
        <w:rPr>
          <w:b/>
        </w:rPr>
        <w:t xml:space="preserve">Research Cockpit: </w:t>
      </w:r>
      <w:r>
        <w:t>The full 8-desk, 25-agent pipeline for a given run: per-desk, per-agent live status/confidence/latency, and every cockpit module (Financial Scorecard, Risk Map, Catalyst Calendar, Estimate Bridge, Bull/Bear Debate, Variant Perception, Decision Card, What Changed, Provenance &amp; Quality, Contradictions Panel).</w:t>
      </w:r>
    </w:p>
    <w:p>
      <w:r>
        <w:rPr>
          <w:b/>
        </w:rPr>
        <w:t xml:space="preserve">Notebook: </w:t>
      </w:r>
      <w:r>
        <w:t>Ask a natural-language follow-up question about any completed run; answers are grounded in and cite that run's own frozen evidence (bull thesis pillars, bear-case claims, risks, catalysts) or honestly say the question isn't answerable from the available evidence.</w:t>
      </w:r>
    </w:p>
    <w:p>
      <w:r>
        <w:rPr>
          <w:b/>
        </w:rPr>
        <w:t xml:space="preserve">Portfolio: </w:t>
      </w:r>
      <w:r>
        <w:t>A simple watchlist with real, live Yahoo Finance quotes for every ticker added, persisted locally in the browser.</w:t>
      </w:r>
    </w:p>
    <w:p>
      <w:r>
        <w:rPr>
          <w:b/>
        </w:rPr>
        <w:t xml:space="preserve">Admin: </w:t>
      </w:r>
      <w:r>
        <w:t>A live connector-health board that actually probes Yahoo Finance, SEC EDGAR, and the local Ollama instance on demand (not a simulated status), plus a manual trigger for the Continuous Monitoring poll across the workspace's watchlist.</w:t>
      </w:r>
    </w:p>
    <w:p>
      <w:r>
        <w:rPr>
          <w:b/>
        </w:rPr>
        <w:t xml:space="preserve">Activity / Events: </w:t>
      </w:r>
      <w:r>
        <w:t>A cross-workspace audit trail of every research run ever started, newest first, linking through to each run's cockpit.</w:t>
      </w:r>
    </w:p>
    <w:p>
      <w:pPr>
        <w:pStyle w:val="Heading1"/>
      </w:pPr>
      <w:r>
        <w:rPr>
          <w:color w:val="2D5BAA"/>
        </w:rPr>
        <w:t>5. Quality, Testing &amp; Governance</w:t>
      </w:r>
    </w:p>
    <w:p>
      <w:pPr>
        <w:pStyle w:val="ListBullet"/>
      </w:pPr>
      <w:r>
        <w:rPr>
          <w:b/>
        </w:rPr>
        <w:t xml:space="preserve">178 backend tests passing </w:t>
      </w:r>
      <w:r>
        <w:t>(pytest + Hypothesis property tests) across unit, contract, e2e, calibration, adversarial, and golden-file suites, plus 2 intentional xfail cases.</w:t>
      </w:r>
    </w:p>
    <w:p>
      <w:pPr>
        <w:pStyle w:val="ListBullet"/>
      </w:pPr>
      <w:r>
        <w:rPr>
          <w:b/>
        </w:rPr>
        <w:t xml:space="preserve">Frontend test suite: </w:t>
      </w:r>
      <w:r>
        <w:t>Vitest unit tests plus a real Playwright end-to-end test that drives an actual browser through submitting a ticker, running the full pipeline, and verifying the final decision card renders.</w:t>
      </w:r>
    </w:p>
    <w:p>
      <w:pPr>
        <w:pStyle w:val="ListBullet"/>
      </w:pPr>
      <w:r>
        <w:rPr>
          <w:b/>
        </w:rPr>
        <w:t xml:space="preserve">Deterministic, in-agent validators: </w:t>
      </w:r>
      <w:r>
        <w:t>several agents enforce their own contracts at runtime (e.g. every_claim_has_citation, blocked_if_not_compliance_cleared, disagreement_protocol_applied), not just external test assertions.</w:t>
      </w:r>
    </w:p>
    <w:p>
      <w:pPr>
        <w:pStyle w:val="ListBullet"/>
      </w:pPr>
      <w:r>
        <w:rPr>
          <w:b/>
        </w:rPr>
        <w:t xml:space="preserve">Independent verification: </w:t>
      </w:r>
      <w:r>
        <w:t>the Verification Agent recomputes every material number from raw facts before the Adjudicator ever sees the thesis - it never trusts a cached result.</w:t>
      </w:r>
    </w:p>
    <w:p>
      <w:pPr>
        <w:pStyle w:val="ListBullet"/>
      </w:pPr>
      <w:r>
        <w:rPr>
          <w:b/>
        </w:rPr>
        <w:t xml:space="preserve">Fail-closed compliance gate: </w:t>
      </w:r>
      <w:r>
        <w:t>export, memo generation, and any publication-facing action are hard-blocked until compliance_report.cleared is True and a human has explicitly approved - verified via both automated tests and live manual QA.</w:t>
      </w:r>
    </w:p>
    <w:p>
      <w:r>
        <w:t>A comprehensive, live end-to-end QA pass (covering every page, every one of the 25 agents, and real runs against multiple real tickers including AAPL and Texas Instruments/TXN) was completed as part of preparing this implementation for handoff. Five real defects were found and fixed during that pass, each verified against a fresh live run afterward: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 duplicated bear-case argument could appear twice in the Bull/Bear Debate and Adjudicator panels.</w:t>
            </w:r>
          </w:p>
        </w:tc>
        <w:tc>
          <w:tcPr>
            <w:tcW w:type="dxa" w:w="4320"/>
          </w:tcPr>
          <w:p>
            <w:r>
              <w:t>Devil's Advocate now attacks only the first matching thesis pillar for a given argument.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The built-in demo ticker could be silently routed through a real (always-failing) SEC lookup when real data sources were enabled.</w:t>
            </w:r>
          </w:p>
        </w:tc>
        <w:tc>
          <w:tcPr>
            <w:tcW w:type="dxa" w:w="4320"/>
          </w:tcPr>
          <w:p>
            <w:r>
              <w:t>The demo ticker now always uses its fixture data, matching the convention already used by its sibling agents.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The Notebook's Q&amp;A only searched the bull thesis, so most realistic questions (risks, catalysts, bear case) returned “not answerable.”</w:t>
            </w:r>
          </w:p>
        </w:tc>
        <w:tc>
          <w:tcPr>
            <w:tcW w:type="dxa" w:w="4320"/>
          </w:tcPr>
          <w:p>
            <w:r>
              <w:t>Expanded the searchable evidence to include bear-case claims, risks, and catalysts.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In fully-autonomous run mode, a viewer could be silently stranded on the first step of the pipeline even after the whole run finished.</w:t>
            </w:r>
          </w:p>
        </w:tc>
        <w:tc>
          <w:tcPr>
            <w:tcW w:type="dxa" w:w="4320"/>
          </w:tcPr>
          <w:p>
            <w:r>
              <w:t>Replaced an unreliable WebSocket-only “is it done” signal with an authoritative, REST-verified one, plus a polling fallback.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 data-completeness score was permanently reported as 0% for every real ticker, regardless of how much real data was actually retrieved.</w:t>
            </w:r>
          </w:p>
        </w:tc>
        <w:tc>
          <w:tcPr>
            <w:tcW w:type="dxa" w:w="4320"/>
          </w:tcPr>
          <w:p>
            <w:r>
              <w:t>Corrected the expected-document-type list to match real SEC filing types instead of demo-only vocabulary.</w:t>
            </w:r>
          </w:p>
        </w:tc>
      </w:tr>
    </w:tbl>
    <w:p/>
    <w:p>
      <w:pPr>
        <w:pStyle w:val="Heading1"/>
      </w:pPr>
      <w:r>
        <w:rPr>
          <w:color w:val="2D5BAA"/>
        </w:rPr>
        <w:t>6. Setup &amp; Deployment</w:t>
      </w:r>
    </w:p>
    <w:p>
      <w:r>
        <w:t>Local development (no containers required):</w:t>
      </w:r>
    </w:p>
    <w:p>
      <w:pPr>
        <w:pStyle w:val="ListNumber"/>
      </w:pPr>
      <w:r>
        <w:t>Pull two local Ollama models once: llama3.1 and nomic-embed-text.</w:t>
      </w:r>
    </w:p>
    <w:p>
      <w:pPr>
        <w:pStyle w:val="ListNumber"/>
      </w:pPr>
      <w:r>
        <w:t>Backend: create a Python 3.12 virtual environment in agent/, pip install -e ".[dev]", copy .env.example to .env, run python main.py (serves on port 8000).</w:t>
      </w:r>
    </w:p>
    <w:p>
      <w:pPr>
        <w:pStyle w:val="ListNumber"/>
      </w:pPr>
      <w:r>
        <w:t>Frontend: npm install in frontend/, copy .env.example to .env.local, npm run dev (serves on port 3000).</w:t>
      </w:r>
    </w:p>
    <w:p>
      <w:r>
        <w:t>Optional production-scale infrastructure (PostgreSQL, Redis, MinIO) is available via the repository's docker-compose.yml, but nothing in the default setup requires it - SQLite and local disk are the fully-supported default path.</w:t>
      </w:r>
    </w:p>
    <w:p>
      <w:r>
        <w:t>Deployment note: this is a stateful, full-stack application (a Python backend with its own database, plus a local LLM dependency), not a static site. See the accompanying deployment guidance for what a free-hosting deployment would and would not cover.</w:t>
      </w:r>
    </w:p>
    <w:p>
      <w:pPr>
        <w:pStyle w:val="Heading1"/>
      </w:pPr>
      <w:r>
        <w:rPr>
          <w:color w:val="2D5BAA"/>
        </w:rPr>
        <w:t>7. Known Limitations (Disclosed, Not Defects)</w:t>
      </w:r>
    </w:p>
    <w:p>
      <w:pPr>
        <w:pStyle w:val="ListBullet"/>
      </w:pPr>
      <w:r>
        <w:rPr>
          <w:b/>
        </w:rPr>
        <w:t xml:space="preserve">Earnings-call transcripts </w:t>
      </w:r>
      <w:r>
        <w:t>for real tickers are not yet sourced automatically (the connector is fixture-only today); the affected agent correctly abstains rather than fabricating a transcript.</w:t>
      </w:r>
    </w:p>
    <w:p>
      <w:pPr>
        <w:pStyle w:val="ListBullet"/>
      </w:pPr>
      <w:r>
        <w:rPr>
          <w:b/>
        </w:rPr>
        <w:t xml:space="preserve">DCF results for capital-intensive companies mid-cycle </w:t>
      </w:r>
      <w:r>
        <w:t>(e.g. a semiconductor company in a multi-year fab buildout) can look extreme under the generic driver-based model, which holds trailing capex/margin ratios flat rather than modeling a taper; the system already surfaces an explicit caveat in the decision text asking the reviewer to weigh capacity-cycle positioning.</w:t>
      </w:r>
    </w:p>
    <w:p>
      <w:pPr>
        <w:pStyle w:val="ListBullet"/>
      </w:pPr>
      <w:r>
        <w:rPr>
          <w:b/>
        </w:rPr>
        <w:t xml:space="preserve">First-time filing analysis for a new ticker </w:t>
      </w:r>
      <w:r>
        <w:t>can take a few minutes (real filings are chunked and embedded sequentially against the local LLM); results are cached for 24 hours per ticker afterward.</w:t>
      </w:r>
    </w:p>
    <w:p>
      <w:pPr>
        <w:pStyle w:val="ListBullet"/>
      </w:pPr>
      <w:r>
        <w:rPr>
          <w:b/>
        </w:rPr>
        <w:t xml:space="preserve">The Event Workspace detail page </w:t>
      </w:r>
      <w:r>
        <w:t>(a single event's source coverage/reconciliation/Q&amp;A view) is an intentionally deferred stub, not a regression.</w:t>
      </w:r>
    </w:p>
    <w:p>
      <w:r>
        <w:br w:type="page"/>
      </w:r>
    </w:p>
    <w:p>
      <w:pPr>
        <w:pStyle w:val="Heading1"/>
      </w:pPr>
      <w:r>
        <w:rPr>
          <w:color w:val="2D5BAA"/>
        </w:rPr>
        <w:t>Appendix: Where to Read More</w:t>
      </w:r>
    </w:p>
    <w:p>
      <w:pPr>
        <w:pStyle w:val="ListBullet"/>
      </w:pPr>
      <w:r>
        <w:t>docs/AGENTS_MASTER_REFERENCE.md — exhaustive, one-agent-at-a-time reference.</w:t>
      </w:r>
    </w:p>
    <w:p>
      <w:pPr>
        <w:pStyle w:val="ListBullet"/>
      </w:pPr>
      <w:r>
        <w:t>docs/architecture.md — system architecture and data flow.</w:t>
      </w:r>
    </w:p>
    <w:p>
      <w:pPr>
        <w:pStyle w:val="ListBullet"/>
      </w:pPr>
      <w:r>
        <w:t>docs/data_contracts.md — the typed ResearchState every agent reads/writes.</w:t>
      </w:r>
    </w:p>
    <w:p>
      <w:pPr>
        <w:pStyle w:val="ListBullet"/>
      </w:pPr>
      <w:r>
        <w:t>docs/workflow_state_machine.md — staged vs. auto run-mode semantics.</w:t>
      </w:r>
    </w:p>
    <w:p>
      <w:pPr>
        <w:pStyle w:val="ListBullet"/>
      </w:pPr>
      <w:r>
        <w:t>docs/source_policy.md — citable-source and MNPI/compliance policy.</w:t>
      </w:r>
    </w:p>
    <w:p>
      <w:pPr>
        <w:pStyle w:val="ListBullet"/>
      </w:pPr>
      <w:r>
        <w:t>docs/adr/ — Architecture Decision Records.</w:t>
      </w:r>
    </w:p>
    <w:p>
      <w:pPr>
        <w:pStyle w:val="ListBullet"/>
      </w:pPr>
      <w:r>
        <w:t>README.md — quick start and feature tour.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