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4EAAD4" w14:textId="77777777" w:rsidR="005C13F4" w:rsidRDefault="00000000">
      <w:pPr>
        <w:spacing w:after="60"/>
      </w:pPr>
      <w:r>
        <w:rPr>
          <w:b/>
          <w:bCs/>
          <w:color w:val="2E74B5"/>
        </w:rPr>
        <w:t>PROJECT PLAN</w:t>
      </w:r>
    </w:p>
    <w:p w14:paraId="28FC3074" w14:textId="77777777" w:rsidR="005C13F4" w:rsidRDefault="00000000">
      <w:pPr>
        <w:spacing w:after="120"/>
      </w:pPr>
      <w:r>
        <w:rPr>
          <w:b/>
          <w:bCs/>
          <w:color w:val="1F3864"/>
          <w:sz w:val="40"/>
          <w:szCs w:val="40"/>
        </w:rPr>
        <w:t>Data Acquisition &amp; Preliminary Analysis Planning: Public Financial Data</w:t>
      </w:r>
    </w:p>
    <w:p w14:paraId="6DDB96C6" w14:textId="77777777" w:rsidR="005C13F4" w:rsidRDefault="00000000">
      <w:pPr>
        <w:spacing w:after="300"/>
      </w:pPr>
      <w:r>
        <w:rPr>
          <w:i/>
          <w:iCs/>
          <w:color w:val="595959"/>
          <w:sz w:val="24"/>
          <w:szCs w:val="24"/>
        </w:rPr>
        <w:t>A plan for sourcing, cleaning, and exploring public market and macroeconomic data using Python</w:t>
      </w:r>
    </w:p>
    <w:p w14:paraId="1C341275" w14:textId="77777777" w:rsidR="005C13F4" w:rsidRDefault="00000000">
      <w:pPr>
        <w:spacing w:after="40"/>
      </w:pPr>
      <w:r>
        <w:rPr>
          <w:b/>
          <w:bCs/>
          <w:sz w:val="22"/>
          <w:szCs w:val="22"/>
        </w:rPr>
        <w:t>Estimated Effort: 30–35 hours</w:t>
      </w:r>
    </w:p>
    <w:p w14:paraId="14B4D4F8" w14:textId="77777777" w:rsidR="005C13F4" w:rsidRDefault="00000000">
      <w:pPr>
        <w:spacing w:after="400"/>
      </w:pPr>
      <w:r>
        <w:rPr>
          <w:sz w:val="22"/>
          <w:szCs w:val="22"/>
        </w:rPr>
        <w:t>Prepared: September 2026</w:t>
      </w:r>
    </w:p>
    <w:p w14:paraId="785AE5FD" w14:textId="77777777" w:rsidR="005C13F4" w:rsidRDefault="00000000">
      <w:pPr>
        <w:pStyle w:val="Heading1"/>
        <w:pBdr>
          <w:bottom w:val="single" w:sz="6" w:space="4" w:color="2E74B5"/>
        </w:pBdr>
        <w:spacing w:before="360" w:after="160"/>
      </w:pPr>
      <w:r>
        <w:rPr>
          <w:b/>
          <w:bCs/>
          <w:color w:val="1F3864"/>
          <w:sz w:val="30"/>
          <w:szCs w:val="30"/>
        </w:rPr>
        <w:t>1. Executive Summary</w:t>
      </w:r>
    </w:p>
    <w:p w14:paraId="52360814" w14:textId="77777777" w:rsidR="005C13F4" w:rsidRDefault="00000000">
      <w:pPr>
        <w:spacing w:after="160" w:line="300" w:lineRule="auto"/>
      </w:pPr>
      <w:r>
        <w:rPr>
          <w:sz w:val="22"/>
          <w:szCs w:val="22"/>
        </w:rPr>
        <w:t>This document outlines the plan for a self-contained data analytics project focused on publicly available financial data. The goal of this phase is strategic: to identify credible, freely accessible data sources, define concrete analytical questions, and lay out a realistic, milestone-based plan for acquiring, cleaning, and beginning to explore that data in Python. The project is scoped to fit within an estimated 30–35 hours of work, split across planning, acquisition, cleaning, exploratory analysis, deeper risk-focused analysis, and reporting.</w:t>
      </w:r>
    </w:p>
    <w:p w14:paraId="7DE0DA21" w14:textId="77777777" w:rsidR="005C13F4" w:rsidRDefault="00000000">
      <w:pPr>
        <w:spacing w:after="160" w:line="300" w:lineRule="auto"/>
      </w:pPr>
      <w:r>
        <w:rPr>
          <w:sz w:val="22"/>
          <w:szCs w:val="22"/>
        </w:rPr>
        <w:t xml:space="preserve">The analytical focus is equity market </w:t>
      </w:r>
      <w:proofErr w:type="spellStart"/>
      <w:r>
        <w:rPr>
          <w:sz w:val="22"/>
          <w:szCs w:val="22"/>
        </w:rPr>
        <w:t>behavior</w:t>
      </w:r>
      <w:proofErr w:type="spellEnd"/>
      <w:r>
        <w:rPr>
          <w:sz w:val="22"/>
          <w:szCs w:val="22"/>
        </w:rPr>
        <w:t xml:space="preserve"> — price trends, returns, and volatility — examined alongside macroeconomic context such as interest rates. This combination allows the analysis to move beyond simple price-watching and toward questions of risk and market regime that are common in real-world financial analytics work.</w:t>
      </w:r>
    </w:p>
    <w:p w14:paraId="361D0F49" w14:textId="77777777" w:rsidR="005C13F4" w:rsidRDefault="00000000">
      <w:pPr>
        <w:pStyle w:val="Heading1"/>
        <w:pBdr>
          <w:bottom w:val="single" w:sz="6" w:space="4" w:color="2E74B5"/>
        </w:pBdr>
        <w:spacing w:before="360" w:after="160"/>
      </w:pPr>
      <w:r>
        <w:rPr>
          <w:b/>
          <w:bCs/>
          <w:color w:val="1F3864"/>
          <w:sz w:val="30"/>
          <w:szCs w:val="30"/>
        </w:rPr>
        <w:t>2. Data Source Identification</w:t>
      </w:r>
    </w:p>
    <w:p w14:paraId="13E0418F" w14:textId="77777777" w:rsidR="005C13F4" w:rsidRDefault="00000000">
      <w:pPr>
        <w:spacing w:after="160" w:line="300" w:lineRule="auto"/>
      </w:pPr>
      <w:r>
        <w:rPr>
          <w:sz w:val="22"/>
          <w:szCs w:val="22"/>
        </w:rPr>
        <w:t>Two primary public data sources were selected, with a third identified as an optional extension. Each was chosen for being free, well-documented, and directly accessible from Python, which keeps the project reproducible without requiring paid data licenses.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1"/>
        <w:gridCol w:w="2474"/>
        <w:gridCol w:w="2366"/>
        <w:gridCol w:w="3189"/>
      </w:tblGrid>
      <w:tr w:rsidR="005C13F4" w14:paraId="57EAF5F0" w14:textId="77777777">
        <w:tblPrEx>
          <w:tblCellMar>
            <w:top w:w="0" w:type="dxa"/>
            <w:bottom w:w="0" w:type="dxa"/>
          </w:tblCellMar>
        </w:tblPrEx>
        <w:trPr>
          <w:tblHeader/>
        </w:trPr>
        <w:tc>
          <w:tcPr>
            <w:tcW w:w="1700" w:type="dxa"/>
            <w:shd w:val="clear" w:color="auto" w:fill="1F3864"/>
            <w:tcMar>
              <w:top w:w="80" w:type="dxa"/>
              <w:left w:w="100" w:type="dxa"/>
              <w:bottom w:w="80" w:type="dxa"/>
              <w:right w:w="100" w:type="dxa"/>
            </w:tcMar>
            <w:vAlign w:val="center"/>
          </w:tcPr>
          <w:p w14:paraId="1D3FBCDB" w14:textId="77777777" w:rsidR="005C13F4" w:rsidRDefault="00000000">
            <w:r>
              <w:rPr>
                <w:b/>
                <w:bCs/>
                <w:color w:val="FFFFFF"/>
              </w:rPr>
              <w:t>Source</w:t>
            </w:r>
          </w:p>
        </w:tc>
        <w:tc>
          <w:tcPr>
            <w:tcW w:w="2500" w:type="dxa"/>
            <w:shd w:val="clear" w:color="auto" w:fill="1F3864"/>
            <w:tcMar>
              <w:top w:w="80" w:type="dxa"/>
              <w:left w:w="100" w:type="dxa"/>
              <w:bottom w:w="80" w:type="dxa"/>
              <w:right w:w="100" w:type="dxa"/>
            </w:tcMar>
            <w:vAlign w:val="center"/>
          </w:tcPr>
          <w:p w14:paraId="313CCFFD" w14:textId="77777777" w:rsidR="005C13F4" w:rsidRDefault="00000000">
            <w:r>
              <w:rPr>
                <w:b/>
                <w:bCs/>
                <w:color w:val="FFFFFF"/>
              </w:rPr>
              <w:t>Data Provided</w:t>
            </w:r>
          </w:p>
        </w:tc>
        <w:tc>
          <w:tcPr>
            <w:tcW w:w="2400" w:type="dxa"/>
            <w:shd w:val="clear" w:color="auto" w:fill="1F3864"/>
            <w:tcMar>
              <w:top w:w="80" w:type="dxa"/>
              <w:left w:w="100" w:type="dxa"/>
              <w:bottom w:w="80" w:type="dxa"/>
              <w:right w:w="100" w:type="dxa"/>
            </w:tcMar>
            <w:vAlign w:val="center"/>
          </w:tcPr>
          <w:p w14:paraId="0503D9C1" w14:textId="77777777" w:rsidR="005C13F4" w:rsidRDefault="00000000">
            <w:r>
              <w:rPr>
                <w:b/>
                <w:bCs/>
                <w:color w:val="FFFFFF"/>
              </w:rPr>
              <w:t>Access Method</w:t>
            </w:r>
          </w:p>
        </w:tc>
        <w:tc>
          <w:tcPr>
            <w:tcW w:w="3240" w:type="dxa"/>
            <w:shd w:val="clear" w:color="auto" w:fill="1F3864"/>
            <w:tcMar>
              <w:top w:w="80" w:type="dxa"/>
              <w:left w:w="100" w:type="dxa"/>
              <w:bottom w:w="80" w:type="dxa"/>
              <w:right w:w="100" w:type="dxa"/>
            </w:tcMar>
            <w:vAlign w:val="center"/>
          </w:tcPr>
          <w:p w14:paraId="7FC58778" w14:textId="77777777" w:rsidR="005C13F4" w:rsidRDefault="00000000">
            <w:r>
              <w:rPr>
                <w:b/>
                <w:bCs/>
                <w:color w:val="FFFFFF"/>
              </w:rPr>
              <w:t>Relevance to This Project</w:t>
            </w:r>
          </w:p>
        </w:tc>
      </w:tr>
      <w:tr w:rsidR="005C13F4" w14:paraId="0D84C470" w14:textId="77777777">
        <w:tblPrEx>
          <w:tblCellMar>
            <w:top w:w="0" w:type="dxa"/>
            <w:bottom w:w="0" w:type="dxa"/>
          </w:tblCellMar>
        </w:tblPrEx>
        <w:tc>
          <w:tcPr>
            <w:tcW w:w="1700" w:type="dxa"/>
            <w:shd w:val="clear" w:color="auto" w:fill="FFFFFF"/>
            <w:tcMar>
              <w:top w:w="80" w:type="dxa"/>
              <w:left w:w="100" w:type="dxa"/>
              <w:bottom w:w="80" w:type="dxa"/>
              <w:right w:w="100" w:type="dxa"/>
            </w:tcMar>
            <w:vAlign w:val="center"/>
          </w:tcPr>
          <w:p w14:paraId="6BE9CF07" w14:textId="77777777" w:rsidR="005C13F4" w:rsidRDefault="00000000">
            <w:r>
              <w:rPr>
                <w:color w:val="000000"/>
              </w:rPr>
              <w:t>Yahoo Finance</w:t>
            </w:r>
          </w:p>
        </w:tc>
        <w:tc>
          <w:tcPr>
            <w:tcW w:w="2500" w:type="dxa"/>
            <w:shd w:val="clear" w:color="auto" w:fill="FFFFFF"/>
            <w:tcMar>
              <w:top w:w="80" w:type="dxa"/>
              <w:left w:w="100" w:type="dxa"/>
              <w:bottom w:w="80" w:type="dxa"/>
              <w:right w:w="100" w:type="dxa"/>
            </w:tcMar>
            <w:vAlign w:val="center"/>
          </w:tcPr>
          <w:p w14:paraId="03B82D64" w14:textId="77777777" w:rsidR="005C13F4" w:rsidRDefault="00000000">
            <w:r>
              <w:rPr>
                <w:color w:val="000000"/>
              </w:rPr>
              <w:t>Daily/intraday OHLCV prices, dividends, stock splits for equities, ETFs, and indices</w:t>
            </w:r>
          </w:p>
        </w:tc>
        <w:tc>
          <w:tcPr>
            <w:tcW w:w="2400" w:type="dxa"/>
            <w:shd w:val="clear" w:color="auto" w:fill="FFFFFF"/>
            <w:tcMar>
              <w:top w:w="80" w:type="dxa"/>
              <w:left w:w="100" w:type="dxa"/>
              <w:bottom w:w="80" w:type="dxa"/>
              <w:right w:w="100" w:type="dxa"/>
            </w:tcMar>
            <w:vAlign w:val="center"/>
          </w:tcPr>
          <w:p w14:paraId="4BB213E5" w14:textId="77777777" w:rsidR="005C13F4" w:rsidRDefault="00000000">
            <w:proofErr w:type="spellStart"/>
            <w:r>
              <w:rPr>
                <w:color w:val="000000"/>
              </w:rPr>
              <w:t>yfinance</w:t>
            </w:r>
            <w:proofErr w:type="spellEnd"/>
            <w:r>
              <w:rPr>
                <w:color w:val="000000"/>
              </w:rPr>
              <w:t xml:space="preserve"> Python library (unofficial wrapper), free, no key required</w:t>
            </w:r>
          </w:p>
        </w:tc>
        <w:tc>
          <w:tcPr>
            <w:tcW w:w="3240" w:type="dxa"/>
            <w:shd w:val="clear" w:color="auto" w:fill="FFFFFF"/>
            <w:tcMar>
              <w:top w:w="80" w:type="dxa"/>
              <w:left w:w="100" w:type="dxa"/>
              <w:bottom w:w="80" w:type="dxa"/>
              <w:right w:w="100" w:type="dxa"/>
            </w:tcMar>
            <w:vAlign w:val="center"/>
          </w:tcPr>
          <w:p w14:paraId="09B2055F" w14:textId="77777777" w:rsidR="005C13F4" w:rsidRDefault="00000000">
            <w:r>
              <w:rPr>
                <w:color w:val="000000"/>
              </w:rPr>
              <w:t>Primary source for equity price history to study trends, returns, and volatility across individual stocks and a market index</w:t>
            </w:r>
          </w:p>
        </w:tc>
      </w:tr>
      <w:tr w:rsidR="005C13F4" w14:paraId="4A5270EC" w14:textId="77777777">
        <w:tblPrEx>
          <w:tblCellMar>
            <w:top w:w="0" w:type="dxa"/>
            <w:bottom w:w="0" w:type="dxa"/>
          </w:tblCellMar>
        </w:tblPrEx>
        <w:tc>
          <w:tcPr>
            <w:tcW w:w="1700" w:type="dxa"/>
            <w:shd w:val="clear" w:color="auto" w:fill="DCE6F1"/>
            <w:tcMar>
              <w:top w:w="80" w:type="dxa"/>
              <w:left w:w="100" w:type="dxa"/>
              <w:bottom w:w="80" w:type="dxa"/>
              <w:right w:w="100" w:type="dxa"/>
            </w:tcMar>
            <w:vAlign w:val="center"/>
          </w:tcPr>
          <w:p w14:paraId="3970B5A2" w14:textId="77777777" w:rsidR="005C13F4" w:rsidRDefault="00000000">
            <w:r>
              <w:rPr>
                <w:color w:val="000000"/>
              </w:rPr>
              <w:t>FRED (Federal Reserve Economic Data)</w:t>
            </w:r>
          </w:p>
        </w:tc>
        <w:tc>
          <w:tcPr>
            <w:tcW w:w="2500" w:type="dxa"/>
            <w:shd w:val="clear" w:color="auto" w:fill="DCE6F1"/>
            <w:tcMar>
              <w:top w:w="80" w:type="dxa"/>
              <w:left w:w="100" w:type="dxa"/>
              <w:bottom w:w="80" w:type="dxa"/>
              <w:right w:w="100" w:type="dxa"/>
            </w:tcMar>
            <w:vAlign w:val="center"/>
          </w:tcPr>
          <w:p w14:paraId="33F4E37D" w14:textId="77777777" w:rsidR="005C13F4" w:rsidRDefault="00000000">
            <w:r>
              <w:rPr>
                <w:color w:val="000000"/>
              </w:rPr>
              <w:t>Macroeconomic series: interest rates, inflation (CPI), unemployment, GDP, yield curves</w:t>
            </w:r>
          </w:p>
        </w:tc>
        <w:tc>
          <w:tcPr>
            <w:tcW w:w="2400" w:type="dxa"/>
            <w:shd w:val="clear" w:color="auto" w:fill="DCE6F1"/>
            <w:tcMar>
              <w:top w:w="80" w:type="dxa"/>
              <w:left w:w="100" w:type="dxa"/>
              <w:bottom w:w="80" w:type="dxa"/>
              <w:right w:w="100" w:type="dxa"/>
            </w:tcMar>
            <w:vAlign w:val="center"/>
          </w:tcPr>
          <w:p w14:paraId="54C811DE" w14:textId="77777777" w:rsidR="005C13F4" w:rsidRDefault="00000000">
            <w:proofErr w:type="spellStart"/>
            <w:r>
              <w:rPr>
                <w:color w:val="000000"/>
              </w:rPr>
              <w:t>fredapi</w:t>
            </w:r>
            <w:proofErr w:type="spellEnd"/>
            <w:r>
              <w:rPr>
                <w:color w:val="000000"/>
              </w:rPr>
              <w:t xml:space="preserve"> or pandas-</w:t>
            </w:r>
            <w:proofErr w:type="spellStart"/>
            <w:r>
              <w:rPr>
                <w:color w:val="000000"/>
              </w:rPr>
              <w:t>datareader</w:t>
            </w:r>
            <w:proofErr w:type="spellEnd"/>
            <w:r>
              <w:rPr>
                <w:color w:val="000000"/>
              </w:rPr>
              <w:t>, free API key from the St. Louis Fed</w:t>
            </w:r>
          </w:p>
        </w:tc>
        <w:tc>
          <w:tcPr>
            <w:tcW w:w="3240" w:type="dxa"/>
            <w:shd w:val="clear" w:color="auto" w:fill="DCE6F1"/>
            <w:tcMar>
              <w:top w:w="80" w:type="dxa"/>
              <w:left w:w="100" w:type="dxa"/>
              <w:bottom w:w="80" w:type="dxa"/>
              <w:right w:w="100" w:type="dxa"/>
            </w:tcMar>
            <w:vAlign w:val="center"/>
          </w:tcPr>
          <w:p w14:paraId="1A625B3A" w14:textId="77777777" w:rsidR="005C13F4" w:rsidRDefault="00000000">
            <w:r>
              <w:rPr>
                <w:color w:val="000000"/>
              </w:rPr>
              <w:t>Provides the macro context (e.g., rate environment) needed to interpret market volatility and risk factors, not just price action alone</w:t>
            </w:r>
          </w:p>
        </w:tc>
      </w:tr>
      <w:tr w:rsidR="005C13F4" w14:paraId="67BB77C2" w14:textId="77777777">
        <w:tblPrEx>
          <w:tblCellMar>
            <w:top w:w="0" w:type="dxa"/>
            <w:bottom w:w="0" w:type="dxa"/>
          </w:tblCellMar>
        </w:tblPrEx>
        <w:tc>
          <w:tcPr>
            <w:tcW w:w="1700" w:type="dxa"/>
            <w:shd w:val="clear" w:color="auto" w:fill="FFFFFF"/>
            <w:tcMar>
              <w:top w:w="80" w:type="dxa"/>
              <w:left w:w="100" w:type="dxa"/>
              <w:bottom w:w="80" w:type="dxa"/>
              <w:right w:w="100" w:type="dxa"/>
            </w:tcMar>
            <w:vAlign w:val="center"/>
          </w:tcPr>
          <w:p w14:paraId="57C2F80E" w14:textId="77777777" w:rsidR="005C13F4" w:rsidRDefault="00000000">
            <w:r>
              <w:rPr>
                <w:color w:val="000000"/>
              </w:rPr>
              <w:t>SEC EDGAR (optional/extension)</w:t>
            </w:r>
          </w:p>
        </w:tc>
        <w:tc>
          <w:tcPr>
            <w:tcW w:w="2500" w:type="dxa"/>
            <w:shd w:val="clear" w:color="auto" w:fill="FFFFFF"/>
            <w:tcMar>
              <w:top w:w="80" w:type="dxa"/>
              <w:left w:w="100" w:type="dxa"/>
              <w:bottom w:w="80" w:type="dxa"/>
              <w:right w:w="100" w:type="dxa"/>
            </w:tcMar>
            <w:vAlign w:val="center"/>
          </w:tcPr>
          <w:p w14:paraId="6DB3279F" w14:textId="77777777" w:rsidR="005C13F4" w:rsidRDefault="00000000">
            <w:r>
              <w:rPr>
                <w:color w:val="000000"/>
              </w:rPr>
              <w:t>Company filings (10-K, 10-Q) and structured financial statement data via the XBRL frames API</w:t>
            </w:r>
          </w:p>
        </w:tc>
        <w:tc>
          <w:tcPr>
            <w:tcW w:w="2400" w:type="dxa"/>
            <w:shd w:val="clear" w:color="auto" w:fill="FFFFFF"/>
            <w:tcMar>
              <w:top w:w="80" w:type="dxa"/>
              <w:left w:w="100" w:type="dxa"/>
              <w:bottom w:w="80" w:type="dxa"/>
              <w:right w:w="100" w:type="dxa"/>
            </w:tcMar>
            <w:vAlign w:val="center"/>
          </w:tcPr>
          <w:p w14:paraId="0D03E63E" w14:textId="77777777" w:rsidR="005C13F4" w:rsidRDefault="00000000">
            <w:r>
              <w:rPr>
                <w:color w:val="000000"/>
              </w:rPr>
              <w:t>requests against the public EDGAR REST API, no key required</w:t>
            </w:r>
          </w:p>
        </w:tc>
        <w:tc>
          <w:tcPr>
            <w:tcW w:w="3240" w:type="dxa"/>
            <w:shd w:val="clear" w:color="auto" w:fill="FFFFFF"/>
            <w:tcMar>
              <w:top w:w="80" w:type="dxa"/>
              <w:left w:w="100" w:type="dxa"/>
              <w:bottom w:w="80" w:type="dxa"/>
              <w:right w:w="100" w:type="dxa"/>
            </w:tcMar>
            <w:vAlign w:val="center"/>
          </w:tcPr>
          <w:p w14:paraId="69A48627" w14:textId="77777777" w:rsidR="005C13F4" w:rsidRDefault="00000000">
            <w:r>
              <w:rPr>
                <w:color w:val="000000"/>
              </w:rPr>
              <w:t>Enables a fundamentals cross-check (e.g., revenue, EPS) if the analysis is extended beyond price-based technical exploration</w:t>
            </w:r>
          </w:p>
        </w:tc>
      </w:tr>
    </w:tbl>
    <w:p w14:paraId="1DEE3568" w14:textId="77777777" w:rsidR="005C13F4" w:rsidRDefault="005C13F4">
      <w:pPr>
        <w:spacing w:before="200"/>
      </w:pPr>
    </w:p>
    <w:p w14:paraId="50FAF1B4" w14:textId="77777777" w:rsidR="00256F9D" w:rsidRDefault="00256F9D">
      <w:pPr>
        <w:pStyle w:val="Heading2"/>
        <w:spacing w:before="260" w:after="120"/>
        <w:rPr>
          <w:b/>
          <w:bCs/>
          <w:sz w:val="24"/>
          <w:szCs w:val="24"/>
        </w:rPr>
      </w:pPr>
    </w:p>
    <w:p w14:paraId="568387C9" w14:textId="6246CB87" w:rsidR="005C13F4" w:rsidRDefault="00000000">
      <w:pPr>
        <w:pStyle w:val="Heading2"/>
        <w:spacing w:before="260" w:after="120"/>
      </w:pPr>
      <w:r>
        <w:rPr>
          <w:b/>
          <w:bCs/>
          <w:sz w:val="24"/>
          <w:szCs w:val="24"/>
        </w:rPr>
        <w:lastRenderedPageBreak/>
        <w:t>2.1 Why Yahoo Finance</w:t>
      </w:r>
    </w:p>
    <w:p w14:paraId="0EFCFBEB" w14:textId="77777777" w:rsidR="005C13F4" w:rsidRDefault="00000000">
      <w:pPr>
        <w:spacing w:after="160" w:line="300" w:lineRule="auto"/>
      </w:pPr>
      <w:r>
        <w:rPr>
          <w:sz w:val="22"/>
          <w:szCs w:val="22"/>
        </w:rPr>
        <w:t xml:space="preserve">Yahoo Finance is one of the most widely used free sources for historical equity data. Through the </w:t>
      </w:r>
      <w:proofErr w:type="spellStart"/>
      <w:r>
        <w:rPr>
          <w:sz w:val="22"/>
          <w:szCs w:val="22"/>
        </w:rPr>
        <w:t>yfinance</w:t>
      </w:r>
      <w:proofErr w:type="spellEnd"/>
      <w:r>
        <w:rPr>
          <w:sz w:val="22"/>
          <w:szCs w:val="22"/>
        </w:rPr>
        <w:t xml:space="preserve"> library, it provides clean, ready-to-use OHLCV (open, high, low, close, volume) time series for individual stocks, ETFs, and indices, along with dividend and split-adjusted pricing. This makes it well suited for return and volatility calculations without extensive manual correction.</w:t>
      </w:r>
    </w:p>
    <w:p w14:paraId="1A592E4E" w14:textId="77777777" w:rsidR="005C13F4" w:rsidRDefault="00000000">
      <w:pPr>
        <w:pStyle w:val="Heading2"/>
        <w:spacing w:before="260" w:after="120"/>
      </w:pPr>
      <w:r>
        <w:rPr>
          <w:b/>
          <w:bCs/>
          <w:sz w:val="24"/>
          <w:szCs w:val="24"/>
        </w:rPr>
        <w:t>2.2 Why FRED</w:t>
      </w:r>
    </w:p>
    <w:p w14:paraId="6A522832" w14:textId="77777777" w:rsidR="005C13F4" w:rsidRDefault="00000000">
      <w:pPr>
        <w:spacing w:after="160" w:line="300" w:lineRule="auto"/>
      </w:pPr>
      <w:r>
        <w:rPr>
          <w:sz w:val="22"/>
          <w:szCs w:val="22"/>
        </w:rPr>
        <w:t xml:space="preserve">FRED, maintained by the Federal Reserve Bank of St. Louis, is a canonical source for U.S. macroeconomic indicators such as the federal funds rate, Treasury yields, CPI, and unemployment. Pairing equity data with a macro series allows the analysis to ask not just “what happened to prices” but “what conditions surrounded that </w:t>
      </w:r>
      <w:proofErr w:type="spellStart"/>
      <w:r>
        <w:rPr>
          <w:sz w:val="22"/>
          <w:szCs w:val="22"/>
        </w:rPr>
        <w:t>behavior</w:t>
      </w:r>
      <w:proofErr w:type="spellEnd"/>
      <w:r>
        <w:rPr>
          <w:sz w:val="22"/>
          <w:szCs w:val="22"/>
        </w:rPr>
        <w:t>,” which is central to any credible discussion of market risk factors.</w:t>
      </w:r>
    </w:p>
    <w:p w14:paraId="6CDCF967" w14:textId="77777777" w:rsidR="005C13F4" w:rsidRDefault="00000000">
      <w:pPr>
        <w:pStyle w:val="Heading2"/>
        <w:spacing w:before="260" w:after="120"/>
      </w:pPr>
      <w:r>
        <w:rPr>
          <w:b/>
          <w:bCs/>
          <w:sz w:val="24"/>
          <w:szCs w:val="24"/>
        </w:rPr>
        <w:t>2.3 Why SEC EDGAR (optional extension)</w:t>
      </w:r>
    </w:p>
    <w:p w14:paraId="7458CC31" w14:textId="77777777" w:rsidR="005C13F4" w:rsidRDefault="00000000">
      <w:pPr>
        <w:spacing w:after="160" w:line="300" w:lineRule="auto"/>
      </w:pPr>
      <w:r>
        <w:rPr>
          <w:sz w:val="22"/>
          <w:szCs w:val="22"/>
        </w:rPr>
        <w:t>If time permits within the 30–</w:t>
      </w:r>
      <w:proofErr w:type="gramStart"/>
      <w:r>
        <w:rPr>
          <w:sz w:val="22"/>
          <w:szCs w:val="22"/>
        </w:rPr>
        <w:t>35 hour</w:t>
      </w:r>
      <w:proofErr w:type="gramEnd"/>
      <w:r>
        <w:rPr>
          <w:sz w:val="22"/>
          <w:szCs w:val="22"/>
        </w:rPr>
        <w:t xml:space="preserve"> budget, SEC EDGAR's public XBRL API can supply company fundamentals (revenue, earnings) to cross-check whether price movements align with underlying financial performance. This is treated as a stretch goal rather than a core deliverable.</w:t>
      </w:r>
    </w:p>
    <w:p w14:paraId="0D9E63AC" w14:textId="77777777" w:rsidR="005C13F4" w:rsidRDefault="00000000">
      <w:pPr>
        <w:pStyle w:val="Heading1"/>
        <w:pBdr>
          <w:bottom w:val="single" w:sz="6" w:space="4" w:color="2E74B5"/>
        </w:pBdr>
        <w:spacing w:before="360" w:after="160"/>
      </w:pPr>
      <w:r>
        <w:rPr>
          <w:b/>
          <w:bCs/>
          <w:color w:val="1F3864"/>
          <w:sz w:val="30"/>
          <w:szCs w:val="30"/>
        </w:rPr>
        <w:t>3. Objective Definition</w:t>
      </w:r>
    </w:p>
    <w:p w14:paraId="1062784E" w14:textId="77777777" w:rsidR="005C13F4" w:rsidRDefault="00000000">
      <w:pPr>
        <w:spacing w:after="160" w:line="300" w:lineRule="auto"/>
      </w:pPr>
      <w:r>
        <w:rPr>
          <w:sz w:val="22"/>
          <w:szCs w:val="22"/>
        </w:rPr>
        <w:t>The analysis is organized around the following key questions:</w:t>
      </w:r>
    </w:p>
    <w:p w14:paraId="2CAE125E" w14:textId="77777777" w:rsidR="005C13F4" w:rsidRDefault="00000000">
      <w:pPr>
        <w:pStyle w:val="ListParagraph"/>
        <w:numPr>
          <w:ilvl w:val="0"/>
          <w:numId w:val="2"/>
        </w:numPr>
        <w:spacing w:after="90" w:line="280" w:lineRule="auto"/>
      </w:pPr>
      <w:r>
        <w:rPr>
          <w:sz w:val="22"/>
          <w:szCs w:val="22"/>
        </w:rPr>
        <w:t>Market trend: How have prices for the selected equities and a benchmark index moved over the study period, and are there identifiable trend regimes (e.g., using moving averages)?</w:t>
      </w:r>
    </w:p>
    <w:p w14:paraId="2D03654F" w14:textId="77777777" w:rsidR="005C13F4" w:rsidRDefault="00000000">
      <w:pPr>
        <w:pStyle w:val="ListParagraph"/>
        <w:numPr>
          <w:ilvl w:val="0"/>
          <w:numId w:val="2"/>
        </w:numPr>
        <w:spacing w:after="90" w:line="280" w:lineRule="auto"/>
      </w:pPr>
      <w:r>
        <w:rPr>
          <w:sz w:val="22"/>
          <w:szCs w:val="22"/>
        </w:rPr>
        <w:t>Return characteristics: What are the daily and annualized returns for each asset, and how are those returns distributed (skew, fat tails)?</w:t>
      </w:r>
    </w:p>
    <w:p w14:paraId="76525446" w14:textId="77777777" w:rsidR="005C13F4" w:rsidRDefault="00000000">
      <w:pPr>
        <w:pStyle w:val="ListParagraph"/>
        <w:numPr>
          <w:ilvl w:val="0"/>
          <w:numId w:val="2"/>
        </w:numPr>
        <w:spacing w:after="90" w:line="280" w:lineRule="auto"/>
      </w:pPr>
      <w:r>
        <w:rPr>
          <w:sz w:val="22"/>
          <w:szCs w:val="22"/>
        </w:rPr>
        <w:t>Volatility: How has rolling volatility changed over time, and does it cluster around known macroeconomic events or rate changes?</w:t>
      </w:r>
    </w:p>
    <w:p w14:paraId="4F77F3B2" w14:textId="77777777" w:rsidR="005C13F4" w:rsidRDefault="00000000">
      <w:pPr>
        <w:pStyle w:val="ListParagraph"/>
        <w:numPr>
          <w:ilvl w:val="0"/>
          <w:numId w:val="2"/>
        </w:numPr>
        <w:spacing w:after="90" w:line="280" w:lineRule="auto"/>
      </w:pPr>
      <w:r>
        <w:rPr>
          <w:sz w:val="22"/>
          <w:szCs w:val="22"/>
        </w:rPr>
        <w:t>Risk factors: What is each asset's relationship to the broader market (beta) and to interest-rate movements, and what does drawdown history reveal about downside risk?</w:t>
      </w:r>
    </w:p>
    <w:p w14:paraId="47CCCDA7" w14:textId="77777777" w:rsidR="005C13F4" w:rsidRDefault="00000000">
      <w:pPr>
        <w:pStyle w:val="ListParagraph"/>
        <w:numPr>
          <w:ilvl w:val="0"/>
          <w:numId w:val="2"/>
        </w:numPr>
        <w:spacing w:after="90" w:line="280" w:lineRule="auto"/>
      </w:pPr>
      <w:r>
        <w:rPr>
          <w:sz w:val="22"/>
          <w:szCs w:val="22"/>
        </w:rPr>
        <w:t>Cross-asset relationships: How correlated are the selected assets with each other, and does that correlation shift during periods of market stress?</w:t>
      </w:r>
    </w:p>
    <w:p w14:paraId="16FA5F48" w14:textId="77777777" w:rsidR="005C13F4" w:rsidRDefault="00000000">
      <w:pPr>
        <w:spacing w:after="160" w:line="300" w:lineRule="auto"/>
      </w:pPr>
      <w:r>
        <w:rPr>
          <w:sz w:val="22"/>
          <w:szCs w:val="22"/>
        </w:rPr>
        <w:t>These questions were chosen because they map directly onto standard building blocks of financial analysis — trend, return, volatility, and risk — while remaining answerable from freely available price and macro data within the project's time budget.</w:t>
      </w:r>
    </w:p>
    <w:p w14:paraId="1E25F7F1" w14:textId="77777777" w:rsidR="005C13F4" w:rsidRDefault="00000000">
      <w:pPr>
        <w:pStyle w:val="Heading1"/>
        <w:pBdr>
          <w:bottom w:val="single" w:sz="6" w:space="4" w:color="2E74B5"/>
        </w:pBdr>
        <w:spacing w:before="360" w:after="160"/>
      </w:pPr>
      <w:r>
        <w:rPr>
          <w:b/>
          <w:bCs/>
          <w:color w:val="1F3864"/>
          <w:sz w:val="30"/>
          <w:szCs w:val="30"/>
        </w:rPr>
        <w:t>4. Plan Outline: Timeline &amp; Milestones</w:t>
      </w:r>
    </w:p>
    <w:p w14:paraId="31A5A787" w14:textId="77777777" w:rsidR="005C13F4" w:rsidRDefault="00000000">
      <w:pPr>
        <w:spacing w:after="160" w:line="300" w:lineRule="auto"/>
      </w:pPr>
      <w:r>
        <w:rPr>
          <w:sz w:val="22"/>
          <w:szCs w:val="22"/>
        </w:rPr>
        <w:t xml:space="preserve">The work is broken into seven phases </w:t>
      </w:r>
      <w:proofErr w:type="spellStart"/>
      <w:r>
        <w:rPr>
          <w:sz w:val="22"/>
          <w:szCs w:val="22"/>
        </w:rPr>
        <w:t>totaling</w:t>
      </w:r>
      <w:proofErr w:type="spellEnd"/>
      <w:r>
        <w:rPr>
          <w:sz w:val="22"/>
          <w:szCs w:val="22"/>
        </w:rPr>
        <w:t xml:space="preserve"> approximately 30–35 hours. Each phase has a defined milestone so progress can be checked incrementally rather than at the end only.</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500"/>
        <w:gridCol w:w="3800"/>
        <w:gridCol w:w="1140"/>
      </w:tblGrid>
      <w:tr w:rsidR="005C13F4" w14:paraId="24CFA627"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3B18AAC1" w14:textId="77777777" w:rsidR="005C13F4" w:rsidRDefault="00000000">
            <w:r>
              <w:rPr>
                <w:b/>
                <w:bCs/>
                <w:color w:val="FFFFFF"/>
              </w:rPr>
              <w:lastRenderedPageBreak/>
              <w:t>Phase</w:t>
            </w:r>
          </w:p>
        </w:tc>
        <w:tc>
          <w:tcPr>
            <w:tcW w:w="2500" w:type="dxa"/>
            <w:shd w:val="clear" w:color="auto" w:fill="1F3864"/>
            <w:tcMar>
              <w:top w:w="80" w:type="dxa"/>
              <w:left w:w="100" w:type="dxa"/>
              <w:bottom w:w="80" w:type="dxa"/>
              <w:right w:w="100" w:type="dxa"/>
            </w:tcMar>
            <w:vAlign w:val="center"/>
          </w:tcPr>
          <w:p w14:paraId="3C5B773E" w14:textId="77777777" w:rsidR="005C13F4" w:rsidRDefault="00000000">
            <w:r>
              <w:rPr>
                <w:b/>
                <w:bCs/>
                <w:color w:val="FFFFFF"/>
              </w:rPr>
              <w:t>Milestone / Deliverable</w:t>
            </w:r>
          </w:p>
        </w:tc>
        <w:tc>
          <w:tcPr>
            <w:tcW w:w="3800" w:type="dxa"/>
            <w:shd w:val="clear" w:color="auto" w:fill="1F3864"/>
            <w:tcMar>
              <w:top w:w="80" w:type="dxa"/>
              <w:left w:w="100" w:type="dxa"/>
              <w:bottom w:w="80" w:type="dxa"/>
              <w:right w:w="100" w:type="dxa"/>
            </w:tcMar>
            <w:vAlign w:val="center"/>
          </w:tcPr>
          <w:p w14:paraId="1BFA6A28" w14:textId="77777777" w:rsidR="005C13F4" w:rsidRDefault="00000000">
            <w:r>
              <w:rPr>
                <w:b/>
                <w:bCs/>
                <w:color w:val="FFFFFF"/>
              </w:rPr>
              <w:t>Key Activities</w:t>
            </w:r>
          </w:p>
        </w:tc>
        <w:tc>
          <w:tcPr>
            <w:tcW w:w="1140" w:type="dxa"/>
            <w:shd w:val="clear" w:color="auto" w:fill="1F3864"/>
            <w:tcMar>
              <w:top w:w="80" w:type="dxa"/>
              <w:left w:w="100" w:type="dxa"/>
              <w:bottom w:w="80" w:type="dxa"/>
              <w:right w:w="100" w:type="dxa"/>
            </w:tcMar>
            <w:vAlign w:val="center"/>
          </w:tcPr>
          <w:p w14:paraId="70C731D5" w14:textId="77777777" w:rsidR="005C13F4" w:rsidRDefault="00000000">
            <w:pPr>
              <w:jc w:val="center"/>
            </w:pPr>
            <w:r>
              <w:rPr>
                <w:b/>
                <w:bCs/>
                <w:color w:val="FFFFFF"/>
              </w:rPr>
              <w:t>Hours</w:t>
            </w:r>
          </w:p>
        </w:tc>
      </w:tr>
      <w:tr w:rsidR="005C13F4" w14:paraId="3BD9CF55"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4D25DDB0" w14:textId="77777777" w:rsidR="005C13F4" w:rsidRDefault="00000000">
            <w:r>
              <w:rPr>
                <w:color w:val="000000"/>
              </w:rPr>
              <w:t>1. Planning &amp; Setup</w:t>
            </w:r>
          </w:p>
        </w:tc>
        <w:tc>
          <w:tcPr>
            <w:tcW w:w="2500" w:type="dxa"/>
            <w:shd w:val="clear" w:color="auto" w:fill="FFFFFF"/>
            <w:tcMar>
              <w:top w:w="80" w:type="dxa"/>
              <w:left w:w="100" w:type="dxa"/>
              <w:bottom w:w="80" w:type="dxa"/>
              <w:right w:w="100" w:type="dxa"/>
            </w:tcMar>
            <w:vAlign w:val="center"/>
          </w:tcPr>
          <w:p w14:paraId="40B699A1" w14:textId="77777777" w:rsidR="005C13F4" w:rsidRDefault="00000000">
            <w:r>
              <w:rPr>
                <w:color w:val="000000"/>
              </w:rPr>
              <w:t>Approved project plan (this document)</w:t>
            </w:r>
          </w:p>
        </w:tc>
        <w:tc>
          <w:tcPr>
            <w:tcW w:w="3800" w:type="dxa"/>
            <w:shd w:val="clear" w:color="auto" w:fill="FFFFFF"/>
            <w:tcMar>
              <w:top w:w="80" w:type="dxa"/>
              <w:left w:w="100" w:type="dxa"/>
              <w:bottom w:w="80" w:type="dxa"/>
              <w:right w:w="100" w:type="dxa"/>
            </w:tcMar>
            <w:vAlign w:val="center"/>
          </w:tcPr>
          <w:p w14:paraId="38309685" w14:textId="77777777" w:rsidR="005C13F4" w:rsidRDefault="00000000">
            <w:r>
              <w:rPr>
                <w:color w:val="000000"/>
              </w:rPr>
              <w:t>Define objectives; select data sources; set up Python environment (</w:t>
            </w:r>
            <w:proofErr w:type="spellStart"/>
            <w:r>
              <w:rPr>
                <w:color w:val="000000"/>
              </w:rPr>
              <w:t>venv</w:t>
            </w:r>
            <w:proofErr w:type="spellEnd"/>
            <w:r>
              <w:rPr>
                <w:color w:val="000000"/>
              </w:rPr>
              <w:t xml:space="preserve">, </w:t>
            </w:r>
            <w:proofErr w:type="spellStart"/>
            <w:r>
              <w:rPr>
                <w:color w:val="000000"/>
              </w:rPr>
              <w:t>Jupyter</w:t>
            </w:r>
            <w:proofErr w:type="spellEnd"/>
            <w:r>
              <w:rPr>
                <w:color w:val="000000"/>
              </w:rPr>
              <w:t xml:space="preserve">); install pandas, NumPy, matplotlib, </w:t>
            </w:r>
            <w:proofErr w:type="spellStart"/>
            <w:r>
              <w:rPr>
                <w:color w:val="000000"/>
              </w:rPr>
              <w:t>yfinance</w:t>
            </w:r>
            <w:proofErr w:type="spellEnd"/>
            <w:r>
              <w:rPr>
                <w:color w:val="000000"/>
              </w:rPr>
              <w:t>, requests</w:t>
            </w:r>
          </w:p>
        </w:tc>
        <w:tc>
          <w:tcPr>
            <w:tcW w:w="1140" w:type="dxa"/>
            <w:shd w:val="clear" w:color="auto" w:fill="FFFFFF"/>
            <w:tcMar>
              <w:top w:w="80" w:type="dxa"/>
              <w:left w:w="100" w:type="dxa"/>
              <w:bottom w:w="80" w:type="dxa"/>
              <w:right w:w="100" w:type="dxa"/>
            </w:tcMar>
            <w:vAlign w:val="center"/>
          </w:tcPr>
          <w:p w14:paraId="3B0B4EC6" w14:textId="77777777" w:rsidR="005C13F4" w:rsidRDefault="00000000">
            <w:pPr>
              <w:jc w:val="center"/>
            </w:pPr>
            <w:r>
              <w:rPr>
                <w:color w:val="000000"/>
              </w:rPr>
              <w:t>4</w:t>
            </w:r>
          </w:p>
        </w:tc>
      </w:tr>
      <w:tr w:rsidR="005C13F4" w14:paraId="360D73B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DF3BBB5" w14:textId="77777777" w:rsidR="005C13F4" w:rsidRDefault="00000000">
            <w:r>
              <w:rPr>
                <w:color w:val="000000"/>
              </w:rPr>
              <w:t>2. Data Acquisition</w:t>
            </w:r>
          </w:p>
        </w:tc>
        <w:tc>
          <w:tcPr>
            <w:tcW w:w="2500" w:type="dxa"/>
            <w:shd w:val="clear" w:color="auto" w:fill="DCE6F1"/>
            <w:tcMar>
              <w:top w:w="80" w:type="dxa"/>
              <w:left w:w="100" w:type="dxa"/>
              <w:bottom w:w="80" w:type="dxa"/>
              <w:right w:w="100" w:type="dxa"/>
            </w:tcMar>
            <w:vAlign w:val="center"/>
          </w:tcPr>
          <w:p w14:paraId="7A74E1B2" w14:textId="77777777" w:rsidR="005C13F4" w:rsidRDefault="00000000">
            <w:r>
              <w:rPr>
                <w:color w:val="000000"/>
              </w:rPr>
              <w:t>Raw datasets pulled and saved locally</w:t>
            </w:r>
          </w:p>
        </w:tc>
        <w:tc>
          <w:tcPr>
            <w:tcW w:w="3800" w:type="dxa"/>
            <w:shd w:val="clear" w:color="auto" w:fill="DCE6F1"/>
            <w:tcMar>
              <w:top w:w="80" w:type="dxa"/>
              <w:left w:w="100" w:type="dxa"/>
              <w:bottom w:w="80" w:type="dxa"/>
              <w:right w:w="100" w:type="dxa"/>
            </w:tcMar>
            <w:vAlign w:val="center"/>
          </w:tcPr>
          <w:p w14:paraId="71036CC9" w14:textId="77777777" w:rsidR="005C13F4" w:rsidRDefault="00000000">
            <w:r>
              <w:rPr>
                <w:color w:val="000000"/>
              </w:rPr>
              <w:t>Connect to Yahoo Finance (</w:t>
            </w:r>
            <w:proofErr w:type="spellStart"/>
            <w:r>
              <w:rPr>
                <w:color w:val="000000"/>
              </w:rPr>
              <w:t>yfinance</w:t>
            </w:r>
            <w:proofErr w:type="spellEnd"/>
            <w:r>
              <w:rPr>
                <w:color w:val="000000"/>
              </w:rPr>
              <w:t>) and FRED (</w:t>
            </w:r>
            <w:proofErr w:type="spellStart"/>
            <w:r>
              <w:rPr>
                <w:color w:val="000000"/>
              </w:rPr>
              <w:t>fredapi</w:t>
            </w:r>
            <w:proofErr w:type="spellEnd"/>
            <w:r>
              <w:rPr>
                <w:color w:val="000000"/>
              </w:rPr>
              <w:t>) APIs; pull historical prices for a chosen equity basket and macro series; store raw CSV/JSON snapshots</w:t>
            </w:r>
          </w:p>
        </w:tc>
        <w:tc>
          <w:tcPr>
            <w:tcW w:w="1140" w:type="dxa"/>
            <w:shd w:val="clear" w:color="auto" w:fill="DCE6F1"/>
            <w:tcMar>
              <w:top w:w="80" w:type="dxa"/>
              <w:left w:w="100" w:type="dxa"/>
              <w:bottom w:w="80" w:type="dxa"/>
              <w:right w:w="100" w:type="dxa"/>
            </w:tcMar>
            <w:vAlign w:val="center"/>
          </w:tcPr>
          <w:p w14:paraId="2B71566E" w14:textId="77777777" w:rsidR="005C13F4" w:rsidRDefault="00000000">
            <w:pPr>
              <w:jc w:val="center"/>
            </w:pPr>
            <w:r>
              <w:rPr>
                <w:color w:val="000000"/>
              </w:rPr>
              <w:t>6</w:t>
            </w:r>
          </w:p>
        </w:tc>
      </w:tr>
      <w:tr w:rsidR="005C13F4" w14:paraId="57D679D5"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3D1DA87F" w14:textId="77777777" w:rsidR="005C13F4" w:rsidRDefault="00000000">
            <w:r>
              <w:rPr>
                <w:color w:val="000000"/>
              </w:rPr>
              <w:t>3. Data Cleaning</w:t>
            </w:r>
          </w:p>
        </w:tc>
        <w:tc>
          <w:tcPr>
            <w:tcW w:w="2500" w:type="dxa"/>
            <w:shd w:val="clear" w:color="auto" w:fill="FFFFFF"/>
            <w:tcMar>
              <w:top w:w="80" w:type="dxa"/>
              <w:left w:w="100" w:type="dxa"/>
              <w:bottom w:w="80" w:type="dxa"/>
              <w:right w:w="100" w:type="dxa"/>
            </w:tcMar>
            <w:vAlign w:val="center"/>
          </w:tcPr>
          <w:p w14:paraId="35D5E8A1" w14:textId="77777777" w:rsidR="005C13F4" w:rsidRDefault="00000000">
            <w:r>
              <w:rPr>
                <w:color w:val="000000"/>
              </w:rPr>
              <w:t>Clean, analysis-ready dataset</w:t>
            </w:r>
          </w:p>
        </w:tc>
        <w:tc>
          <w:tcPr>
            <w:tcW w:w="3800" w:type="dxa"/>
            <w:shd w:val="clear" w:color="auto" w:fill="FFFFFF"/>
            <w:tcMar>
              <w:top w:w="80" w:type="dxa"/>
              <w:left w:w="100" w:type="dxa"/>
              <w:bottom w:w="80" w:type="dxa"/>
              <w:right w:w="100" w:type="dxa"/>
            </w:tcMar>
            <w:vAlign w:val="center"/>
          </w:tcPr>
          <w:p w14:paraId="6A4A2FD1" w14:textId="77777777" w:rsidR="005C13F4" w:rsidRDefault="00000000">
            <w:r>
              <w:rPr>
                <w:color w:val="000000"/>
              </w:rPr>
              <w:t>Handle missing values and non-trading-day gaps; align date indices across sources; adjust for splits/dividends; standardize column names and types; log transformation decisions</w:t>
            </w:r>
          </w:p>
        </w:tc>
        <w:tc>
          <w:tcPr>
            <w:tcW w:w="1140" w:type="dxa"/>
            <w:shd w:val="clear" w:color="auto" w:fill="FFFFFF"/>
            <w:tcMar>
              <w:top w:w="80" w:type="dxa"/>
              <w:left w:w="100" w:type="dxa"/>
              <w:bottom w:w="80" w:type="dxa"/>
              <w:right w:w="100" w:type="dxa"/>
            </w:tcMar>
            <w:vAlign w:val="center"/>
          </w:tcPr>
          <w:p w14:paraId="3B196222" w14:textId="77777777" w:rsidR="005C13F4" w:rsidRDefault="00000000">
            <w:pPr>
              <w:jc w:val="center"/>
            </w:pPr>
            <w:r>
              <w:rPr>
                <w:color w:val="000000"/>
              </w:rPr>
              <w:t>6</w:t>
            </w:r>
          </w:p>
        </w:tc>
      </w:tr>
      <w:tr w:rsidR="005C13F4" w14:paraId="2E5FB24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A0CC528" w14:textId="77777777" w:rsidR="005C13F4" w:rsidRDefault="00000000">
            <w:r>
              <w:rPr>
                <w:color w:val="000000"/>
              </w:rPr>
              <w:t>4. Preliminary Exploration</w:t>
            </w:r>
          </w:p>
        </w:tc>
        <w:tc>
          <w:tcPr>
            <w:tcW w:w="2500" w:type="dxa"/>
            <w:shd w:val="clear" w:color="auto" w:fill="DCE6F1"/>
            <w:tcMar>
              <w:top w:w="80" w:type="dxa"/>
              <w:left w:w="100" w:type="dxa"/>
              <w:bottom w:w="80" w:type="dxa"/>
              <w:right w:w="100" w:type="dxa"/>
            </w:tcMar>
            <w:vAlign w:val="center"/>
          </w:tcPr>
          <w:p w14:paraId="36F47523" w14:textId="77777777" w:rsidR="005C13F4" w:rsidRDefault="00000000">
            <w:r>
              <w:rPr>
                <w:color w:val="000000"/>
              </w:rPr>
              <w:t>Exploratory Data Analysis (EDA) notebook</w:t>
            </w:r>
          </w:p>
        </w:tc>
        <w:tc>
          <w:tcPr>
            <w:tcW w:w="3800" w:type="dxa"/>
            <w:shd w:val="clear" w:color="auto" w:fill="DCE6F1"/>
            <w:tcMar>
              <w:top w:w="80" w:type="dxa"/>
              <w:left w:w="100" w:type="dxa"/>
              <w:bottom w:w="80" w:type="dxa"/>
              <w:right w:w="100" w:type="dxa"/>
            </w:tcMar>
            <w:vAlign w:val="center"/>
          </w:tcPr>
          <w:p w14:paraId="5B3E7EE1" w14:textId="77777777" w:rsidR="005C13F4" w:rsidRDefault="00000000">
            <w:r>
              <w:rPr>
                <w:color w:val="000000"/>
              </w:rPr>
              <w:t>Summary statistics; daily/annualized returns; rolling volatility; correlation matrix across assets; visualize price trends and distributions</w:t>
            </w:r>
          </w:p>
        </w:tc>
        <w:tc>
          <w:tcPr>
            <w:tcW w:w="1140" w:type="dxa"/>
            <w:shd w:val="clear" w:color="auto" w:fill="DCE6F1"/>
            <w:tcMar>
              <w:top w:w="80" w:type="dxa"/>
              <w:left w:w="100" w:type="dxa"/>
              <w:bottom w:w="80" w:type="dxa"/>
              <w:right w:w="100" w:type="dxa"/>
            </w:tcMar>
            <w:vAlign w:val="center"/>
          </w:tcPr>
          <w:p w14:paraId="07965C4D" w14:textId="77777777" w:rsidR="005C13F4" w:rsidRDefault="00000000">
            <w:pPr>
              <w:jc w:val="center"/>
            </w:pPr>
            <w:r>
              <w:rPr>
                <w:color w:val="000000"/>
              </w:rPr>
              <w:t>8</w:t>
            </w:r>
          </w:p>
        </w:tc>
      </w:tr>
      <w:tr w:rsidR="005C13F4" w14:paraId="4AA91F6E"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2847A331" w14:textId="77777777" w:rsidR="005C13F4" w:rsidRDefault="00000000">
            <w:r>
              <w:rPr>
                <w:color w:val="000000"/>
              </w:rPr>
              <w:t>5. Deeper Analysis &amp; Risk Metrics</w:t>
            </w:r>
          </w:p>
        </w:tc>
        <w:tc>
          <w:tcPr>
            <w:tcW w:w="2500" w:type="dxa"/>
            <w:shd w:val="clear" w:color="auto" w:fill="FFFFFF"/>
            <w:tcMar>
              <w:top w:w="80" w:type="dxa"/>
              <w:left w:w="100" w:type="dxa"/>
              <w:bottom w:w="80" w:type="dxa"/>
              <w:right w:w="100" w:type="dxa"/>
            </w:tcMar>
            <w:vAlign w:val="center"/>
          </w:tcPr>
          <w:p w14:paraId="5F4C4E43" w14:textId="77777777" w:rsidR="005C13F4" w:rsidRDefault="00000000">
            <w:r>
              <w:rPr>
                <w:color w:val="000000"/>
              </w:rPr>
              <w:t>Analysis notebook with risk/trend findings</w:t>
            </w:r>
          </w:p>
        </w:tc>
        <w:tc>
          <w:tcPr>
            <w:tcW w:w="3800" w:type="dxa"/>
            <w:shd w:val="clear" w:color="auto" w:fill="FFFFFF"/>
            <w:tcMar>
              <w:top w:w="80" w:type="dxa"/>
              <w:left w:w="100" w:type="dxa"/>
              <w:bottom w:w="80" w:type="dxa"/>
              <w:right w:w="100" w:type="dxa"/>
            </w:tcMar>
            <w:vAlign w:val="center"/>
          </w:tcPr>
          <w:p w14:paraId="0D635AC7" w14:textId="77777777" w:rsidR="005C13F4" w:rsidRDefault="00000000">
            <w:r>
              <w:rPr>
                <w:color w:val="000000"/>
              </w:rPr>
              <w:t>Compute drawdowns, Sharpe ratio, beta vs. benchmark; test simple moving-average trend signals; compare sectors/macro regimes</w:t>
            </w:r>
          </w:p>
        </w:tc>
        <w:tc>
          <w:tcPr>
            <w:tcW w:w="1140" w:type="dxa"/>
            <w:shd w:val="clear" w:color="auto" w:fill="FFFFFF"/>
            <w:tcMar>
              <w:top w:w="80" w:type="dxa"/>
              <w:left w:w="100" w:type="dxa"/>
              <w:bottom w:w="80" w:type="dxa"/>
              <w:right w:w="100" w:type="dxa"/>
            </w:tcMar>
            <w:vAlign w:val="center"/>
          </w:tcPr>
          <w:p w14:paraId="379E3020" w14:textId="77777777" w:rsidR="005C13F4" w:rsidRDefault="00000000">
            <w:pPr>
              <w:jc w:val="center"/>
            </w:pPr>
            <w:r>
              <w:rPr>
                <w:color w:val="000000"/>
              </w:rPr>
              <w:t>6</w:t>
            </w:r>
          </w:p>
        </w:tc>
      </w:tr>
      <w:tr w:rsidR="005C13F4" w14:paraId="12ADDA9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52796B3" w14:textId="77777777" w:rsidR="005C13F4" w:rsidRDefault="00000000">
            <w:r>
              <w:rPr>
                <w:color w:val="000000"/>
              </w:rPr>
              <w:t>6. Documentation &amp; Reporting</w:t>
            </w:r>
          </w:p>
        </w:tc>
        <w:tc>
          <w:tcPr>
            <w:tcW w:w="2500" w:type="dxa"/>
            <w:shd w:val="clear" w:color="auto" w:fill="DCE6F1"/>
            <w:tcMar>
              <w:top w:w="80" w:type="dxa"/>
              <w:left w:w="100" w:type="dxa"/>
              <w:bottom w:w="80" w:type="dxa"/>
              <w:right w:w="100" w:type="dxa"/>
            </w:tcMar>
            <w:vAlign w:val="center"/>
          </w:tcPr>
          <w:p w14:paraId="6ACD45C3" w14:textId="77777777" w:rsidR="005C13F4" w:rsidRDefault="00000000">
            <w:r>
              <w:rPr>
                <w:color w:val="000000"/>
              </w:rPr>
              <w:t>Final report, charts, and code repository</w:t>
            </w:r>
          </w:p>
        </w:tc>
        <w:tc>
          <w:tcPr>
            <w:tcW w:w="3800" w:type="dxa"/>
            <w:shd w:val="clear" w:color="auto" w:fill="DCE6F1"/>
            <w:tcMar>
              <w:top w:w="80" w:type="dxa"/>
              <w:left w:w="100" w:type="dxa"/>
              <w:bottom w:w="80" w:type="dxa"/>
              <w:right w:w="100" w:type="dxa"/>
            </w:tcMar>
            <w:vAlign w:val="center"/>
          </w:tcPr>
          <w:p w14:paraId="5FFA49E4" w14:textId="77777777" w:rsidR="005C13F4" w:rsidRDefault="00000000">
            <w:r>
              <w:rPr>
                <w:color w:val="000000"/>
              </w:rPr>
              <w:t>Consolidate findings into charts and narrative; clean and comment code; write summary of insights and limitations; package deliverables</w:t>
            </w:r>
          </w:p>
        </w:tc>
        <w:tc>
          <w:tcPr>
            <w:tcW w:w="1140" w:type="dxa"/>
            <w:shd w:val="clear" w:color="auto" w:fill="DCE6F1"/>
            <w:tcMar>
              <w:top w:w="80" w:type="dxa"/>
              <w:left w:w="100" w:type="dxa"/>
              <w:bottom w:w="80" w:type="dxa"/>
              <w:right w:w="100" w:type="dxa"/>
            </w:tcMar>
            <w:vAlign w:val="center"/>
          </w:tcPr>
          <w:p w14:paraId="1FF19A01" w14:textId="77777777" w:rsidR="005C13F4" w:rsidRDefault="00000000">
            <w:pPr>
              <w:jc w:val="center"/>
            </w:pPr>
            <w:r>
              <w:rPr>
                <w:color w:val="000000"/>
              </w:rPr>
              <w:t>4</w:t>
            </w:r>
          </w:p>
        </w:tc>
      </w:tr>
      <w:tr w:rsidR="005C13F4" w14:paraId="23C9EB7D"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32A80F4D" w14:textId="77777777" w:rsidR="005C13F4" w:rsidRDefault="00000000">
            <w:r>
              <w:rPr>
                <w:color w:val="000000"/>
              </w:rPr>
              <w:t>7. Review &amp; Contingency</w:t>
            </w:r>
          </w:p>
        </w:tc>
        <w:tc>
          <w:tcPr>
            <w:tcW w:w="2500" w:type="dxa"/>
            <w:shd w:val="clear" w:color="auto" w:fill="FFFFFF"/>
            <w:tcMar>
              <w:top w:w="80" w:type="dxa"/>
              <w:left w:w="100" w:type="dxa"/>
              <w:bottom w:w="80" w:type="dxa"/>
              <w:right w:w="100" w:type="dxa"/>
            </w:tcMar>
            <w:vAlign w:val="center"/>
          </w:tcPr>
          <w:p w14:paraId="745FD024" w14:textId="77777777" w:rsidR="005C13F4" w:rsidRDefault="00000000">
            <w:r>
              <w:rPr>
                <w:color w:val="000000"/>
              </w:rPr>
              <w:t>Buffer for revisions</w:t>
            </w:r>
          </w:p>
        </w:tc>
        <w:tc>
          <w:tcPr>
            <w:tcW w:w="3800" w:type="dxa"/>
            <w:shd w:val="clear" w:color="auto" w:fill="FFFFFF"/>
            <w:tcMar>
              <w:top w:w="80" w:type="dxa"/>
              <w:left w:w="100" w:type="dxa"/>
              <w:bottom w:w="80" w:type="dxa"/>
              <w:right w:w="100" w:type="dxa"/>
            </w:tcMar>
            <w:vAlign w:val="center"/>
          </w:tcPr>
          <w:p w14:paraId="1AC0E6BF" w14:textId="77777777" w:rsidR="005C13F4" w:rsidRDefault="00000000">
            <w:r>
              <w:rPr>
                <w:color w:val="000000"/>
              </w:rPr>
              <w:t>QA of code and figures; address edge cases; incorporate feedback</w:t>
            </w:r>
          </w:p>
        </w:tc>
        <w:tc>
          <w:tcPr>
            <w:tcW w:w="1140" w:type="dxa"/>
            <w:shd w:val="clear" w:color="auto" w:fill="FFFFFF"/>
            <w:tcMar>
              <w:top w:w="80" w:type="dxa"/>
              <w:left w:w="100" w:type="dxa"/>
              <w:bottom w:w="80" w:type="dxa"/>
              <w:right w:w="100" w:type="dxa"/>
            </w:tcMar>
            <w:vAlign w:val="center"/>
          </w:tcPr>
          <w:p w14:paraId="7560F5FD" w14:textId="77777777" w:rsidR="005C13F4" w:rsidRDefault="00000000">
            <w:pPr>
              <w:jc w:val="center"/>
            </w:pPr>
            <w:r>
              <w:rPr>
                <w:color w:val="000000"/>
              </w:rPr>
              <w:t>2-3</w:t>
            </w:r>
          </w:p>
        </w:tc>
      </w:tr>
    </w:tbl>
    <w:p w14:paraId="145BE890" w14:textId="77777777" w:rsidR="005C13F4" w:rsidRDefault="005C13F4">
      <w:pPr>
        <w:spacing w:before="240"/>
      </w:pPr>
    </w:p>
    <w:p w14:paraId="24F5A119" w14:textId="77777777" w:rsidR="005C13F4" w:rsidRDefault="00000000">
      <w:pPr>
        <w:pStyle w:val="Heading2"/>
        <w:spacing w:before="260" w:after="120"/>
      </w:pPr>
      <w:r>
        <w:rPr>
          <w:b/>
          <w:bCs/>
          <w:sz w:val="24"/>
          <w:szCs w:val="24"/>
        </w:rPr>
        <w:t>4.1 Data Extraction Approach</w:t>
      </w:r>
    </w:p>
    <w:p w14:paraId="7E320C2D" w14:textId="77777777" w:rsidR="005C13F4" w:rsidRDefault="00000000">
      <w:pPr>
        <w:pStyle w:val="ListParagraph"/>
        <w:numPr>
          <w:ilvl w:val="0"/>
          <w:numId w:val="3"/>
        </w:numPr>
        <w:spacing w:after="90" w:line="280" w:lineRule="auto"/>
      </w:pPr>
      <w:r>
        <w:rPr>
          <w:sz w:val="22"/>
          <w:szCs w:val="22"/>
        </w:rPr>
        <w:t xml:space="preserve">Pull daily historical prices for a small, defined basket (e.g., 5–10 large-cap equities plus one benchmark index) over a multi-year window using </w:t>
      </w:r>
      <w:proofErr w:type="spellStart"/>
      <w:r>
        <w:rPr>
          <w:sz w:val="22"/>
          <w:szCs w:val="22"/>
        </w:rPr>
        <w:t>yfinance</w:t>
      </w:r>
      <w:proofErr w:type="spellEnd"/>
      <w:r>
        <w:rPr>
          <w:sz w:val="22"/>
          <w:szCs w:val="22"/>
        </w:rPr>
        <w:t>.</w:t>
      </w:r>
    </w:p>
    <w:p w14:paraId="610A2138" w14:textId="77777777" w:rsidR="005C13F4" w:rsidRDefault="00000000">
      <w:pPr>
        <w:pStyle w:val="ListParagraph"/>
        <w:numPr>
          <w:ilvl w:val="0"/>
          <w:numId w:val="3"/>
        </w:numPr>
        <w:spacing w:after="90" w:line="280" w:lineRule="auto"/>
      </w:pPr>
      <w:r>
        <w:rPr>
          <w:sz w:val="22"/>
          <w:szCs w:val="22"/>
        </w:rPr>
        <w:t>Pull a small set of macro series (e.g., effective federal funds rate, 10-year Treasury yield, CPI) from FRED covering the same window.</w:t>
      </w:r>
    </w:p>
    <w:p w14:paraId="5CA93962" w14:textId="77777777" w:rsidR="005C13F4" w:rsidRDefault="00000000">
      <w:pPr>
        <w:pStyle w:val="ListParagraph"/>
        <w:numPr>
          <w:ilvl w:val="0"/>
          <w:numId w:val="3"/>
        </w:numPr>
        <w:spacing w:after="90" w:line="280" w:lineRule="auto"/>
      </w:pPr>
      <w:r>
        <w:rPr>
          <w:sz w:val="22"/>
          <w:szCs w:val="22"/>
        </w:rPr>
        <w:t>Persist raw pulls to local CSV files before any transformation, so extraction never has to be repeated if cleaning logic changes.</w:t>
      </w:r>
    </w:p>
    <w:p w14:paraId="630B4ED9" w14:textId="77777777" w:rsidR="005C13F4" w:rsidRDefault="00000000">
      <w:pPr>
        <w:pStyle w:val="Heading2"/>
        <w:spacing w:before="260" w:after="120"/>
      </w:pPr>
      <w:r>
        <w:rPr>
          <w:b/>
          <w:bCs/>
          <w:sz w:val="24"/>
          <w:szCs w:val="24"/>
        </w:rPr>
        <w:t>4.2 Data Cleaning Approach</w:t>
      </w:r>
    </w:p>
    <w:p w14:paraId="43DCCA66" w14:textId="77777777" w:rsidR="005C13F4" w:rsidRDefault="00000000">
      <w:pPr>
        <w:pStyle w:val="ListParagraph"/>
        <w:numPr>
          <w:ilvl w:val="0"/>
          <w:numId w:val="3"/>
        </w:numPr>
        <w:spacing w:after="90" w:line="280" w:lineRule="auto"/>
      </w:pPr>
      <w:r>
        <w:rPr>
          <w:sz w:val="22"/>
          <w:szCs w:val="22"/>
        </w:rPr>
        <w:t>Standardize all date indices to a common trading calendar; forward-fill or explicitly flag non-trading-day gaps in macro series rather than silently interpolating.</w:t>
      </w:r>
    </w:p>
    <w:p w14:paraId="084D96A8" w14:textId="77777777" w:rsidR="005C13F4" w:rsidRDefault="00000000">
      <w:pPr>
        <w:pStyle w:val="ListParagraph"/>
        <w:numPr>
          <w:ilvl w:val="0"/>
          <w:numId w:val="3"/>
        </w:numPr>
        <w:spacing w:after="90" w:line="280" w:lineRule="auto"/>
      </w:pPr>
      <w:r>
        <w:rPr>
          <w:sz w:val="22"/>
          <w:szCs w:val="22"/>
        </w:rPr>
        <w:t>Verify adjusted-close pricing accounts for splits/dividends; reconcile against raw close where discrepancies appear.</w:t>
      </w:r>
    </w:p>
    <w:p w14:paraId="23995837" w14:textId="77777777" w:rsidR="005C13F4" w:rsidRDefault="00000000">
      <w:pPr>
        <w:pStyle w:val="ListParagraph"/>
        <w:numPr>
          <w:ilvl w:val="0"/>
          <w:numId w:val="3"/>
        </w:numPr>
        <w:spacing w:after="90" w:line="280" w:lineRule="auto"/>
      </w:pPr>
      <w:r>
        <w:rPr>
          <w:sz w:val="22"/>
          <w:szCs w:val="22"/>
        </w:rPr>
        <w:t>Check and document missing values, outliers, and any obviously erroneous ticks before they reach the analysis stage.</w:t>
      </w:r>
    </w:p>
    <w:p w14:paraId="4CD9FDC3" w14:textId="77777777" w:rsidR="005C13F4" w:rsidRDefault="00000000">
      <w:pPr>
        <w:pStyle w:val="ListParagraph"/>
        <w:numPr>
          <w:ilvl w:val="0"/>
          <w:numId w:val="3"/>
        </w:numPr>
        <w:spacing w:after="90" w:line="280" w:lineRule="auto"/>
      </w:pPr>
      <w:r>
        <w:rPr>
          <w:sz w:val="22"/>
          <w:szCs w:val="22"/>
        </w:rPr>
        <w:lastRenderedPageBreak/>
        <w:t xml:space="preserve">Convert all working data into tidy pandas </w:t>
      </w:r>
      <w:proofErr w:type="spellStart"/>
      <w:r>
        <w:rPr>
          <w:sz w:val="22"/>
          <w:szCs w:val="22"/>
        </w:rPr>
        <w:t>DataFrames</w:t>
      </w:r>
      <w:proofErr w:type="spellEnd"/>
      <w:r>
        <w:rPr>
          <w:sz w:val="22"/>
          <w:szCs w:val="22"/>
        </w:rPr>
        <w:t xml:space="preserve"> with consistent, documented column naming.</w:t>
      </w:r>
    </w:p>
    <w:p w14:paraId="61E8FC20" w14:textId="77777777" w:rsidR="005C13F4" w:rsidRDefault="00000000">
      <w:pPr>
        <w:pStyle w:val="Heading2"/>
        <w:spacing w:before="260" w:after="120"/>
      </w:pPr>
      <w:r>
        <w:rPr>
          <w:b/>
          <w:bCs/>
          <w:sz w:val="24"/>
          <w:szCs w:val="24"/>
        </w:rPr>
        <w:t>4.3 Preliminary Exploration Approach</w:t>
      </w:r>
    </w:p>
    <w:p w14:paraId="421D531B" w14:textId="77777777" w:rsidR="005C13F4" w:rsidRDefault="00000000">
      <w:pPr>
        <w:pStyle w:val="ListParagraph"/>
        <w:numPr>
          <w:ilvl w:val="0"/>
          <w:numId w:val="3"/>
        </w:numPr>
        <w:spacing w:after="90" w:line="280" w:lineRule="auto"/>
      </w:pPr>
      <w:r>
        <w:rPr>
          <w:sz w:val="22"/>
          <w:szCs w:val="22"/>
        </w:rPr>
        <w:t>Generate summary statistics (mean, std, min/max, percentiles) for prices and returns.</w:t>
      </w:r>
    </w:p>
    <w:p w14:paraId="7A0A19D5" w14:textId="77777777" w:rsidR="005C13F4" w:rsidRDefault="00000000">
      <w:pPr>
        <w:pStyle w:val="ListParagraph"/>
        <w:numPr>
          <w:ilvl w:val="0"/>
          <w:numId w:val="3"/>
        </w:numPr>
        <w:spacing w:after="90" w:line="280" w:lineRule="auto"/>
      </w:pPr>
      <w:r>
        <w:rPr>
          <w:sz w:val="22"/>
          <w:szCs w:val="22"/>
        </w:rPr>
        <w:t>Plot price and return time series, and rolling 30/90-day volatility.</w:t>
      </w:r>
    </w:p>
    <w:p w14:paraId="708DF736" w14:textId="77777777" w:rsidR="005C13F4" w:rsidRDefault="00000000">
      <w:pPr>
        <w:pStyle w:val="ListParagraph"/>
        <w:numPr>
          <w:ilvl w:val="0"/>
          <w:numId w:val="3"/>
        </w:numPr>
        <w:spacing w:after="90" w:line="280" w:lineRule="auto"/>
      </w:pPr>
      <w:r>
        <w:rPr>
          <w:sz w:val="22"/>
          <w:szCs w:val="22"/>
        </w:rPr>
        <w:t>Build a correlation matrix/heatmap across the selected assets and the macro series.</w:t>
      </w:r>
    </w:p>
    <w:p w14:paraId="1151D61F" w14:textId="77777777" w:rsidR="005C13F4" w:rsidRDefault="00000000">
      <w:pPr>
        <w:pStyle w:val="ListParagraph"/>
        <w:numPr>
          <w:ilvl w:val="0"/>
          <w:numId w:val="3"/>
        </w:numPr>
        <w:spacing w:after="90" w:line="280" w:lineRule="auto"/>
      </w:pPr>
      <w:r>
        <w:rPr>
          <w:sz w:val="22"/>
          <w:szCs w:val="22"/>
        </w:rPr>
        <w:t>Note any patterns worth carrying into the deeper risk analysis phase (Phase 5), such as periods of unusually high volatility.</w:t>
      </w:r>
    </w:p>
    <w:p w14:paraId="0B900E59" w14:textId="77777777" w:rsidR="005C13F4" w:rsidRDefault="00000000">
      <w:pPr>
        <w:pStyle w:val="Heading1"/>
        <w:pBdr>
          <w:bottom w:val="single" w:sz="6" w:space="4" w:color="2E74B5"/>
        </w:pBdr>
        <w:spacing w:before="360" w:after="160"/>
      </w:pPr>
      <w:r>
        <w:rPr>
          <w:b/>
          <w:bCs/>
          <w:color w:val="1F3864"/>
          <w:sz w:val="30"/>
          <w:szCs w:val="30"/>
        </w:rPr>
        <w:t>5. Tool &amp; Library Justification</w:t>
      </w:r>
    </w:p>
    <w:p w14:paraId="308330D1" w14:textId="77777777" w:rsidR="005C13F4" w:rsidRDefault="00000000">
      <w:pPr>
        <w:spacing w:after="160" w:line="300" w:lineRule="auto"/>
      </w:pPr>
      <w:r>
        <w:rPr>
          <w:sz w:val="22"/>
          <w:szCs w:val="22"/>
        </w:rPr>
        <w:t xml:space="preserve">The toolset </w:t>
      </w:r>
      <w:proofErr w:type="spellStart"/>
      <w:r>
        <w:rPr>
          <w:sz w:val="22"/>
          <w:szCs w:val="22"/>
        </w:rPr>
        <w:t>favors</w:t>
      </w:r>
      <w:proofErr w:type="spellEnd"/>
      <w:r>
        <w:rPr>
          <w:sz w:val="22"/>
          <w:szCs w:val="22"/>
        </w:rPr>
        <w:t xml:space="preserve"> mature, well-documented, free libraries from the standard Python data-analysis stack, chosen specifically for their fit with time-series financial data.</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900"/>
        <w:gridCol w:w="3540"/>
      </w:tblGrid>
      <w:tr w:rsidR="005C13F4" w14:paraId="272C8875"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33F49C84" w14:textId="77777777" w:rsidR="005C13F4" w:rsidRDefault="00000000">
            <w:r>
              <w:rPr>
                <w:b/>
                <w:bCs/>
                <w:color w:val="FFFFFF"/>
              </w:rPr>
              <w:t>Library / Tool</w:t>
            </w:r>
          </w:p>
        </w:tc>
        <w:tc>
          <w:tcPr>
            <w:tcW w:w="3900" w:type="dxa"/>
            <w:shd w:val="clear" w:color="auto" w:fill="1F3864"/>
            <w:tcMar>
              <w:top w:w="80" w:type="dxa"/>
              <w:left w:w="100" w:type="dxa"/>
              <w:bottom w:w="80" w:type="dxa"/>
              <w:right w:w="100" w:type="dxa"/>
            </w:tcMar>
            <w:vAlign w:val="center"/>
          </w:tcPr>
          <w:p w14:paraId="4A253E95" w14:textId="77777777" w:rsidR="005C13F4" w:rsidRDefault="00000000">
            <w:r>
              <w:rPr>
                <w:b/>
                <w:bCs/>
                <w:color w:val="FFFFFF"/>
              </w:rPr>
              <w:t>Role in Project</w:t>
            </w:r>
          </w:p>
        </w:tc>
        <w:tc>
          <w:tcPr>
            <w:tcW w:w="3540" w:type="dxa"/>
            <w:shd w:val="clear" w:color="auto" w:fill="1F3864"/>
            <w:tcMar>
              <w:top w:w="80" w:type="dxa"/>
              <w:left w:w="100" w:type="dxa"/>
              <w:bottom w:w="80" w:type="dxa"/>
              <w:right w:w="100" w:type="dxa"/>
            </w:tcMar>
            <w:vAlign w:val="center"/>
          </w:tcPr>
          <w:p w14:paraId="11DEB0AD" w14:textId="77777777" w:rsidR="005C13F4" w:rsidRDefault="00000000">
            <w:r>
              <w:rPr>
                <w:b/>
                <w:bCs/>
                <w:color w:val="FFFFFF"/>
              </w:rPr>
              <w:t>Why It Was Chosen</w:t>
            </w:r>
          </w:p>
        </w:tc>
      </w:tr>
      <w:tr w:rsidR="005C13F4" w14:paraId="4DAF31B7"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727BBF67" w14:textId="77777777" w:rsidR="005C13F4" w:rsidRDefault="00000000">
            <w:r>
              <w:rPr>
                <w:color w:val="000000"/>
              </w:rPr>
              <w:t>pandas</w:t>
            </w:r>
          </w:p>
        </w:tc>
        <w:tc>
          <w:tcPr>
            <w:tcW w:w="3900" w:type="dxa"/>
            <w:shd w:val="clear" w:color="auto" w:fill="FFFFFF"/>
            <w:tcMar>
              <w:top w:w="80" w:type="dxa"/>
              <w:left w:w="100" w:type="dxa"/>
              <w:bottom w:w="80" w:type="dxa"/>
              <w:right w:w="100" w:type="dxa"/>
            </w:tcMar>
            <w:vAlign w:val="center"/>
          </w:tcPr>
          <w:p w14:paraId="106AB687" w14:textId="77777777" w:rsidR="005C13F4" w:rsidRDefault="00000000">
            <w:r>
              <w:rPr>
                <w:color w:val="000000"/>
              </w:rPr>
              <w:t>Data ingestion, cleaning, time-series alignment, and transformation</w:t>
            </w:r>
          </w:p>
        </w:tc>
        <w:tc>
          <w:tcPr>
            <w:tcW w:w="3540" w:type="dxa"/>
            <w:shd w:val="clear" w:color="auto" w:fill="FFFFFF"/>
            <w:tcMar>
              <w:top w:w="80" w:type="dxa"/>
              <w:left w:w="100" w:type="dxa"/>
              <w:bottom w:w="80" w:type="dxa"/>
              <w:right w:w="100" w:type="dxa"/>
            </w:tcMar>
            <w:vAlign w:val="center"/>
          </w:tcPr>
          <w:p w14:paraId="68E8FFEE" w14:textId="77777777" w:rsidR="005C13F4" w:rsidRDefault="00000000">
            <w:r>
              <w:rPr>
                <w:color w:val="000000"/>
              </w:rPr>
              <w:t xml:space="preserve">Industry-standard </w:t>
            </w:r>
            <w:proofErr w:type="spellStart"/>
            <w:r>
              <w:rPr>
                <w:color w:val="000000"/>
              </w:rPr>
              <w:t>DataFrame</w:t>
            </w:r>
            <w:proofErr w:type="spellEnd"/>
            <w:r>
              <w:rPr>
                <w:color w:val="000000"/>
              </w:rPr>
              <w:t xml:space="preserve"> structure; native handling of datetime indices, resampling, and missing-value tools essential for financial time series</w:t>
            </w:r>
          </w:p>
        </w:tc>
      </w:tr>
      <w:tr w:rsidR="005C13F4" w14:paraId="66984FD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51314AB" w14:textId="77777777" w:rsidR="005C13F4" w:rsidRDefault="00000000">
            <w:r>
              <w:rPr>
                <w:color w:val="000000"/>
              </w:rPr>
              <w:t>NumPy</w:t>
            </w:r>
          </w:p>
        </w:tc>
        <w:tc>
          <w:tcPr>
            <w:tcW w:w="3900" w:type="dxa"/>
            <w:shd w:val="clear" w:color="auto" w:fill="DCE6F1"/>
            <w:tcMar>
              <w:top w:w="80" w:type="dxa"/>
              <w:left w:w="100" w:type="dxa"/>
              <w:bottom w:w="80" w:type="dxa"/>
              <w:right w:w="100" w:type="dxa"/>
            </w:tcMar>
            <w:vAlign w:val="center"/>
          </w:tcPr>
          <w:p w14:paraId="580CC022" w14:textId="77777777" w:rsidR="005C13F4" w:rsidRDefault="00000000">
            <w:r>
              <w:rPr>
                <w:color w:val="000000"/>
              </w:rPr>
              <w:t>Numerical computation underlying returns, volatility, and statistical calculations</w:t>
            </w:r>
          </w:p>
        </w:tc>
        <w:tc>
          <w:tcPr>
            <w:tcW w:w="3540" w:type="dxa"/>
            <w:shd w:val="clear" w:color="auto" w:fill="DCE6F1"/>
            <w:tcMar>
              <w:top w:w="80" w:type="dxa"/>
              <w:left w:w="100" w:type="dxa"/>
              <w:bottom w:w="80" w:type="dxa"/>
              <w:right w:w="100" w:type="dxa"/>
            </w:tcMar>
            <w:vAlign w:val="center"/>
          </w:tcPr>
          <w:p w14:paraId="7C33B449" w14:textId="77777777" w:rsidR="005C13F4" w:rsidRDefault="00000000">
            <w:r>
              <w:rPr>
                <w:color w:val="000000"/>
              </w:rPr>
              <w:t>Fast vectorized array operations; foundation that pandas and most quantitative libraries are built on</w:t>
            </w:r>
          </w:p>
        </w:tc>
      </w:tr>
      <w:tr w:rsidR="005C13F4" w14:paraId="502F99E5"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7C3C376E" w14:textId="77777777" w:rsidR="005C13F4" w:rsidRDefault="00000000">
            <w:r>
              <w:rPr>
                <w:color w:val="000000"/>
              </w:rPr>
              <w:t>matplotlib / seaborn</w:t>
            </w:r>
          </w:p>
        </w:tc>
        <w:tc>
          <w:tcPr>
            <w:tcW w:w="3900" w:type="dxa"/>
            <w:shd w:val="clear" w:color="auto" w:fill="FFFFFF"/>
            <w:tcMar>
              <w:top w:w="80" w:type="dxa"/>
              <w:left w:w="100" w:type="dxa"/>
              <w:bottom w:w="80" w:type="dxa"/>
              <w:right w:w="100" w:type="dxa"/>
            </w:tcMar>
            <w:vAlign w:val="center"/>
          </w:tcPr>
          <w:p w14:paraId="2D2783FA" w14:textId="77777777" w:rsidR="005C13F4" w:rsidRDefault="00000000">
            <w:r>
              <w:rPr>
                <w:color w:val="000000"/>
              </w:rPr>
              <w:t>Visualization of price trends, return distributions, rolling volatility, and correlation heatmaps</w:t>
            </w:r>
          </w:p>
        </w:tc>
        <w:tc>
          <w:tcPr>
            <w:tcW w:w="3540" w:type="dxa"/>
            <w:shd w:val="clear" w:color="auto" w:fill="FFFFFF"/>
            <w:tcMar>
              <w:top w:w="80" w:type="dxa"/>
              <w:left w:w="100" w:type="dxa"/>
              <w:bottom w:w="80" w:type="dxa"/>
              <w:right w:w="100" w:type="dxa"/>
            </w:tcMar>
            <w:vAlign w:val="center"/>
          </w:tcPr>
          <w:p w14:paraId="5FFEE1F7" w14:textId="77777777" w:rsidR="005C13F4" w:rsidRDefault="00000000">
            <w:r>
              <w:rPr>
                <w:color w:val="000000"/>
              </w:rPr>
              <w:t>Highly customizable static charts suitable for a written report; seaborn simplifies statistical plots such as distributions and heatmaps</w:t>
            </w:r>
          </w:p>
        </w:tc>
      </w:tr>
      <w:tr w:rsidR="005C13F4" w14:paraId="4DFAAB92"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D2FC5E0" w14:textId="77777777" w:rsidR="005C13F4" w:rsidRDefault="00000000">
            <w:proofErr w:type="spellStart"/>
            <w:r>
              <w:rPr>
                <w:color w:val="000000"/>
              </w:rPr>
              <w:t>yfinance</w:t>
            </w:r>
            <w:proofErr w:type="spellEnd"/>
          </w:p>
        </w:tc>
        <w:tc>
          <w:tcPr>
            <w:tcW w:w="3900" w:type="dxa"/>
            <w:shd w:val="clear" w:color="auto" w:fill="DCE6F1"/>
            <w:tcMar>
              <w:top w:w="80" w:type="dxa"/>
              <w:left w:w="100" w:type="dxa"/>
              <w:bottom w:w="80" w:type="dxa"/>
              <w:right w:w="100" w:type="dxa"/>
            </w:tcMar>
            <w:vAlign w:val="center"/>
          </w:tcPr>
          <w:p w14:paraId="3CC6FA7E" w14:textId="77777777" w:rsidR="005C13F4" w:rsidRDefault="00000000">
            <w:r>
              <w:rPr>
                <w:color w:val="000000"/>
              </w:rPr>
              <w:t>Programmatic extraction of historical equity price data from Yahoo Finance</w:t>
            </w:r>
          </w:p>
        </w:tc>
        <w:tc>
          <w:tcPr>
            <w:tcW w:w="3540" w:type="dxa"/>
            <w:shd w:val="clear" w:color="auto" w:fill="DCE6F1"/>
            <w:tcMar>
              <w:top w:w="80" w:type="dxa"/>
              <w:left w:w="100" w:type="dxa"/>
              <w:bottom w:w="80" w:type="dxa"/>
              <w:right w:w="100" w:type="dxa"/>
            </w:tcMar>
            <w:vAlign w:val="center"/>
          </w:tcPr>
          <w:p w14:paraId="38847EA1" w14:textId="77777777" w:rsidR="005C13F4" w:rsidRDefault="00000000">
            <w:r>
              <w:rPr>
                <w:color w:val="000000"/>
              </w:rPr>
              <w:t>Free, no API key required, widely used for educational and exploratory equity analysis</w:t>
            </w:r>
          </w:p>
        </w:tc>
      </w:tr>
      <w:tr w:rsidR="005C13F4" w14:paraId="15E41612"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2494EC03" w14:textId="77777777" w:rsidR="005C13F4" w:rsidRDefault="00000000">
            <w:proofErr w:type="spellStart"/>
            <w:r>
              <w:rPr>
                <w:color w:val="000000"/>
              </w:rPr>
              <w:t>fredapi</w:t>
            </w:r>
            <w:proofErr w:type="spellEnd"/>
            <w:r>
              <w:rPr>
                <w:color w:val="000000"/>
              </w:rPr>
              <w:t xml:space="preserve"> / pandas-</w:t>
            </w:r>
            <w:proofErr w:type="spellStart"/>
            <w:r>
              <w:rPr>
                <w:color w:val="000000"/>
              </w:rPr>
              <w:t>datareader</w:t>
            </w:r>
            <w:proofErr w:type="spellEnd"/>
          </w:p>
        </w:tc>
        <w:tc>
          <w:tcPr>
            <w:tcW w:w="3900" w:type="dxa"/>
            <w:shd w:val="clear" w:color="auto" w:fill="FFFFFF"/>
            <w:tcMar>
              <w:top w:w="80" w:type="dxa"/>
              <w:left w:w="100" w:type="dxa"/>
              <w:bottom w:w="80" w:type="dxa"/>
              <w:right w:w="100" w:type="dxa"/>
            </w:tcMar>
            <w:vAlign w:val="center"/>
          </w:tcPr>
          <w:p w14:paraId="002EFF1E" w14:textId="77777777" w:rsidR="005C13F4" w:rsidRDefault="00000000">
            <w:r>
              <w:rPr>
                <w:color w:val="000000"/>
              </w:rPr>
              <w:t>Extraction of macroeconomic series (interest rates, CPI, unemployment) from FRED</w:t>
            </w:r>
          </w:p>
        </w:tc>
        <w:tc>
          <w:tcPr>
            <w:tcW w:w="3540" w:type="dxa"/>
            <w:shd w:val="clear" w:color="auto" w:fill="FFFFFF"/>
            <w:tcMar>
              <w:top w:w="80" w:type="dxa"/>
              <w:left w:w="100" w:type="dxa"/>
              <w:bottom w:w="80" w:type="dxa"/>
              <w:right w:w="100" w:type="dxa"/>
            </w:tcMar>
            <w:vAlign w:val="center"/>
          </w:tcPr>
          <w:p w14:paraId="25FDD514" w14:textId="77777777" w:rsidR="005C13F4" w:rsidRDefault="00000000">
            <w:r>
              <w:rPr>
                <w:color w:val="000000"/>
              </w:rPr>
              <w:t>Direct, reliable access to authoritative U.S. macroeconomic data maintained by the Federal Reserve Bank of St. Louis</w:t>
            </w:r>
          </w:p>
        </w:tc>
      </w:tr>
      <w:tr w:rsidR="005C13F4" w14:paraId="30F01A3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A2F5C12" w14:textId="77777777" w:rsidR="005C13F4" w:rsidRDefault="00000000">
            <w:r>
              <w:rPr>
                <w:color w:val="000000"/>
              </w:rPr>
              <w:t>requests</w:t>
            </w:r>
          </w:p>
        </w:tc>
        <w:tc>
          <w:tcPr>
            <w:tcW w:w="3900" w:type="dxa"/>
            <w:shd w:val="clear" w:color="auto" w:fill="DCE6F1"/>
            <w:tcMar>
              <w:top w:w="80" w:type="dxa"/>
              <w:left w:w="100" w:type="dxa"/>
              <w:bottom w:w="80" w:type="dxa"/>
              <w:right w:w="100" w:type="dxa"/>
            </w:tcMar>
            <w:vAlign w:val="center"/>
          </w:tcPr>
          <w:p w14:paraId="35EC0CD6" w14:textId="77777777" w:rsidR="005C13F4" w:rsidRDefault="00000000">
            <w:r>
              <w:rPr>
                <w:color w:val="000000"/>
              </w:rPr>
              <w:t>Lightweight HTTP calls for any data source without a dedicated Python wrapper</w:t>
            </w:r>
          </w:p>
        </w:tc>
        <w:tc>
          <w:tcPr>
            <w:tcW w:w="3540" w:type="dxa"/>
            <w:shd w:val="clear" w:color="auto" w:fill="DCE6F1"/>
            <w:tcMar>
              <w:top w:w="80" w:type="dxa"/>
              <w:left w:w="100" w:type="dxa"/>
              <w:bottom w:w="80" w:type="dxa"/>
              <w:right w:w="100" w:type="dxa"/>
            </w:tcMar>
            <w:vAlign w:val="center"/>
          </w:tcPr>
          <w:p w14:paraId="3BB52F9B" w14:textId="77777777" w:rsidR="005C13F4" w:rsidRDefault="00000000">
            <w:r>
              <w:rPr>
                <w:color w:val="000000"/>
              </w:rPr>
              <w:t>Simple, dependable interface for REST API calls and error handling</w:t>
            </w:r>
          </w:p>
        </w:tc>
      </w:tr>
      <w:tr w:rsidR="005C13F4" w14:paraId="413303F6"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062964DB" w14:textId="77777777" w:rsidR="005C13F4" w:rsidRDefault="00000000">
            <w:proofErr w:type="spellStart"/>
            <w:r>
              <w:rPr>
                <w:color w:val="000000"/>
              </w:rPr>
              <w:t>Jupyter</w:t>
            </w:r>
            <w:proofErr w:type="spellEnd"/>
            <w:r>
              <w:rPr>
                <w:color w:val="000000"/>
              </w:rPr>
              <w:t xml:space="preserve"> Notebook</w:t>
            </w:r>
          </w:p>
        </w:tc>
        <w:tc>
          <w:tcPr>
            <w:tcW w:w="3900" w:type="dxa"/>
            <w:shd w:val="clear" w:color="auto" w:fill="FFFFFF"/>
            <w:tcMar>
              <w:top w:w="80" w:type="dxa"/>
              <w:left w:w="100" w:type="dxa"/>
              <w:bottom w:w="80" w:type="dxa"/>
              <w:right w:w="100" w:type="dxa"/>
            </w:tcMar>
            <w:vAlign w:val="center"/>
          </w:tcPr>
          <w:p w14:paraId="7D0EC89F" w14:textId="77777777" w:rsidR="005C13F4" w:rsidRDefault="00000000">
            <w:r>
              <w:rPr>
                <w:color w:val="000000"/>
              </w:rPr>
              <w:t>Interactive development environment for exploration and documentation</w:t>
            </w:r>
          </w:p>
        </w:tc>
        <w:tc>
          <w:tcPr>
            <w:tcW w:w="3540" w:type="dxa"/>
            <w:shd w:val="clear" w:color="auto" w:fill="FFFFFF"/>
            <w:tcMar>
              <w:top w:w="80" w:type="dxa"/>
              <w:left w:w="100" w:type="dxa"/>
              <w:bottom w:w="80" w:type="dxa"/>
              <w:right w:w="100" w:type="dxa"/>
            </w:tcMar>
            <w:vAlign w:val="center"/>
          </w:tcPr>
          <w:p w14:paraId="3B337C44" w14:textId="77777777" w:rsidR="005C13F4" w:rsidRDefault="00000000">
            <w:r>
              <w:rPr>
                <w:color w:val="000000"/>
              </w:rPr>
              <w:t>Combines code, output, and narrative in one place, ideal for iterative EDA and for sharing reproducible analysis</w:t>
            </w:r>
          </w:p>
        </w:tc>
      </w:tr>
      <w:tr w:rsidR="005C13F4" w14:paraId="1C2AFFA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D2BC43D" w14:textId="77777777" w:rsidR="005C13F4" w:rsidRDefault="00000000">
            <w:proofErr w:type="spellStart"/>
            <w:r>
              <w:rPr>
                <w:color w:val="000000"/>
              </w:rPr>
              <w:t>statsmodels</w:t>
            </w:r>
            <w:proofErr w:type="spellEnd"/>
            <w:r>
              <w:rPr>
                <w:color w:val="000000"/>
              </w:rPr>
              <w:t xml:space="preserve"> / SciPy</w:t>
            </w:r>
          </w:p>
        </w:tc>
        <w:tc>
          <w:tcPr>
            <w:tcW w:w="3900" w:type="dxa"/>
            <w:shd w:val="clear" w:color="auto" w:fill="DCE6F1"/>
            <w:tcMar>
              <w:top w:w="80" w:type="dxa"/>
              <w:left w:w="100" w:type="dxa"/>
              <w:bottom w:w="80" w:type="dxa"/>
              <w:right w:w="100" w:type="dxa"/>
            </w:tcMar>
            <w:vAlign w:val="center"/>
          </w:tcPr>
          <w:p w14:paraId="73144A20" w14:textId="77777777" w:rsidR="005C13F4" w:rsidRDefault="00000000">
            <w:r>
              <w:rPr>
                <w:color w:val="000000"/>
              </w:rPr>
              <w:t>Statistical tests, regression for beta estimation, and distribution fitting</w:t>
            </w:r>
          </w:p>
        </w:tc>
        <w:tc>
          <w:tcPr>
            <w:tcW w:w="3540" w:type="dxa"/>
            <w:shd w:val="clear" w:color="auto" w:fill="DCE6F1"/>
            <w:tcMar>
              <w:top w:w="80" w:type="dxa"/>
              <w:left w:w="100" w:type="dxa"/>
              <w:bottom w:w="80" w:type="dxa"/>
              <w:right w:w="100" w:type="dxa"/>
            </w:tcMar>
            <w:vAlign w:val="center"/>
          </w:tcPr>
          <w:p w14:paraId="6C6C9207" w14:textId="77777777" w:rsidR="005C13F4" w:rsidRDefault="00000000">
            <w:r>
              <w:rPr>
                <w:color w:val="000000"/>
              </w:rPr>
              <w:t>Provides the statistical rigor needed to move from descriptive stats to inferential analysis of risk factors</w:t>
            </w:r>
          </w:p>
        </w:tc>
      </w:tr>
    </w:tbl>
    <w:p w14:paraId="389F16F7" w14:textId="77777777" w:rsidR="005C13F4" w:rsidRDefault="00000000">
      <w:pPr>
        <w:pStyle w:val="Heading1"/>
        <w:pBdr>
          <w:bottom w:val="single" w:sz="6" w:space="4" w:color="2E74B5"/>
        </w:pBdr>
        <w:spacing w:before="360" w:after="160"/>
      </w:pPr>
      <w:r>
        <w:rPr>
          <w:b/>
          <w:bCs/>
          <w:color w:val="1F3864"/>
          <w:sz w:val="30"/>
          <w:szCs w:val="30"/>
        </w:rPr>
        <w:t>6. Risks &amp; Assumptions</w:t>
      </w:r>
    </w:p>
    <w:p w14:paraId="4A40E563" w14:textId="77777777" w:rsidR="005C13F4" w:rsidRDefault="00000000">
      <w:pPr>
        <w:pStyle w:val="ListParagraph"/>
        <w:numPr>
          <w:ilvl w:val="0"/>
          <w:numId w:val="3"/>
        </w:numPr>
        <w:spacing w:after="90" w:line="280" w:lineRule="auto"/>
      </w:pPr>
      <w:r>
        <w:rPr>
          <w:sz w:val="22"/>
          <w:szCs w:val="22"/>
        </w:rPr>
        <w:t>Free APIs (</w:t>
      </w:r>
      <w:proofErr w:type="spellStart"/>
      <w:r>
        <w:rPr>
          <w:sz w:val="22"/>
          <w:szCs w:val="22"/>
        </w:rPr>
        <w:t>yfinance</w:t>
      </w:r>
      <w:proofErr w:type="spellEnd"/>
      <w:r>
        <w:rPr>
          <w:sz w:val="22"/>
          <w:szCs w:val="22"/>
        </w:rPr>
        <w:t>, FRED) can occasionally change response formats or throttle requests; raw data will be cached locally to reduce repeated calls and dependency on live endpoints.</w:t>
      </w:r>
    </w:p>
    <w:p w14:paraId="36ACD0C5" w14:textId="77777777" w:rsidR="005C13F4" w:rsidRDefault="00000000">
      <w:pPr>
        <w:pStyle w:val="ListParagraph"/>
        <w:numPr>
          <w:ilvl w:val="0"/>
          <w:numId w:val="3"/>
        </w:numPr>
        <w:spacing w:after="90" w:line="280" w:lineRule="auto"/>
      </w:pPr>
      <w:r>
        <w:rPr>
          <w:sz w:val="22"/>
          <w:szCs w:val="22"/>
        </w:rPr>
        <w:lastRenderedPageBreak/>
        <w:t>Yahoo Finance data, while broadly reliable, is unofficial and not contractually guaranteed; findings will be framed as exploratory rather than investment-grade.</w:t>
      </w:r>
    </w:p>
    <w:p w14:paraId="1ED1EC30" w14:textId="77777777" w:rsidR="005C13F4" w:rsidRDefault="00000000">
      <w:pPr>
        <w:pStyle w:val="ListParagraph"/>
        <w:numPr>
          <w:ilvl w:val="0"/>
          <w:numId w:val="3"/>
        </w:numPr>
        <w:spacing w:after="90" w:line="280" w:lineRule="auto"/>
      </w:pPr>
      <w:r>
        <w:rPr>
          <w:sz w:val="22"/>
          <w:szCs w:val="22"/>
        </w:rPr>
        <w:t>The 30–</w:t>
      </w:r>
      <w:proofErr w:type="gramStart"/>
      <w:r>
        <w:rPr>
          <w:sz w:val="22"/>
          <w:szCs w:val="22"/>
        </w:rPr>
        <w:t>35 hour</w:t>
      </w:r>
      <w:proofErr w:type="gramEnd"/>
      <w:r>
        <w:rPr>
          <w:sz w:val="22"/>
          <w:szCs w:val="22"/>
        </w:rPr>
        <w:t xml:space="preserve"> budget assumes a modest, well-scoped asset universe (5–10 equities plus one index and a handful of macro series); scope will be held fixed to protect the timeline, with any expansion treated as optional stretch work in Phase 7.</w:t>
      </w:r>
    </w:p>
    <w:p w14:paraId="765EA003" w14:textId="77777777" w:rsidR="005C13F4" w:rsidRDefault="00000000">
      <w:pPr>
        <w:pStyle w:val="ListParagraph"/>
        <w:numPr>
          <w:ilvl w:val="0"/>
          <w:numId w:val="3"/>
        </w:numPr>
        <w:spacing w:after="90" w:line="280" w:lineRule="auto"/>
      </w:pPr>
      <w:r>
        <w:rPr>
          <w:sz w:val="22"/>
          <w:szCs w:val="22"/>
        </w:rPr>
        <w:t>All analysis is for educational/analytical purposes and does not constitute investment advice.</w:t>
      </w:r>
    </w:p>
    <w:p w14:paraId="272D843C" w14:textId="77777777" w:rsidR="005C13F4" w:rsidRDefault="00000000">
      <w:pPr>
        <w:pStyle w:val="Heading1"/>
        <w:pBdr>
          <w:bottom w:val="single" w:sz="6" w:space="4" w:color="2E74B5"/>
        </w:pBdr>
        <w:spacing w:before="360" w:after="160"/>
      </w:pPr>
      <w:r>
        <w:rPr>
          <w:b/>
          <w:bCs/>
          <w:color w:val="1F3864"/>
          <w:sz w:val="30"/>
          <w:szCs w:val="30"/>
        </w:rPr>
        <w:t>7. Conclusion</w:t>
      </w:r>
    </w:p>
    <w:p w14:paraId="1836B011" w14:textId="77777777" w:rsidR="005C13F4" w:rsidRDefault="00000000">
      <w:pPr>
        <w:spacing w:after="160" w:line="300" w:lineRule="auto"/>
      </w:pPr>
      <w:r>
        <w:rPr>
          <w:sz w:val="22"/>
          <w:szCs w:val="22"/>
        </w:rPr>
        <w:t>This plan establishes a clear, time-boxed path from raw public financial data to a documented preliminary analysis: two well-justified data sources, five concrete analytical questions spanning trend, return, volatility, and risk, a seven-phase timeline that fits the 30–</w:t>
      </w:r>
      <w:proofErr w:type="gramStart"/>
      <w:r>
        <w:rPr>
          <w:sz w:val="22"/>
          <w:szCs w:val="22"/>
        </w:rPr>
        <w:t>35 hour</w:t>
      </w:r>
      <w:proofErr w:type="gramEnd"/>
      <w:r>
        <w:rPr>
          <w:sz w:val="22"/>
          <w:szCs w:val="22"/>
        </w:rPr>
        <w:t xml:space="preserve"> estimate, and a Python toolset chosen specifically for time-series financial work. This foundation is intended to make the subsequent, deeper analysis phase straightforward to execute and easy to review against the original objectives.</w:t>
      </w:r>
    </w:p>
    <w:sectPr w:rsidR="005C13F4">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D1A61E" w14:textId="77777777" w:rsidR="007379E4" w:rsidRDefault="007379E4">
      <w:r>
        <w:separator/>
      </w:r>
    </w:p>
  </w:endnote>
  <w:endnote w:type="continuationSeparator" w:id="0">
    <w:p w14:paraId="726A756F" w14:textId="77777777" w:rsidR="007379E4" w:rsidRDefault="007379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1FB5BE" w14:textId="77777777" w:rsidR="005C13F4"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256F9D">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256F9D">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B92182" w14:textId="77777777" w:rsidR="007379E4" w:rsidRDefault="007379E4">
      <w:r>
        <w:separator/>
      </w:r>
    </w:p>
  </w:footnote>
  <w:footnote w:type="continuationSeparator" w:id="0">
    <w:p w14:paraId="3B2379CF" w14:textId="77777777" w:rsidR="007379E4" w:rsidRDefault="007379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A2462B" w14:textId="77777777" w:rsidR="005C13F4" w:rsidRDefault="00000000">
    <w:pPr>
      <w:pBdr>
        <w:bottom w:val="single" w:sz="4" w:space="4" w:color="BFBFBF"/>
      </w:pBdr>
      <w:jc w:val="right"/>
    </w:pPr>
    <w:r>
      <w:rPr>
        <w:color w:val="595959"/>
        <w:sz w:val="16"/>
        <w:szCs w:val="16"/>
      </w:rPr>
      <w:t>Public Financial Data Analysis — Project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B303E4"/>
    <w:multiLevelType w:val="hybridMultilevel"/>
    <w:tmpl w:val="DEAE7528"/>
    <w:lvl w:ilvl="0" w:tplc="0FA0D040">
      <w:start w:val="1"/>
      <w:numFmt w:val="bullet"/>
      <w:lvlText w:val="●"/>
      <w:lvlJc w:val="left"/>
      <w:pPr>
        <w:ind w:left="720" w:hanging="360"/>
      </w:pPr>
    </w:lvl>
    <w:lvl w:ilvl="1" w:tplc="B27E4156">
      <w:start w:val="1"/>
      <w:numFmt w:val="bullet"/>
      <w:lvlText w:val="○"/>
      <w:lvlJc w:val="left"/>
      <w:pPr>
        <w:ind w:left="1440" w:hanging="360"/>
      </w:pPr>
    </w:lvl>
    <w:lvl w:ilvl="2" w:tplc="F77012C6">
      <w:start w:val="1"/>
      <w:numFmt w:val="bullet"/>
      <w:lvlText w:val="■"/>
      <w:lvlJc w:val="left"/>
      <w:pPr>
        <w:ind w:left="2160" w:hanging="360"/>
      </w:pPr>
    </w:lvl>
    <w:lvl w:ilvl="3" w:tplc="88442FEC">
      <w:start w:val="1"/>
      <w:numFmt w:val="bullet"/>
      <w:lvlText w:val="●"/>
      <w:lvlJc w:val="left"/>
      <w:pPr>
        <w:ind w:left="2880" w:hanging="360"/>
      </w:pPr>
    </w:lvl>
    <w:lvl w:ilvl="4" w:tplc="01709D24">
      <w:start w:val="1"/>
      <w:numFmt w:val="bullet"/>
      <w:lvlText w:val="○"/>
      <w:lvlJc w:val="left"/>
      <w:pPr>
        <w:ind w:left="3600" w:hanging="360"/>
      </w:pPr>
    </w:lvl>
    <w:lvl w:ilvl="5" w:tplc="F2CE8696">
      <w:start w:val="1"/>
      <w:numFmt w:val="bullet"/>
      <w:lvlText w:val="■"/>
      <w:lvlJc w:val="left"/>
      <w:pPr>
        <w:ind w:left="4320" w:hanging="360"/>
      </w:pPr>
    </w:lvl>
    <w:lvl w:ilvl="6" w:tplc="B9D25E76">
      <w:start w:val="1"/>
      <w:numFmt w:val="bullet"/>
      <w:lvlText w:val="●"/>
      <w:lvlJc w:val="left"/>
      <w:pPr>
        <w:ind w:left="5040" w:hanging="360"/>
      </w:pPr>
    </w:lvl>
    <w:lvl w:ilvl="7" w:tplc="296C931A">
      <w:start w:val="1"/>
      <w:numFmt w:val="bullet"/>
      <w:lvlText w:val="●"/>
      <w:lvlJc w:val="left"/>
      <w:pPr>
        <w:ind w:left="5760" w:hanging="360"/>
      </w:pPr>
    </w:lvl>
    <w:lvl w:ilvl="8" w:tplc="BF9EC86C">
      <w:start w:val="1"/>
      <w:numFmt w:val="bullet"/>
      <w:lvlText w:val="●"/>
      <w:lvlJc w:val="left"/>
      <w:pPr>
        <w:ind w:left="6480" w:hanging="360"/>
      </w:pPr>
    </w:lvl>
  </w:abstractNum>
  <w:abstractNum w:abstractNumId="1" w15:restartNumberingAfterBreak="0">
    <w:nsid w:val="3AD54235"/>
    <w:multiLevelType w:val="hybridMultilevel"/>
    <w:tmpl w:val="37BEE378"/>
    <w:lvl w:ilvl="0" w:tplc="36D297F4">
      <w:start w:val="1"/>
      <w:numFmt w:val="bullet"/>
      <w:lvlText w:val="•"/>
      <w:lvlJc w:val="left"/>
      <w:pPr>
        <w:ind w:left="460" w:hanging="260"/>
      </w:pPr>
    </w:lvl>
    <w:lvl w:ilvl="1" w:tplc="F69ED178">
      <w:start w:val="1"/>
      <w:numFmt w:val="bullet"/>
      <w:lvlText w:val="◦"/>
      <w:lvlJc w:val="left"/>
      <w:pPr>
        <w:ind w:left="820" w:hanging="260"/>
      </w:pPr>
    </w:lvl>
    <w:lvl w:ilvl="2" w:tplc="A7B45840">
      <w:numFmt w:val="decimal"/>
      <w:lvlText w:val=""/>
      <w:lvlJc w:val="left"/>
    </w:lvl>
    <w:lvl w:ilvl="3" w:tplc="258CECEC">
      <w:numFmt w:val="decimal"/>
      <w:lvlText w:val=""/>
      <w:lvlJc w:val="left"/>
    </w:lvl>
    <w:lvl w:ilvl="4" w:tplc="D5CA402A">
      <w:numFmt w:val="decimal"/>
      <w:lvlText w:val=""/>
      <w:lvlJc w:val="left"/>
    </w:lvl>
    <w:lvl w:ilvl="5" w:tplc="1DCEDC04">
      <w:numFmt w:val="decimal"/>
      <w:lvlText w:val=""/>
      <w:lvlJc w:val="left"/>
    </w:lvl>
    <w:lvl w:ilvl="6" w:tplc="1C80E102">
      <w:numFmt w:val="decimal"/>
      <w:lvlText w:val=""/>
      <w:lvlJc w:val="left"/>
    </w:lvl>
    <w:lvl w:ilvl="7" w:tplc="AD680140">
      <w:numFmt w:val="decimal"/>
      <w:lvlText w:val=""/>
      <w:lvlJc w:val="left"/>
    </w:lvl>
    <w:lvl w:ilvl="8" w:tplc="4538FD34">
      <w:numFmt w:val="decimal"/>
      <w:lvlText w:val=""/>
      <w:lvlJc w:val="left"/>
    </w:lvl>
  </w:abstractNum>
  <w:abstractNum w:abstractNumId="2" w15:restartNumberingAfterBreak="0">
    <w:nsid w:val="44DB3A3C"/>
    <w:multiLevelType w:val="hybridMultilevel"/>
    <w:tmpl w:val="B4EAF356"/>
    <w:lvl w:ilvl="0" w:tplc="BB067E10">
      <w:start w:val="1"/>
      <w:numFmt w:val="decimal"/>
      <w:lvlText w:val="%1."/>
      <w:lvlJc w:val="left"/>
      <w:pPr>
        <w:ind w:left="460" w:hanging="260"/>
      </w:pPr>
    </w:lvl>
    <w:lvl w:ilvl="1" w:tplc="9D9AC20A">
      <w:numFmt w:val="decimal"/>
      <w:lvlText w:val=""/>
      <w:lvlJc w:val="left"/>
    </w:lvl>
    <w:lvl w:ilvl="2" w:tplc="AD4CB1D4">
      <w:numFmt w:val="decimal"/>
      <w:lvlText w:val=""/>
      <w:lvlJc w:val="left"/>
    </w:lvl>
    <w:lvl w:ilvl="3" w:tplc="8AF42596">
      <w:numFmt w:val="decimal"/>
      <w:lvlText w:val=""/>
      <w:lvlJc w:val="left"/>
    </w:lvl>
    <w:lvl w:ilvl="4" w:tplc="6CB6E7E4">
      <w:numFmt w:val="decimal"/>
      <w:lvlText w:val=""/>
      <w:lvlJc w:val="left"/>
    </w:lvl>
    <w:lvl w:ilvl="5" w:tplc="BCBAD8BA">
      <w:numFmt w:val="decimal"/>
      <w:lvlText w:val=""/>
      <w:lvlJc w:val="left"/>
    </w:lvl>
    <w:lvl w:ilvl="6" w:tplc="E51CF592">
      <w:numFmt w:val="decimal"/>
      <w:lvlText w:val=""/>
      <w:lvlJc w:val="left"/>
    </w:lvl>
    <w:lvl w:ilvl="7" w:tplc="A3F44F02">
      <w:numFmt w:val="decimal"/>
      <w:lvlText w:val=""/>
      <w:lvlJc w:val="left"/>
    </w:lvl>
    <w:lvl w:ilvl="8" w:tplc="526EAF2A">
      <w:numFmt w:val="decimal"/>
      <w:lvlText w:val=""/>
      <w:lvlJc w:val="left"/>
    </w:lvl>
  </w:abstractNum>
  <w:num w:numId="1" w16cid:durableId="134761156">
    <w:abstractNumId w:val="0"/>
    <w:lvlOverride w:ilvl="0">
      <w:startOverride w:val="1"/>
    </w:lvlOverride>
  </w:num>
  <w:num w:numId="2" w16cid:durableId="846167649">
    <w:abstractNumId w:val="2"/>
    <w:lvlOverride w:ilvl="0">
      <w:startOverride w:val="1"/>
    </w:lvlOverride>
  </w:num>
  <w:num w:numId="3" w16cid:durableId="7143502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13F4"/>
    <w:rsid w:val="00256F9D"/>
    <w:rsid w:val="004B4C8F"/>
    <w:rsid w:val="005C13F4"/>
    <w:rsid w:val="007379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C3F87"/>
  <w15:docId w15:val="{5FBEDE85-3B2F-42BA-A897-545FA130A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1613</Words>
  <Characters>9199</Characters>
  <Application>Microsoft Office Word</Application>
  <DocSecurity>0</DocSecurity>
  <Lines>76</Lines>
  <Paragraphs>21</Paragraphs>
  <ScaleCrop>false</ScaleCrop>
  <Company/>
  <LinksUpToDate>false</LinksUpToDate>
  <CharactersWithSpaces>10791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Abhishek kumar Sah</cp:lastModifiedBy>
  <cp:revision>3</cp:revision>
  <dcterms:created xsi:type="dcterms:W3CDTF">2026-09-06T15:30:00Z</dcterms:created>
  <dcterms:modified xsi:type="dcterms:W3CDTF">2026-09-06T15:35:00Z</dcterms:modified>
</cp:coreProperties>
</file>