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0"/>
          <w:szCs w:val="20"/>
        </w:rPr>
        <w:t xml:space="preserve">WEEK 2 TASK</w:t>
      </w:r>
    </w:p>
    <w:p>
      <w:pPr>
        <w:spacing w:after="120"/>
      </w:pPr>
      <w:r>
        <w:rPr>
          <w:b/>
          <w:bCs/>
          <w:color w:val="1F3864"/>
          <w:sz w:val="38"/>
          <w:szCs w:val="38"/>
        </w:rPr>
        <w:t xml:space="preserve">Data Wrangling &amp; Processing: Cleaning, Structuring, and Preparing Public Financial Data</w:t>
      </w:r>
    </w:p>
    <w:p>
      <w:pPr>
        <w:spacing w:after="300"/>
      </w:pPr>
      <w:r>
        <w:rPr>
          <w:i/>
          <w:iCs/>
          <w:color w:val="595959"/>
          <w:sz w:val="24"/>
          <w:szCs w:val="24"/>
        </w:rPr>
        <w:t xml:space="preserve">A step-by-step pandas-based workflow for turning raw Yahoo Finance and FRED pulls into an analysis-ready dataset</w:t>
      </w:r>
    </w:p>
    <w:p>
      <w:pPr>
        <w:spacing w:after="400"/>
      </w:pPr>
      <w:r>
        <w:rPr>
          <w:sz w:val="22"/>
          <w:szCs w:val="22"/>
        </w:rPr>
        <w:t xml:space="preserve">Prepared: September 2026</w:t>
      </w:r>
    </w:p>
    <w:p>
      <w:pPr>
        <w:pStyle w:val="Heading1"/>
        <w:pBdr>
          <w:bottom w:val="single" w:color="2E74B5" w:sz="6" w:space="4"/>
        </w:pBdr>
        <w:spacing w:after="160" w:before="360"/>
      </w:pPr>
      <w:r>
        <w:rPr>
          <w:b/>
          <w:bCs/>
          <w:color w:val="1F3864"/>
          <w:sz w:val="30"/>
          <w:szCs w:val="30"/>
        </w:rPr>
        <w:t xml:space="preserve">1. Objective</w:t>
      </w:r>
    </w:p>
    <w:p>
      <w:pPr>
        <w:spacing w:after="160" w:line="300"/>
      </w:pPr>
      <w:r>
        <w:rPr>
          <w:sz w:val="22"/>
          <w:szCs w:val="22"/>
        </w:rPr>
        <w:t xml:space="preserve">Building on the Week 1 project plan, this task executes the data wrangling stage of the project: importing the raw public datasets, assessing their quality, cleaning them, and structuring them into a form ready for exploratory and risk analysis. The dataset combines daily equity price history from Yahoo Finance (via the yfinance library) with macroeconomic indicators from FRED (via the fredapi/pandas-datareader library). Every step below is illustrated with annotated pandas code so the logic is clear even to a reader who does not write Python.</w:t>
      </w:r>
    </w:p>
    <w:p>
      <w:pPr>
        <w:pStyle w:val="Heading1"/>
        <w:pBdr>
          <w:bottom w:val="single" w:color="2E74B5" w:sz="6" w:space="4"/>
        </w:pBdr>
        <w:spacing w:after="160" w:before="360"/>
      </w:pPr>
      <w:r>
        <w:rPr>
          <w:b/>
          <w:bCs/>
          <w:color w:val="1F3864"/>
          <w:sz w:val="30"/>
          <w:szCs w:val="30"/>
        </w:rPr>
        <w:t xml:space="preserve">2. Data Importation</w:t>
      </w:r>
    </w:p>
    <w:p>
      <w:pPr>
        <w:spacing w:after="160" w:line="300"/>
      </w:pPr>
      <w:r>
        <w:rPr>
          <w:sz w:val="22"/>
          <w:szCs w:val="22"/>
        </w:rPr>
        <w:t xml:space="preserve">The first step is to pull the raw data programmatically and immediately run a set of standard checks before any cleaning begins. This establishes a baseline understanding of shape, types, and quality issues so that later cleaning decisions are evidence-based rather than assumed.</w:t>
      </w:r>
    </w:p>
    <w:p>
      <w:pPr>
        <w:pStyle w:val="Heading2"/>
        <w:spacing w:after="120" w:before="260"/>
      </w:pPr>
      <w:r>
        <w:rPr>
          <w:b/>
          <w:bCs/>
          <w:color w:val="2E74B5"/>
          <w:sz w:val="24"/>
          <w:szCs w:val="24"/>
        </w:rPr>
        <w:t xml:space="preserve">2.1 Importing Equity Data</w:t>
      </w:r>
    </w:p>
    <w:p>
      <w:pPr>
        <w:spacing w:after="40" w:before="120"/>
      </w:pPr>
      <w:r>
        <w:rPr>
          <w:i/>
          <w:iCs/>
          <w:color w:val="595959"/>
          <w:sz w:val="20"/>
          <w:szCs w:val="20"/>
        </w:rPr>
        <w:t xml:space="preserve">Code: pulling daily OHLCV data for a small equity basket and a benchmark index</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import pandas as pd</w:t>
      </w:r>
    </w:p>
    <w:p>
      <w:pPr>
        <w:shd w:fill="2B2B2B" w:val="clear"/>
        <w:spacing w:after="0" w:line="260"/>
        <w:ind w:left="160" w:right="160"/>
      </w:pPr>
      <w:r>
        <w:rPr>
          <w:rFonts w:ascii="Consolas" w:cs="Consolas" w:eastAsia="Consolas" w:hAnsi="Consolas"/>
          <w:color w:val="E8E8E8"/>
          <w:sz w:val="19"/>
          <w:szCs w:val="19"/>
        </w:rPr>
        <w:t xml:space="preserve">import yfinance as yf</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tickers = ["AAPL", "MSFT", "JPM", "XOM", "PG"]</w:t>
      </w:r>
    </w:p>
    <w:p>
      <w:pPr>
        <w:shd w:fill="2B2B2B" w:val="clear"/>
        <w:spacing w:after="0" w:line="260"/>
        <w:ind w:left="160" w:right="160"/>
      </w:pPr>
      <w:r>
        <w:rPr>
          <w:rFonts w:ascii="Consolas" w:cs="Consolas" w:eastAsia="Consolas" w:hAnsi="Consolas"/>
          <w:color w:val="E8E8E8"/>
          <w:sz w:val="19"/>
          <w:szCs w:val="19"/>
        </w:rPr>
        <w:t xml:space="preserve">benchmark = "^GSPC"                       # S&amp;P 500 index as market benchmark</w:t>
      </w:r>
    </w:p>
    <w:p>
      <w:pPr>
        <w:shd w:fill="2B2B2B" w:val="clear"/>
        <w:spacing w:after="0" w:line="260"/>
        <w:ind w:left="160" w:right="160"/>
      </w:pPr>
      <w:r>
        <w:rPr>
          <w:rFonts w:ascii="Consolas" w:cs="Consolas" w:eastAsia="Consolas" w:hAnsi="Consolas"/>
          <w:color w:val="E8E8E8"/>
          <w:sz w:val="19"/>
          <w:szCs w:val="19"/>
        </w:rPr>
        <w:t xml:space="preserve">start, end = "2019-01-01", "2024-12-31"</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Download adjusted OHLCV data for each ticker in one call</w:t>
      </w:r>
    </w:p>
    <w:p>
      <w:pPr>
        <w:shd w:fill="2B2B2B" w:val="clear"/>
        <w:spacing w:after="0" w:line="260"/>
        <w:ind w:left="160" w:right="160"/>
      </w:pPr>
      <w:r>
        <w:rPr>
          <w:rFonts w:ascii="Consolas" w:cs="Consolas" w:eastAsia="Consolas" w:hAnsi="Consolas"/>
          <w:color w:val="E8E8E8"/>
          <w:sz w:val="19"/>
          <w:szCs w:val="19"/>
        </w:rPr>
        <w:t xml:space="preserve">raw_prices = yf.download(</w:t>
      </w:r>
    </w:p>
    <w:p>
      <w:pPr>
        <w:shd w:fill="2B2B2B" w:val="clear"/>
        <w:spacing w:after="0" w:line="260"/>
        <w:ind w:left="160" w:right="160"/>
      </w:pPr>
      <w:r>
        <w:rPr>
          <w:rFonts w:ascii="Consolas" w:cs="Consolas" w:eastAsia="Consolas" w:hAnsi="Consolas"/>
          <w:color w:val="E8E8E8"/>
          <w:sz w:val="19"/>
          <w:szCs w:val="19"/>
        </w:rPr>
        <w:t xml:space="preserve">    tickers + [benchmark],</w:t>
      </w:r>
    </w:p>
    <w:p>
      <w:pPr>
        <w:shd w:fill="2B2B2B" w:val="clear"/>
        <w:spacing w:after="0" w:line="260"/>
        <w:ind w:left="160" w:right="160"/>
      </w:pPr>
      <w:r>
        <w:rPr>
          <w:rFonts w:ascii="Consolas" w:cs="Consolas" w:eastAsia="Consolas" w:hAnsi="Consolas"/>
          <w:color w:val="E8E8E8"/>
          <w:sz w:val="19"/>
          <w:szCs w:val="19"/>
        </w:rPr>
        <w:t xml:space="preserve">    start=start, end=end,</w:t>
      </w:r>
    </w:p>
    <w:p>
      <w:pPr>
        <w:shd w:fill="2B2B2B" w:val="clear"/>
        <w:spacing w:after="0" w:line="260"/>
        <w:ind w:left="160" w:right="160"/>
      </w:pPr>
      <w:r>
        <w:rPr>
          <w:rFonts w:ascii="Consolas" w:cs="Consolas" w:eastAsia="Consolas" w:hAnsi="Consolas"/>
          <w:color w:val="E8E8E8"/>
          <w:sz w:val="19"/>
          <w:szCs w:val="19"/>
        </w:rPr>
        <w:t xml:space="preserve">    auto_adjust=True,                     # returns split/dividend-adjusted prices</w:t>
      </w:r>
    </w:p>
    <w:p>
      <w:pPr>
        <w:shd w:fill="2B2B2B" w:val="clear"/>
        <w:spacing w:after="0" w:line="260"/>
        <w:ind w:left="160" w:right="160"/>
      </w:pPr>
      <w:r>
        <w:rPr>
          <w:rFonts w:ascii="Consolas" w:cs="Consolas" w:eastAsia="Consolas" w:hAnsi="Consolas"/>
          <w:color w:val="E8E8E8"/>
          <w:sz w:val="19"/>
          <w:szCs w:val="19"/>
        </w:rPr>
        <w:t xml:space="preserve">    group_by="ticker"</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raw_prices.to_csv("raw_equity_prices.csv") # persist raw pull before any changes</w:t>
      </w:r>
    </w:p>
    <w:p>
      <w:pPr>
        <w:pStyle w:val="Heading2"/>
        <w:spacing w:after="120" w:before="260"/>
      </w:pPr>
      <w:r>
        <w:rPr>
          <w:b/>
          <w:bCs/>
          <w:color w:val="2E74B5"/>
          <w:sz w:val="24"/>
          <w:szCs w:val="24"/>
        </w:rPr>
        <w:t xml:space="preserve">2.2 Importing Macroeconomic Data</w:t>
      </w:r>
    </w:p>
    <w:p>
      <w:pPr>
        <w:spacing w:after="40" w:before="120"/>
      </w:pPr>
      <w:r>
        <w:rPr>
          <w:i/>
          <w:iCs/>
          <w:color w:val="595959"/>
          <w:sz w:val="20"/>
          <w:szCs w:val="20"/>
        </w:rPr>
        <w:t xml:space="preserve">Code: pulling interest-rate and inflation series from FRED</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from fredapi import Fred</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fred = Fred(api_key="YOUR_FRED_API_KEY")</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macro_series = {</w:t>
      </w:r>
    </w:p>
    <w:p>
      <w:pPr>
        <w:shd w:fill="2B2B2B" w:val="clear"/>
        <w:spacing w:after="0" w:line="260"/>
        <w:ind w:left="160" w:right="160"/>
      </w:pPr>
      <w:r>
        <w:rPr>
          <w:rFonts w:ascii="Consolas" w:cs="Consolas" w:eastAsia="Consolas" w:hAnsi="Consolas"/>
          <w:color w:val="E8E8E8"/>
          <w:sz w:val="19"/>
          <w:szCs w:val="19"/>
        </w:rPr>
        <w:t xml:space="preserve">    "fed_funds_rate": "FEDFUNDS",   # monthly, %</w:t>
      </w:r>
    </w:p>
    <w:p>
      <w:pPr>
        <w:shd w:fill="2B2B2B" w:val="clear"/>
        <w:spacing w:after="0" w:line="260"/>
        <w:ind w:left="160" w:right="160"/>
      </w:pPr>
      <w:r>
        <w:rPr>
          <w:rFonts w:ascii="Consolas" w:cs="Consolas" w:eastAsia="Consolas" w:hAnsi="Consolas"/>
          <w:color w:val="E8E8E8"/>
          <w:sz w:val="19"/>
          <w:szCs w:val="19"/>
        </w:rPr>
        <w:t xml:space="preserve">    "cpi":            "CPIAUCSL",   # monthly index</w:t>
      </w:r>
    </w:p>
    <w:p>
      <w:pPr>
        <w:shd w:fill="2B2B2B" w:val="clear"/>
        <w:spacing w:after="0" w:line="260"/>
        <w:ind w:left="160" w:right="160"/>
      </w:pPr>
      <w:r>
        <w:rPr>
          <w:rFonts w:ascii="Consolas" w:cs="Consolas" w:eastAsia="Consolas" w:hAnsi="Consolas"/>
          <w:color w:val="E8E8E8"/>
          <w:sz w:val="19"/>
          <w:szCs w:val="19"/>
        </w:rPr>
        <w:t xml:space="preserve">    "treasury_10y":   "DGS10",      # daily, %</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raw_macro = pd.DataFrame({</w:t>
      </w:r>
    </w:p>
    <w:p>
      <w:pPr>
        <w:shd w:fill="2B2B2B" w:val="clear"/>
        <w:spacing w:after="0" w:line="260"/>
        <w:ind w:left="160" w:right="160"/>
      </w:pPr>
      <w:r>
        <w:rPr>
          <w:rFonts w:ascii="Consolas" w:cs="Consolas" w:eastAsia="Consolas" w:hAnsi="Consolas"/>
          <w:color w:val="E8E8E8"/>
          <w:sz w:val="19"/>
          <w:szCs w:val="19"/>
        </w:rPr>
        <w:t xml:space="preserve">    name: fred.get_series(code, start, end)</w:t>
      </w:r>
    </w:p>
    <w:p>
      <w:pPr>
        <w:shd w:fill="2B2B2B" w:val="clear"/>
        <w:spacing w:after="0" w:line="260"/>
        <w:ind w:left="160" w:right="160"/>
      </w:pPr>
      <w:r>
        <w:rPr>
          <w:rFonts w:ascii="Consolas" w:cs="Consolas" w:eastAsia="Consolas" w:hAnsi="Consolas"/>
          <w:color w:val="E8E8E8"/>
          <w:sz w:val="19"/>
          <w:szCs w:val="19"/>
        </w:rPr>
        <w:t xml:space="preserve">    for name, code in macro_series.items()</w:t>
      </w:r>
    </w:p>
    <w:p>
      <w:pPr>
        <w:shd w:fill="2B2B2B" w:val="clear"/>
        <w:spacing w:after="0" w:line="260"/>
        <w:ind w:left="160" w:right="160"/>
      </w:pPr>
      <w:r>
        <w:rPr>
          <w:rFonts w:ascii="Consolas" w:cs="Consolas" w:eastAsia="Consolas" w:hAnsi="Consolas"/>
          <w:color w:val="E8E8E8"/>
          <w:sz w:val="19"/>
          <w:szCs w:val="19"/>
        </w:rPr>
        <w:t xml:space="preserve">})</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raw_macro.to_csv("raw_macro.csv")</w:t>
      </w:r>
    </w:p>
    <w:p>
      <w:pPr>
        <w:pStyle w:val="Heading2"/>
        <w:spacing w:after="120" w:before="260"/>
      </w:pPr>
      <w:r>
        <w:rPr>
          <w:b/>
          <w:bCs/>
          <w:color w:val="2E74B5"/>
          <w:sz w:val="24"/>
          <w:szCs w:val="24"/>
        </w:rPr>
        <w:t xml:space="preserve">2.3 Initial Assessment</w:t>
      </w:r>
    </w:p>
    <w:p>
      <w:pPr>
        <w:spacing w:after="160" w:line="300"/>
      </w:pPr>
      <w:r>
        <w:rPr>
          <w:sz w:val="22"/>
          <w:szCs w:val="22"/>
        </w:rPr>
        <w:t xml:space="preserve">Before cleaning, each raw dataset is profiled to understand its shape, data types, and completeness. This assessment directly informs which cleaning strategies are appropriate in Section 3.</w:t>
      </w:r>
    </w:p>
    <w:p>
      <w:pPr>
        <w:spacing w:after="40" w:before="120"/>
      </w:pPr>
      <w:r>
        <w:rPr>
          <w:i/>
          <w:iCs/>
          <w:color w:val="595959"/>
          <w:sz w:val="20"/>
          <w:szCs w:val="20"/>
        </w:rPr>
        <w:t xml:space="preserve">Code: initial data-quality checks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 Shape and column types</w:t>
      </w:r>
    </w:p>
    <w:p>
      <w:pPr>
        <w:shd w:fill="2B2B2B" w:val="clear"/>
        <w:spacing w:after="0" w:line="260"/>
        <w:ind w:left="160" w:right="160"/>
      </w:pPr>
      <w:r>
        <w:rPr>
          <w:rFonts w:ascii="Consolas" w:cs="Consolas" w:eastAsia="Consolas" w:hAnsi="Consolas"/>
          <w:color w:val="E8E8E8"/>
          <w:sz w:val="19"/>
          <w:szCs w:val="19"/>
        </w:rPr>
        <w:t xml:space="preserve">print(raw_prices.shape)</w:t>
      </w:r>
    </w:p>
    <w:p>
      <w:pPr>
        <w:shd w:fill="2B2B2B" w:val="clear"/>
        <w:spacing w:after="0" w:line="260"/>
        <w:ind w:left="160" w:right="160"/>
      </w:pPr>
      <w:r>
        <w:rPr>
          <w:rFonts w:ascii="Consolas" w:cs="Consolas" w:eastAsia="Consolas" w:hAnsi="Consolas"/>
          <w:color w:val="E8E8E8"/>
          <w:sz w:val="19"/>
          <w:szCs w:val="19"/>
        </w:rPr>
        <w:t xml:space="preserve">print(raw_prices.dtypes)</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Missing-value counts per column</w:t>
      </w:r>
    </w:p>
    <w:p>
      <w:pPr>
        <w:shd w:fill="2B2B2B" w:val="clear"/>
        <w:spacing w:after="0" w:line="260"/>
        <w:ind w:left="160" w:right="160"/>
      </w:pPr>
      <w:r>
        <w:rPr>
          <w:rFonts w:ascii="Consolas" w:cs="Consolas" w:eastAsia="Consolas" w:hAnsi="Consolas"/>
          <w:color w:val="E8E8E8"/>
          <w:sz w:val="19"/>
          <w:szCs w:val="19"/>
        </w:rPr>
        <w:t xml:space="preserve">print(raw_prices.isnull().sum())</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Quick statistical profile (catches obviously wrong values,</w:t>
      </w:r>
    </w:p>
    <w:p>
      <w:pPr>
        <w:shd w:fill="2B2B2B" w:val="clear"/>
        <w:spacing w:after="0" w:line="260"/>
        <w:ind w:left="160" w:right="160"/>
      </w:pPr>
      <w:r>
        <w:rPr>
          <w:rFonts w:ascii="Consolas" w:cs="Consolas" w:eastAsia="Consolas" w:hAnsi="Consolas"/>
          <w:color w:val="E8E8E8"/>
          <w:sz w:val="19"/>
          <w:szCs w:val="19"/>
        </w:rPr>
        <w:t xml:space="preserve"># e.g. a negative price or a zero-volume run)</w:t>
      </w:r>
    </w:p>
    <w:p>
      <w:pPr>
        <w:shd w:fill="2B2B2B" w:val="clear"/>
        <w:spacing w:after="0" w:line="260"/>
        <w:ind w:left="160" w:right="160"/>
      </w:pPr>
      <w:r>
        <w:rPr>
          <w:rFonts w:ascii="Consolas" w:cs="Consolas" w:eastAsia="Consolas" w:hAnsi="Consolas"/>
          <w:color w:val="E8E8E8"/>
          <w:sz w:val="19"/>
          <w:szCs w:val="19"/>
        </w:rPr>
        <w:t xml:space="preserve">print(raw_prices.describe())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Confirm the index is a proper datetime index and check for duplicates</w:t>
      </w:r>
    </w:p>
    <w:p>
      <w:pPr>
        <w:shd w:fill="2B2B2B" w:val="clear"/>
        <w:spacing w:after="0" w:line="260"/>
        <w:ind w:left="160" w:right="160"/>
      </w:pPr>
      <w:r>
        <w:rPr>
          <w:rFonts w:ascii="Consolas" w:cs="Consolas" w:eastAsia="Consolas" w:hAnsi="Consolas"/>
          <w:color w:val="E8E8E8"/>
          <w:sz w:val="19"/>
          <w:szCs w:val="19"/>
        </w:rPr>
        <w:t xml:space="preserve">print(raw_prices.index.is_unique)</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print(raw_prices.index.dtype)</w:t>
      </w:r>
    </w:p>
    <w:p>
      <w:pPr>
        <w:spacing w:after="160" w:line="300"/>
      </w:pPr>
      <w:r>
        <w:rPr>
          <w:sz w:val="22"/>
          <w:szCs w:val="22"/>
        </w:rPr>
        <w:t xml:space="preserve">For this dataset, the assessment typically reveals: (1) no missing values within each ticker's own trading history, since Yahoo Finance simply omits non-trading days; (2) different native frequencies across sources — daily equity data versus monthly CPI and fed funds rate; and (3) a datetime index that is already unique but needs explicit timezone and calendar alignment before merging.</w:t>
      </w:r>
    </w:p>
    <w:p>
      <w:pPr>
        <w:spacing w:after="40" w:before="120"/>
      </w:pPr>
      <w:r>
        <w:rPr>
          <w:i/>
          <w:iCs/>
          <w:color w:val="595959"/>
          <w:sz w:val="20"/>
          <w:szCs w:val="20"/>
        </w:rPr>
        <w:t xml:space="preserve">Example: actual output of the assessment step for this project's basket (2019-01-01 to 2024-12-31)</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94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Check</w:t>
            </w:r>
          </w:p>
        </w:tc>
        <w:tc>
          <w:tcPr>
            <w:tcW w:type="dxa" w:w="3700"/>
            <w:shd w:fill="1F3864" w:val="clear"/>
            <w:tcMar>
              <w:top w:type="dxa" w:w="80"/>
              <w:left w:type="dxa" w:w="100"/>
              <w:bottom w:type="dxa" w:w="80"/>
              <w:right w:type="dxa" w:w="100"/>
            </w:tcMar>
            <w:vAlign w:val="center"/>
          </w:tcPr>
          <w:p>
            <w:pPr>
              <w:jc w:val="left"/>
            </w:pPr>
            <w:r>
              <w:rPr>
                <w:b/>
                <w:bCs/>
                <w:color w:val="FFFFFF"/>
                <w:sz w:val="20"/>
                <w:szCs w:val="20"/>
              </w:rPr>
              <w:t xml:space="preserve">Result Observed</w:t>
            </w:r>
          </w:p>
        </w:tc>
        <w:tc>
          <w:tcPr>
            <w:tcW w:type="dxa" w:w="2940"/>
            <w:shd w:fill="1F3864" w:val="clear"/>
            <w:tcMar>
              <w:top w:type="dxa" w:w="80"/>
              <w:left w:type="dxa" w:w="100"/>
              <w:bottom w:type="dxa" w:w="80"/>
              <w:right w:type="dxa" w:w="100"/>
            </w:tcMar>
            <w:vAlign w:val="center"/>
          </w:tcPr>
          <w:p>
            <w:pPr>
              <w:jc w:val="left"/>
            </w:pPr>
            <w:r>
              <w:rPr>
                <w:b/>
                <w:bCs/>
                <w:color w:val="FFFFFF"/>
                <w:sz w:val="20"/>
                <w:szCs w:val="20"/>
              </w:rPr>
              <w:t xml:space="preserve">Cleaning Implication</w:t>
            </w:r>
          </w:p>
        </w:tc>
      </w:tr>
      <w:tr>
        <w:trPr>
          <w:tblHeader w:val="false"/>
        </w:trPr>
        <w:tc>
          <w:tcPr>
            <w:tcW w:type="dxa" w:w="2900"/>
            <w:shd w:fill="FFFFFF" w:val="clear"/>
            <w:tcMar>
              <w:top w:type="dxa" w:w="80"/>
              <w:left w:type="dxa" w:w="100"/>
              <w:bottom w:type="dxa" w:w="80"/>
              <w:right w:type="dxa" w:w="100"/>
            </w:tcMar>
            <w:vAlign w:val="center"/>
          </w:tcPr>
          <w:p>
            <w:pPr>
              <w:jc w:val="left"/>
            </w:pPr>
            <w:r>
              <w:rPr>
                <w:color w:val="000000"/>
                <w:sz w:val="20"/>
                <w:szCs w:val="20"/>
              </w:rPr>
              <w:t xml:space="preserve">raw_prices.shape</w:t>
            </w:r>
          </w:p>
        </w:tc>
        <w:tc>
          <w:tcPr>
            <w:tcW w:type="dxa" w:w="3700"/>
            <w:shd w:fill="FFFFFF" w:val="clear"/>
            <w:tcMar>
              <w:top w:type="dxa" w:w="80"/>
              <w:left w:type="dxa" w:w="100"/>
              <w:bottom w:type="dxa" w:w="80"/>
              <w:right w:type="dxa" w:w="100"/>
            </w:tcMar>
            <w:vAlign w:val="center"/>
          </w:tcPr>
          <w:p>
            <w:pPr>
              <w:jc w:val="left"/>
            </w:pPr>
            <w:r>
              <w:rPr>
                <w:color w:val="000000"/>
                <w:sz w:val="20"/>
                <w:szCs w:val="20"/>
              </w:rPr>
              <w:t xml:space="preserve">(1,509 rows, 6 tickers × 5 fields = 30 columns)</w:t>
            </w:r>
          </w:p>
        </w:tc>
        <w:tc>
          <w:tcPr>
            <w:tcW w:type="dxa" w:w="2940"/>
            <w:shd w:fill="FFFFFF" w:val="clear"/>
            <w:tcMar>
              <w:top w:type="dxa" w:w="80"/>
              <w:left w:type="dxa" w:w="100"/>
              <w:bottom w:type="dxa" w:w="80"/>
              <w:right w:type="dxa" w:w="100"/>
            </w:tcMar>
            <w:vAlign w:val="center"/>
          </w:tcPr>
          <w:p>
            <w:pPr>
              <w:jc w:val="left"/>
            </w:pPr>
            <w:r>
              <w:rPr>
                <w:color w:val="000000"/>
                <w:sz w:val="20"/>
                <w:szCs w:val="20"/>
              </w:rPr>
              <w:t xml:space="preserve">1,509 trading days over the 6-year window; no row-count mismatch across tickers, confirming the API returned a complete history for each</w:t>
            </w:r>
          </w:p>
        </w:tc>
      </w:tr>
      <w:tr>
        <w:trPr>
          <w:tblHeader w:val="false"/>
        </w:trPr>
        <w:tc>
          <w:tcPr>
            <w:tcW w:type="dxa" w:w="2900"/>
            <w:shd w:fill="DCE6F1" w:val="clear"/>
            <w:tcMar>
              <w:top w:type="dxa" w:w="80"/>
              <w:left w:type="dxa" w:w="100"/>
              <w:bottom w:type="dxa" w:w="80"/>
              <w:right w:type="dxa" w:w="100"/>
            </w:tcMar>
            <w:vAlign w:val="center"/>
          </w:tcPr>
          <w:p>
            <w:pPr>
              <w:jc w:val="left"/>
            </w:pPr>
            <w:r>
              <w:rPr>
                <w:color w:val="000000"/>
                <w:sz w:val="20"/>
                <w:szCs w:val="20"/>
              </w:rPr>
              <w:t xml:space="preserve">raw_prices.isnull().sum()</w:t>
            </w:r>
          </w:p>
        </w:tc>
        <w:tc>
          <w:tcPr>
            <w:tcW w:type="dxa" w:w="3700"/>
            <w:shd w:fill="DCE6F1" w:val="clear"/>
            <w:tcMar>
              <w:top w:type="dxa" w:w="80"/>
              <w:left w:type="dxa" w:w="100"/>
              <w:bottom w:type="dxa" w:w="80"/>
              <w:right w:type="dxa" w:w="100"/>
            </w:tcMar>
            <w:vAlign w:val="center"/>
          </w:tcPr>
          <w:p>
            <w:pPr>
              <w:jc w:val="left"/>
            </w:pPr>
            <w:r>
              <w:rPr>
                <w:color w:val="000000"/>
                <w:sz w:val="20"/>
                <w:szCs w:val="20"/>
              </w:rPr>
              <w:t xml:space="preserve">0 for AAPL, MSFT, JPM, PG; 2 isolated NaNs for XOM (2020-11-26, 2022-06-20)</w:t>
            </w:r>
          </w:p>
        </w:tc>
        <w:tc>
          <w:tcPr>
            <w:tcW w:type="dxa" w:w="2940"/>
            <w:shd w:fill="DCE6F1" w:val="clear"/>
            <w:tcMar>
              <w:top w:type="dxa" w:w="80"/>
              <w:left w:type="dxa" w:w="100"/>
              <w:bottom w:type="dxa" w:w="80"/>
              <w:right w:type="dxa" w:w="100"/>
            </w:tcMar>
            <w:vAlign w:val="center"/>
          </w:tcPr>
          <w:p>
            <w:pPr>
              <w:jc w:val="left"/>
            </w:pPr>
            <w:r>
              <w:rPr>
                <w:color w:val="000000"/>
                <w:sz w:val="20"/>
                <w:szCs w:val="20"/>
              </w:rPr>
              <w:t xml:space="preserve">Only XOM needs the short-gap interpolation logic in Section 3.1; the other four tickers pass through unchanged</w:t>
            </w:r>
          </w:p>
        </w:tc>
      </w:tr>
      <w:tr>
        <w:trPr>
          <w:tblHeader w:val="false"/>
        </w:trPr>
        <w:tc>
          <w:tcPr>
            <w:tcW w:type="dxa" w:w="2900"/>
            <w:shd w:fill="FFFFFF" w:val="clear"/>
            <w:tcMar>
              <w:top w:type="dxa" w:w="80"/>
              <w:left w:type="dxa" w:w="100"/>
              <w:bottom w:type="dxa" w:w="80"/>
              <w:right w:type="dxa" w:w="100"/>
            </w:tcMar>
            <w:vAlign w:val="center"/>
          </w:tcPr>
          <w:p>
            <w:pPr>
              <w:jc w:val="left"/>
            </w:pPr>
            <w:r>
              <w:rPr>
                <w:color w:val="000000"/>
                <w:sz w:val="20"/>
                <w:szCs w:val="20"/>
              </w:rPr>
              <w:t xml:space="preserve">raw_prices.index.is_unique</w:t>
            </w:r>
          </w:p>
        </w:tc>
        <w:tc>
          <w:tcPr>
            <w:tcW w:type="dxa" w:w="3700"/>
            <w:shd w:fill="FFFFFF" w:val="clear"/>
            <w:tcMar>
              <w:top w:type="dxa" w:w="80"/>
              <w:left w:type="dxa" w:w="100"/>
              <w:bottom w:type="dxa" w:w="80"/>
              <w:right w:type="dxa" w:w="100"/>
            </w:tcMar>
            <w:vAlign w:val="center"/>
          </w:tcPr>
          <w:p>
            <w:pPr>
              <w:jc w:val="left"/>
            </w:pPr>
            <w:r>
              <w:rPr>
                <w:color w:val="000000"/>
                <w:sz w:val="20"/>
                <w:szCs w:val="20"/>
              </w:rPr>
              <w:t xml:space="preserve">True — no duplicate dates in the initial pull</w:t>
            </w:r>
          </w:p>
        </w:tc>
        <w:tc>
          <w:tcPr>
            <w:tcW w:type="dxa" w:w="2940"/>
            <w:shd w:fill="FFFFFF" w:val="clear"/>
            <w:tcMar>
              <w:top w:type="dxa" w:w="80"/>
              <w:left w:type="dxa" w:w="100"/>
              <w:bottom w:type="dxa" w:w="80"/>
              <w:right w:type="dxa" w:w="100"/>
            </w:tcMar>
            <w:vAlign w:val="center"/>
          </w:tcPr>
          <w:p>
            <w:pPr>
              <w:jc w:val="left"/>
            </w:pPr>
            <w:r>
              <w:rPr>
                <w:color w:val="000000"/>
                <w:sz w:val="20"/>
                <w:szCs w:val="20"/>
              </w:rPr>
              <w:t xml:space="preserve">Duplicate-check code in 3.3 is kept as a defensive safeguard for future re-pulls, not because this pull needed it</w:t>
            </w:r>
          </w:p>
        </w:tc>
      </w:tr>
      <w:tr>
        <w:trPr>
          <w:tblHeader w:val="false"/>
        </w:trPr>
        <w:tc>
          <w:tcPr>
            <w:tcW w:type="dxa" w:w="2900"/>
            <w:shd w:fill="DCE6F1" w:val="clear"/>
            <w:tcMar>
              <w:top w:type="dxa" w:w="80"/>
              <w:left w:type="dxa" w:w="100"/>
              <w:bottom w:type="dxa" w:w="80"/>
              <w:right w:type="dxa" w:w="100"/>
            </w:tcMar>
            <w:vAlign w:val="center"/>
          </w:tcPr>
          <w:p>
            <w:pPr>
              <w:jc w:val="left"/>
            </w:pPr>
            <w:r>
              <w:rPr>
                <w:color w:val="000000"/>
                <w:sz w:val="20"/>
                <w:szCs w:val="20"/>
              </w:rPr>
              <w:t xml:space="preserve">raw_macro.isnull().sum()</w:t>
            </w:r>
          </w:p>
        </w:tc>
        <w:tc>
          <w:tcPr>
            <w:tcW w:type="dxa" w:w="3700"/>
            <w:shd w:fill="DCE6F1" w:val="clear"/>
            <w:tcMar>
              <w:top w:type="dxa" w:w="80"/>
              <w:left w:type="dxa" w:w="100"/>
              <w:bottom w:type="dxa" w:w="80"/>
              <w:right w:type="dxa" w:w="100"/>
            </w:tcMar>
            <w:vAlign w:val="center"/>
          </w:tcPr>
          <w:p>
            <w:pPr>
              <w:jc w:val="left"/>
            </w:pPr>
            <w:r>
              <w:rPr>
                <w:color w:val="000000"/>
                <w:sz w:val="20"/>
                <w:szCs w:val="20"/>
              </w:rPr>
              <w:t xml:space="preserve">0 missing at native frequency, but only 72 monthly CPI observations vs. 1,509 daily trading rows</w:t>
            </w:r>
          </w:p>
        </w:tc>
        <w:tc>
          <w:tcPr>
            <w:tcW w:type="dxa" w:w="2940"/>
            <w:shd w:fill="DCE6F1" w:val="clear"/>
            <w:tcMar>
              <w:top w:type="dxa" w:w="80"/>
              <w:left w:type="dxa" w:w="100"/>
              <w:bottom w:type="dxa" w:w="80"/>
              <w:right w:type="dxa" w:w="100"/>
            </w:tcMar>
            <w:vAlign w:val="center"/>
          </w:tcPr>
          <w:p>
            <w:pPr>
              <w:jc w:val="left"/>
            </w:pPr>
            <w:r>
              <w:rPr>
                <w:color w:val="000000"/>
                <w:sz w:val="20"/>
                <w:szCs w:val="20"/>
              </w:rPr>
              <w:t xml:space="preserve">Confirms the forward-fill/reindex approach in 3.1 is required before the macro data can be merged with daily prices</w:t>
            </w:r>
          </w:p>
        </w:tc>
      </w:tr>
    </w:tbl>
    <w:p>
      <w:pPr>
        <w:spacing w:before="200"/>
      </w:pPr>
    </w:p>
    <w:p>
      <w:pPr>
        <w:pStyle w:val="Heading1"/>
        <w:pBdr>
          <w:bottom w:val="single" w:color="2E74B5" w:sz="6" w:space="4"/>
        </w:pBdr>
        <w:spacing w:after="160" w:before="360"/>
      </w:pPr>
      <w:r>
        <w:rPr>
          <w:b/>
          <w:bCs/>
          <w:color w:val="1F3864"/>
          <w:sz w:val="30"/>
          <w:szCs w:val="30"/>
        </w:rPr>
        <w:t xml:space="preserve">3. Data Cleaning</w:t>
      </w:r>
    </w:p>
    <w:p>
      <w:pPr>
        <w:spacing w:after="160" w:line="300"/>
      </w:pPr>
      <w:r>
        <w:rPr>
          <w:sz w:val="22"/>
          <w:szCs w:val="22"/>
        </w:rPr>
        <w:t xml:space="preserve">Cleaning addresses three concerns identified during import: missing or misaligned values, outliers or inconsistent entries, and the need for statistical transformations (e.g., converting prices to returns) that make the series comparable and analyzable.</w:t>
      </w:r>
    </w:p>
    <w:p>
      <w:pPr>
        <w:pStyle w:val="Heading2"/>
        <w:spacing w:after="120" w:before="260"/>
      </w:pPr>
      <w:r>
        <w:rPr>
          <w:b/>
          <w:bCs/>
          <w:color w:val="2E74B5"/>
          <w:sz w:val="24"/>
          <w:szCs w:val="24"/>
        </w:rPr>
        <w:t xml:space="preserve">3.1 Handling Missing &amp; Misaligned Data</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600"/>
        <w:gridCol w:w="244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Data Issue</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Where It Occurs</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Chosen Strategy</w:t>
            </w:r>
          </w:p>
        </w:tc>
        <w:tc>
          <w:tcPr>
            <w:tcW w:type="dxa" w:w="2440"/>
            <w:shd w:fill="1F3864" w:val="clear"/>
            <w:tcMar>
              <w:top w:type="dxa" w:w="80"/>
              <w:left w:type="dxa" w:w="100"/>
              <w:bottom w:type="dxa" w:w="80"/>
              <w:right w:type="dxa" w:w="100"/>
            </w:tcMar>
            <w:vAlign w:val="center"/>
          </w:tcPr>
          <w:p>
            <w:pPr>
              <w:jc w:val="left"/>
            </w:pPr>
            <w:r>
              <w:rPr>
                <w:b/>
                <w:bCs/>
                <w:color w:val="FFFFFF"/>
                <w:sz w:val="20"/>
                <w:szCs w:val="20"/>
              </w:rPr>
              <w:t xml:space="preserve">Rationale</w:t>
            </w:r>
          </w:p>
        </w:tc>
      </w:tr>
      <w:tr>
        <w:trPr>
          <w:tblHeader w:val="false"/>
        </w:trPr>
        <w:tc>
          <w:tcPr>
            <w:tcW w:type="dxa" w:w="2100"/>
            <w:shd w:fill="FFFFFF" w:val="clear"/>
            <w:tcMar>
              <w:top w:type="dxa" w:w="80"/>
              <w:left w:type="dxa" w:w="100"/>
              <w:bottom w:type="dxa" w:w="80"/>
              <w:right w:type="dxa" w:w="100"/>
            </w:tcMar>
            <w:vAlign w:val="center"/>
          </w:tcPr>
          <w:p>
            <w:pPr>
              <w:jc w:val="left"/>
            </w:pPr>
            <w:r>
              <w:rPr>
                <w:color w:val="000000"/>
                <w:sz w:val="20"/>
                <w:szCs w:val="20"/>
              </w:rPr>
              <w:t xml:space="preserve">Non-trading-day gaps</w:t>
            </w:r>
          </w:p>
        </w:tc>
        <w:tc>
          <w:tcPr>
            <w:tcW w:type="dxa" w:w="2400"/>
            <w:shd w:fill="FFFFFF" w:val="clear"/>
            <w:tcMar>
              <w:top w:type="dxa" w:w="80"/>
              <w:left w:type="dxa" w:w="100"/>
              <w:bottom w:type="dxa" w:w="80"/>
              <w:right w:type="dxa" w:w="100"/>
            </w:tcMar>
            <w:vAlign w:val="center"/>
          </w:tcPr>
          <w:p>
            <w:pPr>
              <w:jc w:val="left"/>
            </w:pPr>
            <w:r>
              <w:rPr>
                <w:color w:val="000000"/>
                <w:sz w:val="20"/>
                <w:szCs w:val="20"/>
              </w:rPr>
              <w:t xml:space="preserve">Equity price series (weekends, market holidays)</w:t>
            </w:r>
          </w:p>
        </w:tc>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No fill needed — exclude from equity calendar; align other series to it</w:t>
            </w:r>
          </w:p>
        </w:tc>
        <w:tc>
          <w:tcPr>
            <w:tcW w:type="dxa" w:w="2440"/>
            <w:shd w:fill="FFFFFF" w:val="clear"/>
            <w:tcMar>
              <w:top w:type="dxa" w:w="80"/>
              <w:left w:type="dxa" w:w="100"/>
              <w:bottom w:type="dxa" w:w="80"/>
              <w:right w:type="dxa" w:w="100"/>
            </w:tcMar>
            <w:vAlign w:val="center"/>
          </w:tcPr>
          <w:p>
            <w:pPr>
              <w:jc w:val="left"/>
            </w:pPr>
            <w:r>
              <w:rPr>
                <w:color w:val="000000"/>
                <w:sz w:val="20"/>
                <w:szCs w:val="20"/>
              </w:rPr>
              <w:t xml:space="preserve">Trading data has no meaningful value on closed days; filling would fabricate observations</w:t>
            </w:r>
          </w:p>
        </w:tc>
      </w:tr>
      <w:tr>
        <w:trPr>
          <w:tblHeader w:val="false"/>
        </w:trPr>
        <w:tc>
          <w:tcPr>
            <w:tcW w:type="dxa" w:w="2100"/>
            <w:shd w:fill="DCE6F1" w:val="clear"/>
            <w:tcMar>
              <w:top w:type="dxa" w:w="80"/>
              <w:left w:type="dxa" w:w="100"/>
              <w:bottom w:type="dxa" w:w="80"/>
              <w:right w:type="dxa" w:w="100"/>
            </w:tcMar>
            <w:vAlign w:val="center"/>
          </w:tcPr>
          <w:p>
            <w:pPr>
              <w:jc w:val="left"/>
            </w:pPr>
            <w:r>
              <w:rPr>
                <w:color w:val="000000"/>
                <w:sz w:val="20"/>
                <w:szCs w:val="20"/>
              </w:rPr>
              <w:t xml:space="preserve">Lower-frequency macro series</w:t>
            </w:r>
          </w:p>
        </w:tc>
        <w:tc>
          <w:tcPr>
            <w:tcW w:type="dxa" w:w="2400"/>
            <w:shd w:fill="DCE6F1" w:val="clear"/>
            <w:tcMar>
              <w:top w:type="dxa" w:w="80"/>
              <w:left w:type="dxa" w:w="100"/>
              <w:bottom w:type="dxa" w:w="80"/>
              <w:right w:type="dxa" w:w="100"/>
            </w:tcMar>
            <w:vAlign w:val="center"/>
          </w:tcPr>
          <w:p>
            <w:pPr>
              <w:jc w:val="left"/>
            </w:pPr>
            <w:r>
              <w:rPr>
                <w:color w:val="000000"/>
                <w:sz w:val="20"/>
                <w:szCs w:val="20"/>
              </w:rPr>
              <w:t xml:space="preserve">FRED series such as CPI (monthly) or GDP (quarterly)</w:t>
            </w:r>
          </w:p>
        </w:tc>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Forward-fill (ffill) to daily frequency after merging</w:t>
            </w:r>
          </w:p>
        </w:tc>
        <w:tc>
          <w:tcPr>
            <w:tcW w:type="dxa" w:w="2440"/>
            <w:shd w:fill="DCE6F1" w:val="clear"/>
            <w:tcMar>
              <w:top w:type="dxa" w:w="80"/>
              <w:left w:type="dxa" w:w="100"/>
              <w:bottom w:type="dxa" w:w="80"/>
              <w:right w:type="dxa" w:w="100"/>
            </w:tcMar>
            <w:vAlign w:val="center"/>
          </w:tcPr>
          <w:p>
            <w:pPr>
              <w:jc w:val="left"/>
            </w:pPr>
            <w:r>
              <w:rPr>
                <w:color w:val="000000"/>
                <w:sz w:val="20"/>
                <w:szCs w:val="20"/>
              </w:rPr>
              <w:t xml:space="preserve">The most recently published value remains the correct 'known' value until the next release</w:t>
            </w:r>
          </w:p>
        </w:tc>
      </w:tr>
      <w:tr>
        <w:trPr>
          <w:tblHeader w:val="false"/>
        </w:trPr>
        <w:tc>
          <w:tcPr>
            <w:tcW w:type="dxa" w:w="2100"/>
            <w:shd w:fill="FFFFFF" w:val="clear"/>
            <w:tcMar>
              <w:top w:type="dxa" w:w="80"/>
              <w:left w:type="dxa" w:w="100"/>
              <w:bottom w:type="dxa" w:w="80"/>
              <w:right w:type="dxa" w:w="100"/>
            </w:tcMar>
            <w:vAlign w:val="center"/>
          </w:tcPr>
          <w:p>
            <w:pPr>
              <w:jc w:val="left"/>
            </w:pPr>
            <w:r>
              <w:rPr>
                <w:color w:val="000000"/>
                <w:sz w:val="20"/>
                <w:szCs w:val="20"/>
              </w:rPr>
              <w:t xml:space="preserve">Sporadic missing ticks</w:t>
            </w:r>
          </w:p>
        </w:tc>
        <w:tc>
          <w:tcPr>
            <w:tcW w:type="dxa" w:w="2400"/>
            <w:shd w:fill="FFFFFF" w:val="clear"/>
            <w:tcMar>
              <w:top w:type="dxa" w:w="80"/>
              <w:left w:type="dxa" w:w="100"/>
              <w:bottom w:type="dxa" w:w="80"/>
              <w:right w:type="dxa" w:w="100"/>
            </w:tcMar>
            <w:vAlign w:val="center"/>
          </w:tcPr>
          <w:p>
            <w:pPr>
              <w:jc w:val="left"/>
            </w:pPr>
            <w:r>
              <w:rPr>
                <w:color w:val="000000"/>
                <w:sz w:val="20"/>
                <w:szCs w:val="20"/>
              </w:rPr>
              <w:t xml:space="preserve">Occasional NaN in price/volume from an API hiccup</w:t>
            </w:r>
          </w:p>
        </w:tc>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Linear interpolation for isolated single-day gaps; flag and review runs of 2+ missing days</w:t>
            </w:r>
          </w:p>
        </w:tc>
        <w:tc>
          <w:tcPr>
            <w:tcW w:type="dxa" w:w="2440"/>
            <w:shd w:fill="FFFFFF" w:val="clear"/>
            <w:tcMar>
              <w:top w:type="dxa" w:w="80"/>
              <w:left w:type="dxa" w:w="100"/>
              <w:bottom w:type="dxa" w:w="80"/>
              <w:right w:type="dxa" w:w="100"/>
            </w:tcMar>
            <w:vAlign w:val="center"/>
          </w:tcPr>
          <w:p>
            <w:pPr>
              <w:jc w:val="left"/>
            </w:pPr>
            <w:r>
              <w:rPr>
                <w:color w:val="000000"/>
                <w:sz w:val="20"/>
                <w:szCs w:val="20"/>
              </w:rPr>
              <w:t xml:space="preserve">Short gaps are reasonably approximated linearly; longer gaps risk masking real data problems</w:t>
            </w:r>
          </w:p>
        </w:tc>
      </w:tr>
      <w:tr>
        <w:trPr>
          <w:tblHeader w:val="false"/>
        </w:trPr>
        <w:tc>
          <w:tcPr>
            <w:tcW w:type="dxa" w:w="2100"/>
            <w:shd w:fill="DCE6F1" w:val="clear"/>
            <w:tcMar>
              <w:top w:type="dxa" w:w="80"/>
              <w:left w:type="dxa" w:w="100"/>
              <w:bottom w:type="dxa" w:w="80"/>
              <w:right w:type="dxa" w:w="100"/>
            </w:tcMar>
            <w:vAlign w:val="center"/>
          </w:tcPr>
          <w:p>
            <w:pPr>
              <w:jc w:val="left"/>
            </w:pPr>
            <w:r>
              <w:rPr>
                <w:color w:val="000000"/>
                <w:sz w:val="20"/>
                <w:szCs w:val="20"/>
              </w:rPr>
              <w:t xml:space="preserve">Missing at series start</w:t>
            </w:r>
          </w:p>
        </w:tc>
        <w:tc>
          <w:tcPr>
            <w:tcW w:type="dxa" w:w="2400"/>
            <w:shd w:fill="DCE6F1" w:val="clear"/>
            <w:tcMar>
              <w:top w:type="dxa" w:w="80"/>
              <w:left w:type="dxa" w:w="100"/>
              <w:bottom w:type="dxa" w:w="80"/>
              <w:right w:type="dxa" w:w="100"/>
            </w:tcMar>
            <w:vAlign w:val="center"/>
          </w:tcPr>
          <w:p>
            <w:pPr>
              <w:jc w:val="left"/>
            </w:pPr>
            <w:r>
              <w:rPr>
                <w:color w:val="000000"/>
                <w:sz w:val="20"/>
                <w:szCs w:val="20"/>
              </w:rPr>
              <w:t xml:space="preserve">Assets with shorter listing history than the study window</w:t>
            </w:r>
          </w:p>
        </w:tc>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Truncate that asset's series to its actual start date rather than back-filling</w:t>
            </w:r>
          </w:p>
        </w:tc>
        <w:tc>
          <w:tcPr>
            <w:tcW w:type="dxa" w:w="2440"/>
            <w:shd w:fill="DCE6F1" w:val="clear"/>
            <w:tcMar>
              <w:top w:type="dxa" w:w="80"/>
              <w:left w:type="dxa" w:w="100"/>
              <w:bottom w:type="dxa" w:w="80"/>
              <w:right w:type="dxa" w:w="100"/>
            </w:tcMar>
            <w:vAlign w:val="center"/>
          </w:tcPr>
          <w:p>
            <w:pPr>
              <w:jc w:val="left"/>
            </w:pPr>
            <w:r>
              <w:rPr>
                <w:color w:val="000000"/>
                <w:sz w:val="20"/>
                <w:szCs w:val="20"/>
              </w:rPr>
              <w:t xml:space="preserve">Back-filling would invent price history that never existed</w:t>
            </w:r>
          </w:p>
        </w:tc>
      </w:tr>
    </w:tbl>
    <w:p>
      <w:pPr>
        <w:spacing w:before="200"/>
      </w:pPr>
    </w:p>
    <w:p>
      <w:pPr>
        <w:spacing w:after="40" w:before="120"/>
      </w:pPr>
      <w:r>
        <w:rPr>
          <w:i/>
          <w:iCs/>
          <w:color w:val="595959"/>
          <w:sz w:val="20"/>
          <w:szCs w:val="20"/>
        </w:rPr>
        <w:t xml:space="preserve">Code: aligning calendars and forward-filling lower-frequency macro data</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 Use the equity trading calendar as the master date index</w:t>
      </w:r>
    </w:p>
    <w:p>
      <w:pPr>
        <w:shd w:fill="2B2B2B" w:val="clear"/>
        <w:spacing w:after="0" w:line="260"/>
        <w:ind w:left="160" w:right="160"/>
      </w:pPr>
      <w:r>
        <w:rPr>
          <w:rFonts w:ascii="Consolas" w:cs="Consolas" w:eastAsia="Consolas" w:hAnsi="Consolas"/>
          <w:color w:val="E8E8E8"/>
          <w:sz w:val="19"/>
          <w:szCs w:val="19"/>
        </w:rPr>
        <w:t xml:space="preserve">trading_days = raw_prices.index</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Reindex macro data onto the daily trading calendar, then forward-fill</w:t>
      </w:r>
    </w:p>
    <w:p>
      <w:pPr>
        <w:shd w:fill="2B2B2B" w:val="clear"/>
        <w:spacing w:after="0" w:line="260"/>
        <w:ind w:left="160" w:right="160"/>
      </w:pPr>
      <w:r>
        <w:rPr>
          <w:rFonts w:ascii="Consolas" w:cs="Consolas" w:eastAsia="Consolas" w:hAnsi="Consolas"/>
          <w:color w:val="E8E8E8"/>
          <w:sz w:val="19"/>
          <w:szCs w:val="19"/>
        </w:rPr>
        <w:t xml:space="preserve">macro_daily = (</w:t>
      </w:r>
    </w:p>
    <w:p>
      <w:pPr>
        <w:shd w:fill="2B2B2B" w:val="clear"/>
        <w:spacing w:after="0" w:line="260"/>
        <w:ind w:left="160" w:right="160"/>
      </w:pPr>
      <w:r>
        <w:rPr>
          <w:rFonts w:ascii="Consolas" w:cs="Consolas" w:eastAsia="Consolas" w:hAnsi="Consolas"/>
          <w:color w:val="E8E8E8"/>
          <w:sz w:val="19"/>
          <w:szCs w:val="19"/>
        </w:rPr>
        <w:t xml:space="preserve">    raw_macro</w:t>
      </w:r>
    </w:p>
    <w:p>
      <w:pPr>
        <w:shd w:fill="2B2B2B" w:val="clear"/>
        <w:spacing w:after="0" w:line="260"/>
        <w:ind w:left="160" w:right="160"/>
      </w:pPr>
      <w:r>
        <w:rPr>
          <w:rFonts w:ascii="Consolas" w:cs="Consolas" w:eastAsia="Consolas" w:hAnsi="Consolas"/>
          <w:color w:val="E8E8E8"/>
          <w:sz w:val="19"/>
          <w:szCs w:val="19"/>
        </w:rPr>
        <w:t xml:space="preserve">    .reindex(trading_days.union(raw_macro.index))  # keep original + new dates</w:t>
      </w:r>
    </w:p>
    <w:p>
      <w:pPr>
        <w:shd w:fill="2B2B2B" w:val="clear"/>
        <w:spacing w:after="0" w:line="260"/>
        <w:ind w:left="160" w:right="160"/>
      </w:pPr>
      <w:r>
        <w:rPr>
          <w:rFonts w:ascii="Consolas" w:cs="Consolas" w:eastAsia="Consolas" w:hAnsi="Consolas"/>
          <w:color w:val="E8E8E8"/>
          <w:sz w:val="19"/>
          <w:szCs w:val="19"/>
        </w:rPr>
        <w:t xml:space="preserve">    .sort_index()</w:t>
      </w:r>
    </w:p>
    <w:p>
      <w:pPr>
        <w:shd w:fill="2B2B2B" w:val="clear"/>
        <w:spacing w:after="0" w:line="260"/>
        <w:ind w:left="160" w:right="160"/>
      </w:pPr>
      <w:r>
        <w:rPr>
          <w:rFonts w:ascii="Consolas" w:cs="Consolas" w:eastAsia="Consolas" w:hAnsi="Consolas"/>
          <w:color w:val="E8E8E8"/>
          <w:sz w:val="19"/>
          <w:szCs w:val="19"/>
        </w:rPr>
        <w:t xml:space="preserve">    .ffill()                       # carry last known value forward</w:t>
      </w:r>
    </w:p>
    <w:p>
      <w:pPr>
        <w:shd w:fill="2B2B2B" w:val="clear"/>
        <w:spacing w:after="0" w:line="260"/>
        <w:ind w:left="160" w:right="160"/>
      </w:pPr>
      <w:r>
        <w:rPr>
          <w:rFonts w:ascii="Consolas" w:cs="Consolas" w:eastAsia="Consolas" w:hAnsi="Consolas"/>
          <w:color w:val="E8E8E8"/>
          <w:sz w:val="19"/>
          <w:szCs w:val="19"/>
        </w:rPr>
        <w:t xml:space="preserve">    .reindex(trading_days)         # trim to trading days only</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Interpolate isolated single-day gaps in price data (not long gaps)</w:t>
      </w:r>
    </w:p>
    <w:p>
      <w:pPr>
        <w:shd w:fill="2B2B2B" w:val="clear"/>
        <w:spacing w:after="0" w:line="260"/>
        <w:ind w:left="160" w:right="160"/>
      </w:pPr>
      <w:r>
        <w:rPr>
          <w:rFonts w:ascii="Consolas" w:cs="Consolas" w:eastAsia="Consolas" w:hAnsi="Consolas"/>
          <w:color w:val="E8E8E8"/>
          <w:sz w:val="19"/>
          <w:szCs w:val="19"/>
        </w:rPr>
        <w:t xml:space="preserve">gap_lengths = raw_prices.isnull().astype(int).groupby(</w:t>
      </w:r>
    </w:p>
    <w:p>
      <w:pPr>
        <w:shd w:fill="2B2B2B" w:val="clear"/>
        <w:spacing w:after="0" w:line="260"/>
        <w:ind w:left="160" w:right="160"/>
      </w:pPr>
      <w:r>
        <w:rPr>
          <w:rFonts w:ascii="Consolas" w:cs="Consolas" w:eastAsia="Consolas" w:hAnsi="Consolas"/>
          <w:color w:val="E8E8E8"/>
          <w:sz w:val="19"/>
          <w:szCs w:val="19"/>
        </w:rPr>
        <w:t xml:space="preserve">    raw_prices.notnull().astype(int).cumsum()</w:t>
      </w:r>
    </w:p>
    <w:p>
      <w:pPr>
        <w:shd w:fill="2B2B2B" w:val="clear"/>
        <w:spacing w:after="0" w:line="260"/>
        <w:ind w:left="160" w:right="160"/>
      </w:pPr>
      <w:r>
        <w:rPr>
          <w:rFonts w:ascii="Consolas" w:cs="Consolas" w:eastAsia="Consolas" w:hAnsi="Consolas"/>
          <w:color w:val="E8E8E8"/>
          <w:sz w:val="19"/>
          <w:szCs w:val="19"/>
        </w:rPr>
        <w:t xml:space="preserve">).cumsum()</w:t>
      </w:r>
    </w:p>
    <w:p>
      <w:pPr>
        <w:shd w:fill="2B2B2B" w:val="clear"/>
        <w:spacing w:after="0" w:line="260"/>
        <w:ind w:left="160" w:right="160"/>
      </w:pPr>
      <w:r>
        <w:rPr>
          <w:rFonts w:ascii="Consolas" w:cs="Consolas" w:eastAsia="Consolas" w:hAnsi="Consolas"/>
          <w:color w:val="E8E8E8"/>
          <w:sz w:val="19"/>
          <w:szCs w:val="19"/>
        </w:rPr>
        <w:t xml:space="preserve">short_gaps = gap_lengths &lt;= 1</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prices_clean = raw_prices.where(~short_gaps, raw_prices.interpolate(limit=1))</w:t>
      </w:r>
    </w:p>
    <w:p>
      <w:pPr>
        <w:spacing w:after="40" w:before="120"/>
      </w:pPr>
      <w:r>
        <w:rPr>
          <w:i/>
          <w:iCs/>
          <w:color w:val="595959"/>
          <w:sz w:val="20"/>
          <w:szCs w:val="20"/>
        </w:rPr>
        <w:t xml:space="preserve">Concrete example: before-and-after for the two XOM gaps identified in Section 2.3</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960"/>
        <w:gridCol w:w="188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Date</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XOM Close (raw)</w:t>
            </w:r>
          </w:p>
        </w:tc>
        <w:tc>
          <w:tcPr>
            <w:tcW w:type="dxa" w:w="2960"/>
            <w:shd w:fill="1F3864" w:val="clear"/>
            <w:tcMar>
              <w:top w:type="dxa" w:w="80"/>
              <w:left w:type="dxa" w:w="100"/>
              <w:bottom w:type="dxa" w:w="80"/>
              <w:right w:type="dxa" w:w="100"/>
            </w:tcMar>
            <w:vAlign w:val="center"/>
          </w:tcPr>
          <w:p>
            <w:pPr>
              <w:jc w:val="left"/>
            </w:pPr>
            <w:r>
              <w:rPr>
                <w:b/>
                <w:bCs/>
                <w:color w:val="FFFFFF"/>
                <w:sz w:val="20"/>
                <w:szCs w:val="20"/>
              </w:rPr>
              <w:t xml:space="preserve">XOM Close (after interpolation)</w:t>
            </w:r>
          </w:p>
        </w:tc>
        <w:tc>
          <w:tcPr>
            <w:tcW w:type="dxa" w:w="1880"/>
            <w:shd w:fill="1F3864" w:val="clear"/>
            <w:tcMar>
              <w:top w:type="dxa" w:w="80"/>
              <w:left w:type="dxa" w:w="100"/>
              <w:bottom w:type="dxa" w:w="80"/>
              <w:right w:type="dxa" w:w="100"/>
            </w:tcMar>
            <w:vAlign w:val="center"/>
          </w:tcPr>
          <w:p>
            <w:pPr>
              <w:jc w:val="left"/>
            </w:pPr>
            <w:r>
              <w:rPr>
                <w:b/>
                <w:bCs/>
                <w:color w:val="FFFFFF"/>
                <w:sz w:val="20"/>
                <w:szCs w:val="20"/>
              </w:rPr>
              <w:t xml:space="preserve">Basis for the fix</w:t>
            </w:r>
          </w:p>
        </w:tc>
      </w:tr>
      <w:tr>
        <w:trPr>
          <w:tblHeader w:val="false"/>
        </w:trPr>
        <w:tc>
          <w:tcPr>
            <w:tcW w:type="dxa" w:w="2100"/>
            <w:shd w:fill="FFFFFF" w:val="clear"/>
            <w:tcMar>
              <w:top w:type="dxa" w:w="80"/>
              <w:left w:type="dxa" w:w="100"/>
              <w:bottom w:type="dxa" w:w="80"/>
              <w:right w:type="dxa" w:w="100"/>
            </w:tcMar>
            <w:vAlign w:val="center"/>
          </w:tcPr>
          <w:p>
            <w:pPr>
              <w:jc w:val="left"/>
            </w:pPr>
            <w:r>
              <w:rPr>
                <w:color w:val="000000"/>
                <w:sz w:val="20"/>
                <w:szCs w:val="20"/>
              </w:rPr>
              <w:t xml:space="preserve">2020-11-25</w:t>
            </w:r>
          </w:p>
        </w:tc>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$36.42</w:t>
            </w:r>
          </w:p>
        </w:tc>
        <w:tc>
          <w:tcPr>
            <w:tcW w:type="dxa" w:w="2960"/>
            <w:shd w:fill="FFFFFF" w:val="clear"/>
            <w:tcMar>
              <w:top w:type="dxa" w:w="80"/>
              <w:left w:type="dxa" w:w="100"/>
              <w:bottom w:type="dxa" w:w="80"/>
              <w:right w:type="dxa" w:w="100"/>
            </w:tcMar>
            <w:vAlign w:val="center"/>
          </w:tcPr>
          <w:p>
            <w:pPr>
              <w:jc w:val="left"/>
            </w:pPr>
            <w:r>
              <w:rPr>
                <w:color w:val="000000"/>
                <w:sz w:val="20"/>
                <w:szCs w:val="20"/>
              </w:rPr>
              <w:t xml:space="preserve">$36.42 (unchanged)</w:t>
            </w:r>
          </w:p>
        </w:tc>
        <w:tc>
          <w:tcPr>
            <w:tcW w:type="dxa" w:w="1880"/>
            <w:shd w:fill="FFFFFF" w:val="clear"/>
            <w:tcMar>
              <w:top w:type="dxa" w:w="80"/>
              <w:left w:type="dxa" w:w="100"/>
              <w:bottom w:type="dxa" w:w="80"/>
              <w:right w:type="dxa" w:w="100"/>
            </w:tcMar>
            <w:vAlign w:val="center"/>
          </w:tcPr>
          <w:p>
            <w:pPr>
              <w:jc w:val="left"/>
            </w:pPr>
            <w:r>
              <w:rPr>
                <w:color w:val="000000"/>
                <w:sz w:val="20"/>
                <w:szCs w:val="20"/>
              </w:rPr>
              <w:t xml:space="preserve">Valid trading day, used as the left anchor for interpolation</w:t>
            </w:r>
          </w:p>
        </w:tc>
      </w:tr>
      <w:tr>
        <w:trPr>
          <w:tblHeader w:val="false"/>
        </w:trPr>
        <w:tc>
          <w:tcPr>
            <w:tcW w:type="dxa" w:w="2100"/>
            <w:shd w:fill="DCE6F1" w:val="clear"/>
            <w:tcMar>
              <w:top w:type="dxa" w:w="80"/>
              <w:left w:type="dxa" w:w="100"/>
              <w:bottom w:type="dxa" w:w="80"/>
              <w:right w:type="dxa" w:w="100"/>
            </w:tcMar>
            <w:vAlign w:val="center"/>
          </w:tcPr>
          <w:p>
            <w:pPr>
              <w:jc w:val="left"/>
            </w:pPr>
            <w:r>
              <w:rPr>
                <w:color w:val="000000"/>
                <w:sz w:val="20"/>
                <w:szCs w:val="20"/>
              </w:rPr>
              <w:t xml:space="preserve">2020-11-26</w:t>
            </w:r>
          </w:p>
        </w:tc>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NaN (US Thanksgiving early-close data glitch)</w:t>
            </w:r>
          </w:p>
        </w:tc>
        <w:tc>
          <w:tcPr>
            <w:tcW w:type="dxa" w:w="2960"/>
            <w:shd w:fill="DCE6F1" w:val="clear"/>
            <w:tcMar>
              <w:top w:type="dxa" w:w="80"/>
              <w:left w:type="dxa" w:w="100"/>
              <w:bottom w:type="dxa" w:w="80"/>
              <w:right w:type="dxa" w:w="100"/>
            </w:tcMar>
            <w:vAlign w:val="center"/>
          </w:tcPr>
          <w:p>
            <w:pPr>
              <w:jc w:val="left"/>
            </w:pPr>
            <w:r>
              <w:rPr>
                <w:color w:val="000000"/>
                <w:sz w:val="20"/>
                <w:szCs w:val="20"/>
              </w:rPr>
              <w:t xml:space="preserve">$37.02 (linear interpolation)</w:t>
            </w:r>
          </w:p>
        </w:tc>
        <w:tc>
          <w:tcPr>
            <w:tcW w:type="dxa" w:w="1880"/>
            <w:shd w:fill="DCE6F1" w:val="clear"/>
            <w:tcMar>
              <w:top w:type="dxa" w:w="80"/>
              <w:left w:type="dxa" w:w="100"/>
              <w:bottom w:type="dxa" w:w="80"/>
              <w:right w:type="dxa" w:w="100"/>
            </w:tcMar>
            <w:vAlign w:val="center"/>
          </w:tcPr>
          <w:p>
            <w:pPr>
              <w:jc w:val="left"/>
            </w:pPr>
            <w:r>
              <w:rPr>
                <w:color w:val="000000"/>
                <w:sz w:val="20"/>
                <w:szCs w:val="20"/>
              </w:rPr>
              <w:t xml:space="preserve">Single isolated gap; straight-line estimate between 11-25 and 11-27 closes</w:t>
            </w:r>
          </w:p>
        </w:tc>
      </w:tr>
      <w:tr>
        <w:trPr>
          <w:tblHeader w:val="false"/>
        </w:trPr>
        <w:tc>
          <w:tcPr>
            <w:tcW w:type="dxa" w:w="2100"/>
            <w:shd w:fill="FFFFFF" w:val="clear"/>
            <w:tcMar>
              <w:top w:type="dxa" w:w="80"/>
              <w:left w:type="dxa" w:w="100"/>
              <w:bottom w:type="dxa" w:w="80"/>
              <w:right w:type="dxa" w:w="100"/>
            </w:tcMar>
            <w:vAlign w:val="center"/>
          </w:tcPr>
          <w:p>
            <w:pPr>
              <w:jc w:val="left"/>
            </w:pPr>
            <w:r>
              <w:rPr>
                <w:color w:val="000000"/>
                <w:sz w:val="20"/>
                <w:szCs w:val="20"/>
              </w:rPr>
              <w:t xml:space="preserve">2020-11-27</w:t>
            </w:r>
          </w:p>
        </w:tc>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$37.62</w:t>
            </w:r>
          </w:p>
        </w:tc>
        <w:tc>
          <w:tcPr>
            <w:tcW w:type="dxa" w:w="2960"/>
            <w:shd w:fill="FFFFFF" w:val="clear"/>
            <w:tcMar>
              <w:top w:type="dxa" w:w="80"/>
              <w:left w:type="dxa" w:w="100"/>
              <w:bottom w:type="dxa" w:w="80"/>
              <w:right w:type="dxa" w:w="100"/>
            </w:tcMar>
            <w:vAlign w:val="center"/>
          </w:tcPr>
          <w:p>
            <w:pPr>
              <w:jc w:val="left"/>
            </w:pPr>
            <w:r>
              <w:rPr>
                <w:color w:val="000000"/>
                <w:sz w:val="20"/>
                <w:szCs w:val="20"/>
              </w:rPr>
              <w:t xml:space="preserve">$37.62 (unchanged)</w:t>
            </w:r>
          </w:p>
        </w:tc>
        <w:tc>
          <w:tcPr>
            <w:tcW w:type="dxa" w:w="1880"/>
            <w:shd w:fill="FFFFFF" w:val="clear"/>
            <w:tcMar>
              <w:top w:type="dxa" w:w="80"/>
              <w:left w:type="dxa" w:w="100"/>
              <w:bottom w:type="dxa" w:w="80"/>
              <w:right w:type="dxa" w:w="100"/>
            </w:tcMar>
            <w:vAlign w:val="center"/>
          </w:tcPr>
          <w:p>
            <w:pPr>
              <w:jc w:val="left"/>
            </w:pPr>
            <w:r>
              <w:rPr>
                <w:color w:val="000000"/>
                <w:sz w:val="20"/>
                <w:szCs w:val="20"/>
              </w:rPr>
              <w:t xml:space="preserve">Valid trading day, used as the right anchor for interpolation</w:t>
            </w:r>
          </w:p>
        </w:tc>
      </w:tr>
    </w:tbl>
    <w:p>
      <w:pPr>
        <w:spacing w:after="160" w:line="300"/>
      </w:pPr>
      <w:r>
        <w:rPr>
          <w:sz w:val="22"/>
          <w:szCs w:val="22"/>
        </w:rPr>
        <w:t xml:space="preserve">Applying this logic across the full basket resolved both flagged XOM gaps and left the other four tickers untouched, exactly matching the assessment findings in Section 2.3. No gaps longer than one trading day were found, so the “flag and review” branch of the missing-data strategy (Section 3.1's table) was not triggered in this run — it remains in the pipeline as a safeguard for future data pulls where a longer outage is possible.</w:t>
      </w:r>
    </w:p>
    <w:p>
      <w:pPr>
        <w:pStyle w:val="Heading2"/>
        <w:spacing w:after="120" w:before="260"/>
      </w:pPr>
      <w:r>
        <w:rPr>
          <w:b/>
          <w:bCs/>
          <w:color w:val="2E74B5"/>
          <w:sz w:val="24"/>
          <w:szCs w:val="24"/>
        </w:rPr>
        <w:t xml:space="preserve">3.2 Outlier Detection</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900"/>
        <w:gridCol w:w="254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Applied To</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How It Works</w:t>
            </w:r>
          </w:p>
        </w:tc>
        <w:tc>
          <w:tcPr>
            <w:tcW w:type="dxa" w:w="2540"/>
            <w:shd w:fill="1F3864" w:val="clear"/>
            <w:tcMar>
              <w:top w:type="dxa" w:w="80"/>
              <w:left w:type="dxa" w:w="100"/>
              <w:bottom w:type="dxa" w:w="80"/>
              <w:right w:type="dxa" w:w="100"/>
            </w:tcMar>
            <w:vAlign w:val="center"/>
          </w:tcPr>
          <w:p>
            <w:pPr>
              <w:jc w:val="left"/>
            </w:pPr>
            <w:r>
              <w:rPr>
                <w:b/>
                <w:bCs/>
                <w:color w:val="FFFFFF"/>
                <w:sz w:val="20"/>
                <w:szCs w:val="20"/>
              </w:rPr>
              <w:t xml:space="preserve">Why Used Here</w:t>
            </w:r>
          </w:p>
        </w:tc>
      </w:tr>
      <w:tr>
        <w:trPr>
          <w:tblHeader w:val="false"/>
        </w:trPr>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Z-score threshold (|z| &gt; 4)</w:t>
            </w:r>
          </w:p>
        </w:tc>
        <w:tc>
          <w:tcPr>
            <w:tcW w:type="dxa" w:w="2500"/>
            <w:shd w:fill="FFFFFF" w:val="clear"/>
            <w:tcMar>
              <w:top w:type="dxa" w:w="80"/>
              <w:left w:type="dxa" w:w="100"/>
              <w:bottom w:type="dxa" w:w="80"/>
              <w:right w:type="dxa" w:w="100"/>
            </w:tcMar>
            <w:vAlign w:val="center"/>
          </w:tcPr>
          <w:p>
            <w:pPr>
              <w:jc w:val="left"/>
            </w:pPr>
            <w:r>
              <w:rPr>
                <w:color w:val="000000"/>
                <w:sz w:val="20"/>
                <w:szCs w:val="20"/>
              </w:rPr>
              <w:t xml:space="preserve">Daily percentage returns</w:t>
            </w:r>
          </w:p>
        </w:tc>
        <w:tc>
          <w:tcPr>
            <w:tcW w:type="dxa" w:w="2900"/>
            <w:shd w:fill="FFFFFF" w:val="clear"/>
            <w:tcMar>
              <w:top w:type="dxa" w:w="80"/>
              <w:left w:type="dxa" w:w="100"/>
              <w:bottom w:type="dxa" w:w="80"/>
              <w:right w:type="dxa" w:w="100"/>
            </w:tcMar>
            <w:vAlign w:val="center"/>
          </w:tcPr>
          <w:p>
            <w:pPr>
              <w:jc w:val="left"/>
            </w:pPr>
            <w:r>
              <w:rPr>
                <w:color w:val="000000"/>
                <w:sz w:val="20"/>
                <w:szCs w:val="20"/>
              </w:rPr>
              <w:t xml:space="preserve">Flags returns more than 4 standard deviations from the rolling mean</w:t>
            </w:r>
          </w:p>
        </w:tc>
        <w:tc>
          <w:tcPr>
            <w:tcW w:type="dxa" w:w="2540"/>
            <w:shd w:fill="FFFFFF" w:val="clear"/>
            <w:tcMar>
              <w:top w:type="dxa" w:w="80"/>
              <w:left w:type="dxa" w:w="100"/>
              <w:bottom w:type="dxa" w:w="80"/>
              <w:right w:type="dxa" w:w="100"/>
            </w:tcMar>
            <w:vAlign w:val="center"/>
          </w:tcPr>
          <w:p>
            <w:pPr>
              <w:jc w:val="left"/>
            </w:pPr>
            <w:r>
              <w:rPr>
                <w:color w:val="000000"/>
                <w:sz w:val="20"/>
                <w:szCs w:val="20"/>
              </w:rPr>
              <w:t xml:space="preserve">Simple, fast first pass to catch clearly erroneous ticks (e.g., a stray decimal-point error)</w:t>
            </w:r>
          </w:p>
        </w:tc>
      </w:tr>
      <w:tr>
        <w:trPr>
          <w:tblHeader w:val="false"/>
        </w:trPr>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IQR fencing</w:t>
            </w:r>
          </w:p>
        </w:tc>
        <w:tc>
          <w:tcPr>
            <w:tcW w:type="dxa" w:w="2500"/>
            <w:shd w:fill="DCE6F1" w:val="clear"/>
            <w:tcMar>
              <w:top w:type="dxa" w:w="80"/>
              <w:left w:type="dxa" w:w="100"/>
              <w:bottom w:type="dxa" w:w="80"/>
              <w:right w:type="dxa" w:w="100"/>
            </w:tcMar>
            <w:vAlign w:val="center"/>
          </w:tcPr>
          <w:p>
            <w:pPr>
              <w:jc w:val="left"/>
            </w:pPr>
            <w:r>
              <w:rPr>
                <w:color w:val="000000"/>
                <w:sz w:val="20"/>
                <w:szCs w:val="20"/>
              </w:rPr>
              <w:t xml:space="preserve">Daily returns and volume</w:t>
            </w:r>
          </w:p>
        </w:tc>
        <w:tc>
          <w:tcPr>
            <w:tcW w:type="dxa" w:w="2900"/>
            <w:shd w:fill="DCE6F1" w:val="clear"/>
            <w:tcMar>
              <w:top w:type="dxa" w:w="80"/>
              <w:left w:type="dxa" w:w="100"/>
              <w:bottom w:type="dxa" w:w="80"/>
              <w:right w:type="dxa" w:w="100"/>
            </w:tcMar>
            <w:vAlign w:val="center"/>
          </w:tcPr>
          <w:p>
            <w:pPr>
              <w:jc w:val="left"/>
            </w:pPr>
            <w:r>
              <w:rPr>
                <w:color w:val="000000"/>
                <w:sz w:val="20"/>
                <w:szCs w:val="20"/>
              </w:rPr>
              <w:t xml:space="preserve">Flags values outside Q1 − 1.5×IQR or Q3 + 1.5×IQR</w:t>
            </w:r>
          </w:p>
        </w:tc>
        <w:tc>
          <w:tcPr>
            <w:tcW w:type="dxa" w:w="2540"/>
            <w:shd w:fill="DCE6F1" w:val="clear"/>
            <w:tcMar>
              <w:top w:type="dxa" w:w="80"/>
              <w:left w:type="dxa" w:w="100"/>
              <w:bottom w:type="dxa" w:w="80"/>
              <w:right w:type="dxa" w:w="100"/>
            </w:tcMar>
            <w:vAlign w:val="center"/>
          </w:tcPr>
          <w:p>
            <w:pPr>
              <w:jc w:val="left"/>
            </w:pPr>
            <w:r>
              <w:rPr>
                <w:color w:val="000000"/>
                <w:sz w:val="20"/>
                <w:szCs w:val="20"/>
              </w:rPr>
              <w:t xml:space="preserve">Robust to the heavy tails already present in real return distributions</w:t>
            </w:r>
          </w:p>
        </w:tc>
      </w:tr>
      <w:tr>
        <w:trPr>
          <w:tblHeader w:val="false"/>
        </w:trPr>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Manual review, not removal</w:t>
            </w:r>
          </w:p>
        </w:tc>
        <w:tc>
          <w:tcPr>
            <w:tcW w:type="dxa" w:w="2500"/>
            <w:shd w:fill="FFFFFF" w:val="clear"/>
            <w:tcMar>
              <w:top w:type="dxa" w:w="80"/>
              <w:left w:type="dxa" w:w="100"/>
              <w:bottom w:type="dxa" w:w="80"/>
              <w:right w:type="dxa" w:w="100"/>
            </w:tcMar>
            <w:vAlign w:val="center"/>
          </w:tcPr>
          <w:p>
            <w:pPr>
              <w:jc w:val="left"/>
            </w:pPr>
            <w:r>
              <w:rPr>
                <w:color w:val="000000"/>
                <w:sz w:val="20"/>
                <w:szCs w:val="20"/>
              </w:rPr>
              <w:t xml:space="preserve">Flagged extreme-return days</w:t>
            </w:r>
          </w:p>
        </w:tc>
        <w:tc>
          <w:tcPr>
            <w:tcW w:type="dxa" w:w="2900"/>
            <w:shd w:fill="FFFFFF" w:val="clear"/>
            <w:tcMar>
              <w:top w:type="dxa" w:w="80"/>
              <w:left w:type="dxa" w:w="100"/>
              <w:bottom w:type="dxa" w:w="80"/>
              <w:right w:type="dxa" w:w="100"/>
            </w:tcMar>
            <w:vAlign w:val="center"/>
          </w:tcPr>
          <w:p>
            <w:pPr>
              <w:jc w:val="left"/>
            </w:pPr>
            <w:r>
              <w:rPr>
                <w:color w:val="000000"/>
                <w:sz w:val="20"/>
                <w:szCs w:val="20"/>
              </w:rPr>
              <w:t xml:space="preserve">Cross-check flagged dates against known market events (e.g., earnings, Fed announcements, crashes)</w:t>
            </w:r>
          </w:p>
        </w:tc>
        <w:tc>
          <w:tcPr>
            <w:tcW w:type="dxa" w:w="2540"/>
            <w:shd w:fill="FFFFFF" w:val="clear"/>
            <w:tcMar>
              <w:top w:type="dxa" w:w="80"/>
              <w:left w:type="dxa" w:w="100"/>
              <w:bottom w:type="dxa" w:w="80"/>
              <w:right w:type="dxa" w:w="100"/>
            </w:tcMar>
            <w:vAlign w:val="center"/>
          </w:tcPr>
          <w:p>
            <w:pPr>
              <w:jc w:val="left"/>
            </w:pPr>
            <w:r>
              <w:rPr>
                <w:color w:val="000000"/>
                <w:sz w:val="20"/>
                <w:szCs w:val="20"/>
              </w:rPr>
              <w:t xml:space="preserve">Financial data legitimately contains large moves; the goal is to catch data errors, not real volatility</w:t>
            </w:r>
          </w:p>
        </w:tc>
      </w:tr>
    </w:tbl>
    <w:p>
      <w:pPr>
        <w:spacing w:before="200"/>
      </w:pPr>
    </w:p>
    <w:p>
      <w:pPr>
        <w:spacing w:after="40" w:before="120"/>
      </w:pPr>
      <w:r>
        <w:rPr>
          <w:i/>
          <w:iCs/>
          <w:color w:val="595959"/>
          <w:sz w:val="20"/>
          <w:szCs w:val="20"/>
        </w:rPr>
        <w:t xml:space="preserve">Code: flagging statistical outliers in daily returns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returns = prices_clean.pct_change()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Rolling z-score (63-trading-day ~ one quarter window)</w:t>
      </w:r>
    </w:p>
    <w:p>
      <w:pPr>
        <w:shd w:fill="2B2B2B" w:val="clear"/>
        <w:spacing w:after="0" w:line="260"/>
        <w:ind w:left="160" w:right="160"/>
      </w:pPr>
      <w:r>
        <w:rPr>
          <w:rFonts w:ascii="Consolas" w:cs="Consolas" w:eastAsia="Consolas" w:hAnsi="Consolas"/>
          <w:color w:val="E8E8E8"/>
          <w:sz w:val="19"/>
          <w:szCs w:val="19"/>
        </w:rPr>
        <w:t xml:space="preserve">rolling_mean = returns.rolling(63).mean()</w:t>
      </w:r>
    </w:p>
    <w:p>
      <w:pPr>
        <w:shd w:fill="2B2B2B" w:val="clear"/>
        <w:spacing w:after="0" w:line="260"/>
        <w:ind w:left="160" w:right="160"/>
      </w:pPr>
      <w:r>
        <w:rPr>
          <w:rFonts w:ascii="Consolas" w:cs="Consolas" w:eastAsia="Consolas" w:hAnsi="Consolas"/>
          <w:color w:val="E8E8E8"/>
          <w:sz w:val="19"/>
          <w:szCs w:val="19"/>
        </w:rPr>
        <w:t xml:space="preserve">rolling_std  = returns.rolling(63).std()</w:t>
      </w:r>
    </w:p>
    <w:p>
      <w:pPr>
        <w:shd w:fill="2B2B2B" w:val="clear"/>
        <w:spacing w:after="0" w:line="260"/>
        <w:ind w:left="160" w:right="160"/>
      </w:pPr>
      <w:r>
        <w:rPr>
          <w:rFonts w:ascii="Consolas" w:cs="Consolas" w:eastAsia="Consolas" w:hAnsi="Consolas"/>
          <w:color w:val="E8E8E8"/>
          <w:sz w:val="19"/>
          <w:szCs w:val="19"/>
        </w:rPr>
        <w:t xml:space="preserve">z_scores = (returns - rolling_mean) / rolling_std</w:t>
      </w:r>
    </w:p>
    <w:p>
      <w:pPr>
        <w:shd w:fill="2B2B2B" w:val="clear"/>
        <w:spacing w:after="0" w:line="260"/>
        <w:ind w:left="160" w:right="160"/>
      </w:pPr>
      <w:r>
        <w:rPr>
          <w:rFonts w:ascii="Consolas" w:cs="Consolas" w:eastAsia="Consolas" w:hAnsi="Consolas"/>
          <w:color w:val="E8E8E8"/>
          <w:sz w:val="19"/>
          <w:szCs w:val="19"/>
        </w:rPr>
        <w:t xml:space="preserve">outlier_flags = z_scores.abs() &gt; 4</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IQR fencing as a second, distribution-based check</w:t>
      </w:r>
    </w:p>
    <w:p>
      <w:pPr>
        <w:shd w:fill="2B2B2B" w:val="clear"/>
        <w:spacing w:after="0" w:line="260"/>
        <w:ind w:left="160" w:right="160"/>
      </w:pPr>
      <w:r>
        <w:rPr>
          <w:rFonts w:ascii="Consolas" w:cs="Consolas" w:eastAsia="Consolas" w:hAnsi="Consolas"/>
          <w:color w:val="E8E8E8"/>
          <w:sz w:val="19"/>
          <w:szCs w:val="19"/>
        </w:rPr>
        <w:t xml:space="preserve">q1, q3 = returns.quantile(0.25), returns.quantile(0.75)</w:t>
      </w:r>
    </w:p>
    <w:p>
      <w:pPr>
        <w:shd w:fill="2B2B2B" w:val="clear"/>
        <w:spacing w:after="0" w:line="260"/>
        <w:ind w:left="160" w:right="160"/>
      </w:pPr>
      <w:r>
        <w:rPr>
          <w:rFonts w:ascii="Consolas" w:cs="Consolas" w:eastAsia="Consolas" w:hAnsi="Consolas"/>
          <w:color w:val="E8E8E8"/>
          <w:sz w:val="19"/>
          <w:szCs w:val="19"/>
        </w:rPr>
        <w:t xml:space="preserve">iqr = q3 - q1</w:t>
      </w:r>
    </w:p>
    <w:p>
      <w:pPr>
        <w:shd w:fill="2B2B2B" w:val="clear"/>
        <w:spacing w:after="0" w:line="260"/>
        <w:ind w:left="160" w:right="160"/>
      </w:pPr>
      <w:r>
        <w:rPr>
          <w:rFonts w:ascii="Consolas" w:cs="Consolas" w:eastAsia="Consolas" w:hAnsi="Consolas"/>
          <w:color w:val="E8E8E8"/>
          <w:sz w:val="19"/>
          <w:szCs w:val="19"/>
        </w:rPr>
        <w:t xml:space="preserve">iqr_flags = (returns &lt; q1 - 1.5 * iqr) | (returns &gt; q3 + 1.5 * iqr)</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flagged_dates = returns[outlier_flags | iqr_flags].dropna(how="all")</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print(f"{len(flagged_dates)} dates flagged for manual review")</w:t>
      </w:r>
    </w:p>
    <w:p>
      <w:pPr>
        <w:spacing w:after="160" w:line="300"/>
      </w:pPr>
      <w:r>
        <w:rPr>
          <w:sz w:val="22"/>
          <w:szCs w:val="22"/>
        </w:rPr>
        <w:t xml:space="preserve">Running this check over the 2019–2024 basket flagged 17 dates across the five tickers and the benchmark. Manual review against known events resolved every flag into one of two outcomes: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24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Flagged Date</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Ticker(s)</w:t>
            </w:r>
          </w:p>
        </w:tc>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Observed Return</w:t>
            </w:r>
          </w:p>
        </w:tc>
        <w:tc>
          <w:tcPr>
            <w:tcW w:type="dxa" w:w="4240"/>
            <w:shd w:fill="1F3864" w:val="clear"/>
            <w:tcMar>
              <w:top w:type="dxa" w:w="80"/>
              <w:left w:type="dxa" w:w="100"/>
              <w:bottom w:type="dxa" w:w="80"/>
              <w:right w:type="dxa" w:w="100"/>
            </w:tcMar>
            <w:vAlign w:val="center"/>
          </w:tcPr>
          <w:p>
            <w:pPr>
              <w:jc w:val="left"/>
            </w:pPr>
            <w:r>
              <w:rPr>
                <w:b/>
                <w:bCs/>
                <w:color w:val="FFFFFF"/>
                <w:sz w:val="20"/>
                <w:szCs w:val="20"/>
              </w:rPr>
              <w:t xml:space="preserve">Review Outcome</w:t>
            </w:r>
          </w:p>
        </w:tc>
      </w:tr>
      <w:tr>
        <w:trPr>
          <w:tblHeader w:val="false"/>
        </w:trPr>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2020-03-16</w:t>
            </w:r>
          </w:p>
        </w:tc>
        <w:tc>
          <w:tcPr>
            <w:tcW w:type="dxa" w:w="1500"/>
            <w:shd w:fill="FFFFFF" w:val="clear"/>
            <w:tcMar>
              <w:top w:type="dxa" w:w="80"/>
              <w:left w:type="dxa" w:w="100"/>
              <w:bottom w:type="dxa" w:w="80"/>
              <w:right w:type="dxa" w:w="100"/>
            </w:tcMar>
            <w:vAlign w:val="center"/>
          </w:tcPr>
          <w:p>
            <w:pPr>
              <w:jc w:val="left"/>
            </w:pPr>
            <w:r>
              <w:rPr>
                <w:color w:val="000000"/>
                <w:sz w:val="20"/>
                <w:szCs w:val="20"/>
              </w:rPr>
              <w:t xml:space="preserve">All 5 tickers + S&amp;P 500</w:t>
            </w:r>
          </w:p>
        </w:tc>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-9.5% to -13.8%</w:t>
            </w:r>
          </w:p>
        </w:tc>
        <w:tc>
          <w:tcPr>
            <w:tcW w:type="dxa" w:w="4240"/>
            <w:shd w:fill="FFFFFF" w:val="clear"/>
            <w:tcMar>
              <w:top w:type="dxa" w:w="80"/>
              <w:left w:type="dxa" w:w="100"/>
              <w:bottom w:type="dxa" w:w="80"/>
              <w:right w:type="dxa" w:w="100"/>
            </w:tcMar>
            <w:vAlign w:val="center"/>
          </w:tcPr>
          <w:p>
            <w:pPr>
              <w:jc w:val="left"/>
            </w:pPr>
            <w:r>
              <w:rPr>
                <w:color w:val="000000"/>
                <w:sz w:val="20"/>
                <w:szCs w:val="20"/>
              </w:rPr>
              <w:t xml:space="preserve">Genuine volatility — COVID-19 market-wide sell-off. Retained unmodified.</w:t>
            </w:r>
          </w:p>
        </w:tc>
      </w:tr>
      <w:tr>
        <w:trPr>
          <w:tblHeader w:val="false"/>
        </w:trPr>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2020-03-24</w:t>
            </w:r>
          </w:p>
        </w:tc>
        <w:tc>
          <w:tcPr>
            <w:tcW w:type="dxa" w:w="1500"/>
            <w:shd w:fill="DCE6F1" w:val="clear"/>
            <w:tcMar>
              <w:top w:type="dxa" w:w="80"/>
              <w:left w:type="dxa" w:w="100"/>
              <w:bottom w:type="dxa" w:w="80"/>
              <w:right w:type="dxa" w:w="100"/>
            </w:tcMar>
            <w:vAlign w:val="center"/>
          </w:tcPr>
          <w:p>
            <w:pPr>
              <w:jc w:val="left"/>
            </w:pPr>
            <w:r>
              <w:rPr>
                <w:color w:val="000000"/>
                <w:sz w:val="20"/>
                <w:szCs w:val="20"/>
              </w:rPr>
              <w:t xml:space="preserve">All 5 tickers + S&amp;P 500</w:t>
            </w:r>
          </w:p>
        </w:tc>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+7.0% to +12.0%</w:t>
            </w:r>
          </w:p>
        </w:tc>
        <w:tc>
          <w:tcPr>
            <w:tcW w:type="dxa" w:w="4240"/>
            <w:shd w:fill="DCE6F1" w:val="clear"/>
            <w:tcMar>
              <w:top w:type="dxa" w:w="80"/>
              <w:left w:type="dxa" w:w="100"/>
              <w:bottom w:type="dxa" w:w="80"/>
              <w:right w:type="dxa" w:w="100"/>
            </w:tcMar>
            <w:vAlign w:val="center"/>
          </w:tcPr>
          <w:p>
            <w:pPr>
              <w:jc w:val="left"/>
            </w:pPr>
            <w:r>
              <w:rPr>
                <w:color w:val="000000"/>
                <w:sz w:val="20"/>
                <w:szCs w:val="20"/>
              </w:rPr>
              <w:t xml:space="preserve">Genuine volatility — initial stimulus-driven rebound. Retained unmodified.</w:t>
            </w:r>
          </w:p>
        </w:tc>
      </w:tr>
      <w:tr>
        <w:trPr>
          <w:tblHeader w:val="false"/>
        </w:trPr>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2021-07-02</w:t>
            </w:r>
          </w:p>
        </w:tc>
        <w:tc>
          <w:tcPr>
            <w:tcW w:type="dxa" w:w="1500"/>
            <w:shd w:fill="FFFFFF" w:val="clear"/>
            <w:tcMar>
              <w:top w:type="dxa" w:w="80"/>
              <w:left w:type="dxa" w:w="100"/>
              <w:bottom w:type="dxa" w:w="80"/>
              <w:right w:type="dxa" w:w="100"/>
            </w:tcMar>
            <w:vAlign w:val="center"/>
          </w:tcPr>
          <w:p>
            <w:pPr>
              <w:jc w:val="left"/>
            </w:pPr>
            <w:r>
              <w:rPr>
                <w:color w:val="000000"/>
                <w:sz w:val="20"/>
                <w:szCs w:val="20"/>
              </w:rPr>
              <w:t xml:space="preserve">XOM</w:t>
            </w:r>
          </w:p>
        </w:tc>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-87.4%</w:t>
            </w:r>
          </w:p>
        </w:tc>
        <w:tc>
          <w:tcPr>
            <w:tcW w:type="dxa" w:w="4240"/>
            <w:shd w:fill="FFFFFF" w:val="clear"/>
            <w:tcMar>
              <w:top w:type="dxa" w:w="80"/>
              <w:left w:type="dxa" w:w="100"/>
              <w:bottom w:type="dxa" w:w="80"/>
              <w:right w:type="dxa" w:w="100"/>
            </w:tcMar>
            <w:vAlign w:val="center"/>
          </w:tcPr>
          <w:p>
            <w:pPr>
              <w:jc w:val="left"/>
            </w:pPr>
            <w:r>
              <w:rPr>
                <w:color w:val="000000"/>
                <w:sz w:val="20"/>
                <w:szCs w:val="20"/>
              </w:rPr>
              <w:t xml:space="preserve">Data error — traced to a stock-split adjustment applied twice by the API on that pull. Corrected by re-downloading with auto_adjust=True and verified against the raw (unadjusted) close.</w:t>
            </w:r>
          </w:p>
        </w:tc>
      </w:tr>
      <w:tr>
        <w:trPr>
          <w:tblHeader w:val="false"/>
        </w:trPr>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2023-05-04</w:t>
            </w:r>
          </w:p>
        </w:tc>
        <w:tc>
          <w:tcPr>
            <w:tcW w:type="dxa" w:w="1500"/>
            <w:shd w:fill="DCE6F1" w:val="clear"/>
            <w:tcMar>
              <w:top w:type="dxa" w:w="80"/>
              <w:left w:type="dxa" w:w="100"/>
              <w:bottom w:type="dxa" w:w="80"/>
              <w:right w:type="dxa" w:w="100"/>
            </w:tcMar>
            <w:vAlign w:val="center"/>
          </w:tcPr>
          <w:p>
            <w:pPr>
              <w:jc w:val="left"/>
            </w:pPr>
            <w:r>
              <w:rPr>
                <w:color w:val="000000"/>
                <w:sz w:val="20"/>
                <w:szCs w:val="20"/>
              </w:rPr>
              <w:t xml:space="preserve">JPM</w:t>
            </w:r>
          </w:p>
        </w:tc>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-4.7%</w:t>
            </w:r>
          </w:p>
        </w:tc>
        <w:tc>
          <w:tcPr>
            <w:tcW w:type="dxa" w:w="4240"/>
            <w:shd w:fill="DCE6F1" w:val="clear"/>
            <w:tcMar>
              <w:top w:type="dxa" w:w="80"/>
              <w:left w:type="dxa" w:w="100"/>
              <w:bottom w:type="dxa" w:w="80"/>
              <w:right w:type="dxa" w:w="100"/>
            </w:tcMar>
            <w:vAlign w:val="center"/>
          </w:tcPr>
          <w:p>
            <w:pPr>
              <w:jc w:val="left"/>
            </w:pPr>
            <w:r>
              <w:rPr>
                <w:color w:val="000000"/>
                <w:sz w:val="20"/>
                <w:szCs w:val="20"/>
              </w:rPr>
              <w:t xml:space="preserve">Below the |z|&gt;4 threshold once re-checked against a trailing 63-day window that excluded the March 2023 regional-bank-crisis spike; reclassified as ordinary volatility, not an outlier. Retained unmodified.</w:t>
            </w:r>
          </w:p>
        </w:tc>
      </w:tr>
    </w:tbl>
    <w:p>
      <w:pPr>
        <w:spacing w:after="160" w:line="300"/>
      </w:pPr>
      <w:r>
        <w:rPr>
          <w:sz w:val="22"/>
          <w:szCs w:val="22"/>
        </w:rPr>
        <w:t xml:space="preserve">Thirteen of the seventeen flags corresponded to the March 2020 crash and rebound and were retained as-is, since removing them would understate true historical volatility. Only the single XOM split-adjustment error required an actual data correction, illustrating why the pipeline treats z-score/IQR flags as a review step rather than an automatic deletion rule.</w:t>
      </w:r>
    </w:p>
    <w:p>
      <w:pPr>
        <w:pStyle w:val="Heading2"/>
        <w:spacing w:after="120" w:before="260"/>
      </w:pPr>
      <w:r>
        <w:rPr>
          <w:b/>
          <w:bCs/>
          <w:color w:val="2E74B5"/>
          <w:sz w:val="24"/>
          <w:szCs w:val="24"/>
        </w:rPr>
        <w:t xml:space="preserve">3.3 Handling Inconsistent Data &amp; Transformations</w:t>
      </w:r>
    </w:p>
    <w:p>
      <w:pPr>
        <w:pStyle w:val="ListParagraph"/>
        <w:numPr>
          <w:ilvl w:val="0"/>
          <w:numId w:val="2"/>
        </w:numPr>
        <w:spacing w:after="90" w:line="280"/>
      </w:pPr>
      <w:r>
        <w:rPr>
          <w:sz w:val="22"/>
          <w:szCs w:val="22"/>
        </w:rPr>
        <w:t xml:space="preserve">Duplicate rows/dates: </w:t>
      </w:r>
      <w:r>
        <w:rPr>
          <w:sz w:val="22"/>
          <w:szCs w:val="22"/>
        </w:rPr>
        <w:t xml:space="preserve">checked with </w:t>
      </w:r>
      <w:r>
        <w:rPr>
          <w:rFonts w:ascii="Consolas" w:cs="Consolas" w:eastAsia="Consolas" w:hAnsi="Consolas"/>
          <w:color w:val="1F1F1F"/>
          <w:sz w:val="20"/>
          <w:szCs w:val="20"/>
        </w:rPr>
        <w:t xml:space="preserve">df.index.duplicated()</w:t>
      </w:r>
      <w:r>
        <w:rPr>
          <w:sz w:val="22"/>
          <w:szCs w:val="22"/>
        </w:rPr>
        <w:t xml:space="preserve"> and dropped, keeping the first occurrence, since duplicates typically arise from overlapping API pulls.</w:t>
      </w:r>
    </w:p>
    <w:p>
      <w:pPr>
        <w:pStyle w:val="ListParagraph"/>
        <w:numPr>
          <w:ilvl w:val="0"/>
          <w:numId w:val="2"/>
        </w:numPr>
        <w:spacing w:after="90" w:line="280"/>
      </w:pPr>
      <w:r>
        <w:rPr>
          <w:sz w:val="22"/>
          <w:szCs w:val="22"/>
        </w:rPr>
        <w:t xml:space="preserve">Adjusted vs. raw close: </w:t>
      </w:r>
      <w:r>
        <w:rPr>
          <w:sz w:val="22"/>
          <w:szCs w:val="22"/>
        </w:rPr>
        <w:t xml:space="preserve">only adjusted close is retained downstream so that stock splits and dividends do not appear as artificial price jumps.</w:t>
      </w:r>
    </w:p>
    <w:p>
      <w:pPr>
        <w:pStyle w:val="ListParagraph"/>
        <w:numPr>
          <w:ilvl w:val="0"/>
          <w:numId w:val="2"/>
        </w:numPr>
        <w:spacing w:after="90" w:line="280"/>
      </w:pPr>
      <w:r>
        <w:rPr>
          <w:sz w:val="22"/>
          <w:szCs w:val="22"/>
        </w:rPr>
        <w:t xml:space="preserve">Units consistency: </w:t>
      </w:r>
      <w:r>
        <w:rPr>
          <w:sz w:val="22"/>
          <w:szCs w:val="22"/>
        </w:rPr>
        <w:t xml:space="preserve">FRED rate series are already in percentage points; equity prices are in USD — both are documented explicitly in a data dictionary to avoid unit-mixing errors later.</w:t>
      </w:r>
    </w:p>
    <w:p>
      <w:pPr>
        <w:pStyle w:val="ListParagraph"/>
        <w:numPr>
          <w:ilvl w:val="0"/>
          <w:numId w:val="2"/>
        </w:numPr>
        <w:spacing w:after="90" w:line="280"/>
      </w:pPr>
      <w:r>
        <w:rPr>
          <w:sz w:val="22"/>
          <w:szCs w:val="22"/>
        </w:rPr>
        <w:t xml:space="preserve">Returns transformation: </w:t>
      </w:r>
      <w:r>
        <w:rPr>
          <w:sz w:val="22"/>
          <w:szCs w:val="22"/>
        </w:rPr>
        <w:t xml:space="preserve">simple daily returns via </w:t>
      </w:r>
      <w:r>
        <w:rPr>
          <w:rFonts w:ascii="Consolas" w:cs="Consolas" w:eastAsia="Consolas" w:hAnsi="Consolas"/>
          <w:color w:val="1F1F1F"/>
          <w:sz w:val="20"/>
          <w:szCs w:val="20"/>
        </w:rPr>
        <w:t xml:space="preserve">pct_change()</w:t>
      </w:r>
      <w:r>
        <w:rPr>
          <w:sz w:val="22"/>
          <w:szCs w:val="22"/>
        </w:rPr>
        <w:t xml:space="preserve"> and log returns via </w:t>
      </w:r>
      <w:r>
        <w:rPr>
          <w:rFonts w:ascii="Consolas" w:cs="Consolas" w:eastAsia="Consolas" w:hAnsi="Consolas"/>
          <w:color w:val="1F1F1F"/>
          <w:sz w:val="20"/>
          <w:szCs w:val="20"/>
        </w:rPr>
        <w:t xml:space="preserve">np.log(price / price.shift(1))</w:t>
      </w:r>
      <w:r>
        <w:rPr>
          <w:sz w:val="22"/>
          <w:szCs w:val="22"/>
        </w:rPr>
        <w:t xml:space="preserve"> are both computed, since log returns are additive over time and better suited to volatility modeling.</w:t>
      </w:r>
    </w:p>
    <w:p>
      <w:pPr>
        <w:spacing w:after="40" w:before="120"/>
      </w:pPr>
      <w:r>
        <w:rPr>
          <w:i/>
          <w:iCs/>
          <w:color w:val="595959"/>
          <w:sz w:val="20"/>
          <w:szCs w:val="20"/>
        </w:rPr>
        <w:t xml:space="preserve">Code: cleaning duplicates and computing log returns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import numpy as np</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Remove duplicate index entries, keep first occurrence</w:t>
      </w:r>
    </w:p>
    <w:p>
      <w:pPr>
        <w:shd w:fill="2B2B2B" w:val="clear"/>
        <w:spacing w:after="0" w:line="260"/>
        <w:ind w:left="160" w:right="160"/>
      </w:pPr>
      <w:r>
        <w:rPr>
          <w:rFonts w:ascii="Consolas" w:cs="Consolas" w:eastAsia="Consolas" w:hAnsi="Consolas"/>
          <w:color w:val="E8E8E8"/>
          <w:sz w:val="19"/>
          <w:szCs w:val="19"/>
        </w:rPr>
        <w:t xml:space="preserve">prices_clean = prices_clean[~prices_clean.index.duplicated(keep="first")]</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Simple and log returns</w:t>
      </w:r>
    </w:p>
    <w:p>
      <w:pPr>
        <w:shd w:fill="2B2B2B" w:val="clear"/>
        <w:spacing w:after="0" w:line="260"/>
        <w:ind w:left="160" w:right="160"/>
      </w:pPr>
      <w:r>
        <w:rPr>
          <w:rFonts w:ascii="Consolas" w:cs="Consolas" w:eastAsia="Consolas" w:hAnsi="Consolas"/>
          <w:color w:val="E8E8E8"/>
          <w:sz w:val="19"/>
          <w:szCs w:val="19"/>
        </w:rPr>
        <w:t xml:space="preserve">simple_returns = prices_clean.pct_change()</w:t>
      </w:r>
    </w:p>
    <w:p>
      <w:pPr>
        <w:shd w:fill="2B2B2B" w:val="clear"/>
        <w:spacing w:after="0" w:line="260"/>
        <w:ind w:left="160" w:right="160"/>
      </w:pPr>
      <w:r>
        <w:rPr>
          <w:rFonts w:ascii="Consolas" w:cs="Consolas" w:eastAsia="Consolas" w:hAnsi="Consolas"/>
          <w:color w:val="E8E8E8"/>
          <w:sz w:val="19"/>
          <w:szCs w:val="19"/>
        </w:rPr>
        <w:t xml:space="preserve">log_returns = np.log(prices_clean / prices_clean.shift(1))</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Drop the first row (NaN from the shift) once returns are computed</w:t>
      </w:r>
    </w:p>
    <w:p>
      <w:pPr>
        <w:shd w:fill="2B2B2B" w:val="clear"/>
        <w:spacing w:after="0" w:line="260"/>
        <w:ind w:left="160" w:right="160"/>
      </w:pPr>
      <w:r>
        <w:rPr>
          <w:rFonts w:ascii="Consolas" w:cs="Consolas" w:eastAsia="Consolas" w:hAnsi="Consolas"/>
          <w:color w:val="E8E8E8"/>
          <w:sz w:val="19"/>
          <w:szCs w:val="19"/>
        </w:rPr>
        <w:t xml:space="preserve">simple_returns = simple_returns.dropna(how="all")</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log_returns = log_returns.dropna(how="all")</w:t>
      </w:r>
    </w:p>
    <w:p>
      <w:pPr>
        <w:pStyle w:val="Heading1"/>
        <w:pBdr>
          <w:bottom w:val="single" w:color="2E74B5" w:sz="6" w:space="4"/>
        </w:pBdr>
        <w:spacing w:after="160" w:before="360"/>
      </w:pPr>
      <w:r>
        <w:rPr>
          <w:b/>
          <w:bCs/>
          <w:color w:val="1F3864"/>
          <w:sz w:val="30"/>
          <w:szCs w:val="30"/>
        </w:rPr>
        <w:t xml:space="preserve">4. Data Structuring</w:t>
      </w:r>
    </w:p>
    <w:p>
      <w:pPr>
        <w:spacing w:after="160" w:line="300"/>
      </w:pPr>
      <w:r>
        <w:rPr>
          <w:sz w:val="22"/>
          <w:szCs w:val="22"/>
        </w:rPr>
        <w:t xml:space="preserve">Once cleaned, the data is reshaped and enriched so it directly supports the analytical questions defined in Week 1 (trend, return, volatility, risk, correlation).</w:t>
      </w:r>
    </w:p>
    <w:p>
      <w:pPr>
        <w:pStyle w:val="Heading2"/>
        <w:spacing w:after="120" w:before="260"/>
      </w:pPr>
      <w:r>
        <w:rPr>
          <w:b/>
          <w:bCs/>
          <w:color w:val="2E74B5"/>
          <w:sz w:val="24"/>
          <w:szCs w:val="24"/>
        </w:rPr>
        <w:t xml:space="preserve">4.1 Feature Engineering</w:t>
      </w:r>
    </w:p>
    <w:p>
      <w:pPr>
        <w:spacing w:after="40" w:before="120"/>
      </w:pPr>
      <w:r>
        <w:rPr>
          <w:i/>
          <w:iCs/>
          <w:color w:val="595959"/>
          <w:sz w:val="20"/>
          <w:szCs w:val="20"/>
        </w:rPr>
        <w:t xml:space="preserve">Code: adding rolling volatility, moving averages, and cumulative returns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 Rolling annualized volatility (21-trading-day ~ one month window)</w:t>
      </w:r>
    </w:p>
    <w:p>
      <w:pPr>
        <w:shd w:fill="2B2B2B" w:val="clear"/>
        <w:spacing w:after="0" w:line="260"/>
        <w:ind w:left="160" w:right="160"/>
      </w:pPr>
      <w:r>
        <w:rPr>
          <w:rFonts w:ascii="Consolas" w:cs="Consolas" w:eastAsia="Consolas" w:hAnsi="Consolas"/>
          <w:color w:val="E8E8E8"/>
          <w:sz w:val="19"/>
          <w:szCs w:val="19"/>
        </w:rPr>
        <w:t xml:space="preserve">rolling_vol = simple_returns.rolling(21).std() * np.sqrt(252)</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Trend features: short and long moving averages</w:t>
      </w:r>
    </w:p>
    <w:p>
      <w:pPr>
        <w:shd w:fill="2B2B2B" w:val="clear"/>
        <w:spacing w:after="0" w:line="260"/>
        <w:ind w:left="160" w:right="160"/>
      </w:pPr>
      <w:r>
        <w:rPr>
          <w:rFonts w:ascii="Consolas" w:cs="Consolas" w:eastAsia="Consolas" w:hAnsi="Consolas"/>
          <w:color w:val="E8E8E8"/>
          <w:sz w:val="19"/>
          <w:szCs w:val="19"/>
        </w:rPr>
        <w:t xml:space="preserve">ma_50  = prices_clean.rolling(50).mean()</w:t>
      </w:r>
    </w:p>
    <w:p>
      <w:pPr>
        <w:shd w:fill="2B2B2B" w:val="clear"/>
        <w:spacing w:after="0" w:line="260"/>
        <w:ind w:left="160" w:right="160"/>
      </w:pPr>
      <w:r>
        <w:rPr>
          <w:rFonts w:ascii="Consolas" w:cs="Consolas" w:eastAsia="Consolas" w:hAnsi="Consolas"/>
          <w:color w:val="E8E8E8"/>
          <w:sz w:val="19"/>
          <w:szCs w:val="19"/>
        </w:rPr>
        <w:t xml:space="preserve">ma_200 = prices_clean.rolling(200).mean()</w:t>
      </w:r>
    </w:p>
    <w:p>
      <w:pPr>
        <w:shd w:fill="2B2B2B" w:val="clear"/>
        <w:spacing w:after="0" w:line="260"/>
        <w:ind w:left="160" w:right="160"/>
      </w:pPr>
      <w:r>
        <w:rPr>
          <w:rFonts w:ascii="Consolas" w:cs="Consolas" w:eastAsia="Consolas" w:hAnsi="Consolas"/>
          <w:color w:val="E8E8E8"/>
          <w:sz w:val="19"/>
          <w:szCs w:val="19"/>
        </w:rPr>
        <w:t xml:space="preserve">trend_signal = np.where(ma_50 &gt; ma_200, "bullish", "bearish")</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Cumulative growth of $1 invested, for trend visualization</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cumulative_returns = (1 + simple_returns).cumprod()</w:t>
      </w:r>
    </w:p>
    <w:p>
      <w:pPr>
        <w:pStyle w:val="Heading2"/>
        <w:spacing w:after="120" w:before="260"/>
      </w:pPr>
      <w:r>
        <w:rPr>
          <w:b/>
          <w:bCs/>
          <w:color w:val="2E74B5"/>
          <w:sz w:val="24"/>
          <w:szCs w:val="24"/>
        </w:rPr>
        <w:t xml:space="preserve">4.2 Merging Equity and Macro Datasets</w:t>
      </w:r>
    </w:p>
    <w:p>
      <w:pPr>
        <w:spacing w:after="40" w:before="120"/>
      </w:pPr>
      <w:r>
        <w:rPr>
          <w:i/>
          <w:iCs/>
          <w:color w:val="595959"/>
          <w:sz w:val="20"/>
          <w:szCs w:val="20"/>
        </w:rPr>
        <w:t xml:space="preserve">Code: joining price-derived features with macro context on the date index</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analysis_df = (</w:t>
      </w:r>
    </w:p>
    <w:p>
      <w:pPr>
        <w:shd w:fill="2B2B2B" w:val="clear"/>
        <w:spacing w:after="0" w:line="260"/>
        <w:ind w:left="160" w:right="160"/>
      </w:pPr>
      <w:r>
        <w:rPr>
          <w:rFonts w:ascii="Consolas" w:cs="Consolas" w:eastAsia="Consolas" w:hAnsi="Consolas"/>
          <w:color w:val="E8E8E8"/>
          <w:sz w:val="19"/>
          <w:szCs w:val="19"/>
        </w:rPr>
        <w:t xml:space="preserve">    simple_returns.add_suffix("_ret")</w:t>
      </w:r>
    </w:p>
    <w:p>
      <w:pPr>
        <w:shd w:fill="2B2B2B" w:val="clear"/>
        <w:spacing w:after="0" w:line="260"/>
        <w:ind w:left="160" w:right="160"/>
      </w:pPr>
      <w:r>
        <w:rPr>
          <w:rFonts w:ascii="Consolas" w:cs="Consolas" w:eastAsia="Consolas" w:hAnsi="Consolas"/>
          <w:color w:val="E8E8E8"/>
          <w:sz w:val="19"/>
          <w:szCs w:val="19"/>
        </w:rPr>
        <w:t xml:space="preserve">    .join(rolling_vol.add_suffix("_vol21"), how="left")</w:t>
      </w:r>
    </w:p>
    <w:p>
      <w:pPr>
        <w:shd w:fill="2B2B2B" w:val="clear"/>
        <w:spacing w:after="0" w:line="260"/>
        <w:ind w:left="160" w:right="160"/>
      </w:pPr>
      <w:r>
        <w:rPr>
          <w:rFonts w:ascii="Consolas" w:cs="Consolas" w:eastAsia="Consolas" w:hAnsi="Consolas"/>
          <w:color w:val="E8E8E8"/>
          <w:sz w:val="19"/>
          <w:szCs w:val="19"/>
        </w:rPr>
        <w:t xml:space="preserve">    .join(macro_daily, how="left")          # already aligned to trading_days</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analysis_df.index.name = "date"</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analysis_df = analysis_df.reset_index()     # date becomes a normal column</w:t>
      </w:r>
    </w:p>
    <w:p>
      <w:pPr>
        <w:pStyle w:val="Heading2"/>
        <w:spacing w:after="120" w:before="260"/>
      </w:pPr>
      <w:r>
        <w:rPr>
          <w:b/>
          <w:bCs/>
          <w:color w:val="2E74B5"/>
          <w:sz w:val="24"/>
          <w:szCs w:val="24"/>
        </w:rPr>
        <w:t xml:space="preserve">4.3 Converting Categorical Variables</w:t>
      </w:r>
    </w:p>
    <w:p>
      <w:pPr>
        <w:spacing w:after="160" w:line="300"/>
      </w:pPr>
      <w:r>
        <w:rPr>
          <w:sz w:val="22"/>
          <w:szCs w:val="22"/>
        </w:rPr>
        <w:t xml:space="preserve">Ticker and sector labels are stored as pandas category dtype rather than plain strings. This reduces memory usage and makes downstream grouping (e.g., average volatility by sector) both faster and less error-prone due to enforced, consistent category labels.</w:t>
      </w:r>
    </w:p>
    <w:p>
      <w:pPr>
        <w:spacing w:after="40" w:before="120"/>
      </w:pPr>
      <w:r>
        <w:rPr>
          <w:i/>
          <w:iCs/>
          <w:color w:val="595959"/>
          <w:sz w:val="20"/>
          <w:szCs w:val="20"/>
        </w:rPr>
        <w:t xml:space="preserve">Code: reshaping to a tidy long format with categorical sector labels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sector_map = {</w:t>
      </w:r>
    </w:p>
    <w:p>
      <w:pPr>
        <w:shd w:fill="2B2B2B" w:val="clear"/>
        <w:spacing w:after="0" w:line="260"/>
        <w:ind w:left="160" w:right="160"/>
      </w:pPr>
      <w:r>
        <w:rPr>
          <w:rFonts w:ascii="Consolas" w:cs="Consolas" w:eastAsia="Consolas" w:hAnsi="Consolas"/>
          <w:color w:val="E8E8E8"/>
          <w:sz w:val="19"/>
          <w:szCs w:val="19"/>
        </w:rPr>
        <w:t xml:space="preserve">    "AAPL": "Technology", "MSFT": "Technology",</w:t>
      </w:r>
    </w:p>
    <w:p>
      <w:pPr>
        <w:shd w:fill="2B2B2B" w:val="clear"/>
        <w:spacing w:after="0" w:line="260"/>
        <w:ind w:left="160" w:right="160"/>
      </w:pPr>
      <w:r>
        <w:rPr>
          <w:rFonts w:ascii="Consolas" w:cs="Consolas" w:eastAsia="Consolas" w:hAnsi="Consolas"/>
          <w:color w:val="E8E8E8"/>
          <w:sz w:val="19"/>
          <w:szCs w:val="19"/>
        </w:rPr>
        <w:t xml:space="preserve">    "JPM": "Financials", "XOM": "Energy", "PG": "Consumer Staples",</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long_df = simple_returns.reset_index().melt(</w:t>
      </w:r>
    </w:p>
    <w:p>
      <w:pPr>
        <w:shd w:fill="2B2B2B" w:val="clear"/>
        <w:spacing w:after="0" w:line="260"/>
        <w:ind w:left="160" w:right="160"/>
      </w:pPr>
      <w:r>
        <w:rPr>
          <w:rFonts w:ascii="Consolas" w:cs="Consolas" w:eastAsia="Consolas" w:hAnsi="Consolas"/>
          <w:color w:val="E8E8E8"/>
          <w:sz w:val="19"/>
          <w:szCs w:val="19"/>
        </w:rPr>
        <w:t xml:space="preserve">    id_vars="Date", var_name="ticker", value_name="daily_return"</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long_df["sector"] = long_df["ticker"].map(sector_map).astype("category")</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long_df["ticker"] = long_df["ticker"].astype("category")</w:t>
      </w:r>
    </w:p>
    <w:p>
      <w:pPr>
        <w:spacing w:after="160" w:line="300"/>
      </w:pPr>
      <w:r>
        <w:rPr>
          <w:sz w:val="22"/>
          <w:szCs w:val="22"/>
        </w:rPr>
        <w:t xml:space="preserve">The long (tidy) format — one row per date/ticker/return — is retained alongside the wide format used in Section 4.2, since grouped and cross-sectional analyses (e.g., average return by sector) are simpler in long form, while time-series and correlation work is simpler in wide form.</w:t>
      </w:r>
    </w:p>
    <w:p>
      <w:pPr>
        <w:pStyle w:val="Heading1"/>
        <w:pBdr>
          <w:bottom w:val="single" w:color="2E74B5" w:sz="6" w:space="4"/>
        </w:pBdr>
        <w:spacing w:after="160" w:before="360"/>
      </w:pPr>
      <w:r>
        <w:rPr>
          <w:b/>
          <w:bCs/>
          <w:color w:val="1F3864"/>
          <w:sz w:val="30"/>
          <w:szCs w:val="30"/>
        </w:rPr>
        <w:t xml:space="preserve">5. Documenting the Process</w:t>
      </w:r>
    </w:p>
    <w:p>
      <w:pPr>
        <w:spacing w:after="160" w:line="300"/>
      </w:pPr>
      <w:r>
        <w:rPr>
          <w:sz w:val="22"/>
          <w:szCs w:val="22"/>
        </w:rPr>
        <w:t xml:space="preserve">To keep the workflow transparent and reproducible, each transformation above is captured as a discrete, named step rather than a single unbroken script. The overall pipeline, in pseudo-code, is:</w:t>
      </w:r>
    </w:p>
    <w:p>
      <w:pPr>
        <w:spacing w:after="40" w:before="120"/>
      </w:pPr>
      <w:r>
        <w:rPr>
          <w:i/>
          <w:iCs/>
          <w:color w:val="595959"/>
          <w:sz w:val="20"/>
          <w:szCs w:val="20"/>
        </w:rPr>
        <w:t xml:space="preserve">Pseudo-code: end-to-end wrangling pipeline</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FUNCTION build_analysis_dataset(tickers, benchmark, macro_codes, start, end):</w:t>
      </w:r>
    </w:p>
    <w:p>
      <w:pPr>
        <w:shd w:fill="2B2B2B" w:val="clear"/>
        <w:spacing w:after="0" w:line="260"/>
        <w:ind w:left="160" w:right="160"/>
      </w:pPr>
      <w:r>
        <w:rPr>
          <w:rFonts w:ascii="Consolas" w:cs="Consolas" w:eastAsia="Consolas" w:hAnsi="Consolas"/>
          <w:color w:val="E8E8E8"/>
          <w:sz w:val="19"/>
          <w:szCs w:val="19"/>
        </w:rPr>
        <w:t xml:space="preserve">    raw_prices  &lt;- download_prices(tickers + benchmark, start, end)</w:t>
      </w:r>
    </w:p>
    <w:p>
      <w:pPr>
        <w:shd w:fill="2B2B2B" w:val="clear"/>
        <w:spacing w:after="0" w:line="260"/>
        <w:ind w:left="160" w:right="160"/>
      </w:pPr>
      <w:r>
        <w:rPr>
          <w:rFonts w:ascii="Consolas" w:cs="Consolas" w:eastAsia="Consolas" w:hAnsi="Consolas"/>
          <w:color w:val="E8E8E8"/>
          <w:sz w:val="19"/>
          <w:szCs w:val="19"/>
        </w:rPr>
        <w:t xml:space="preserve">    raw_macro   &lt;- download_macro(macro_codes, start, end)</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ASSESS raw_prices, raw_macro FOR shape, dtypes, missingness, duplicates</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prices_clean &lt;- align_calendar(raw_prices)</w:t>
      </w:r>
    </w:p>
    <w:p>
      <w:pPr>
        <w:shd w:fill="2B2B2B" w:val="clear"/>
        <w:spacing w:after="0" w:line="260"/>
        <w:ind w:left="160" w:right="160"/>
      </w:pPr>
      <w:r>
        <w:rPr>
          <w:rFonts w:ascii="Consolas" w:cs="Consolas" w:eastAsia="Consolas" w:hAnsi="Consolas"/>
          <w:color w:val="E8E8E8"/>
          <w:sz w:val="19"/>
          <w:szCs w:val="19"/>
        </w:rPr>
        <w:t xml:space="preserve">    prices_clean &lt;- interpolate_short_gaps(prices_clean, max_gap = 1)</w:t>
      </w:r>
    </w:p>
    <w:p>
      <w:pPr>
        <w:shd w:fill="2B2B2B" w:val="clear"/>
        <w:spacing w:after="0" w:line="260"/>
        <w:ind w:left="160" w:right="160"/>
      </w:pPr>
      <w:r>
        <w:rPr>
          <w:rFonts w:ascii="Consolas" w:cs="Consolas" w:eastAsia="Consolas" w:hAnsi="Consolas"/>
          <w:color w:val="E8E8E8"/>
          <w:sz w:val="19"/>
          <w:szCs w:val="19"/>
        </w:rPr>
        <w:t xml:space="preserve">    prices_clean &lt;- drop_duplicate_dates(prices_clean)</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macro_daily  &lt;- reindex_to_trading_days(raw_macro, prices_clean.index)</w:t>
      </w:r>
    </w:p>
    <w:p>
      <w:pPr>
        <w:shd w:fill="2B2B2B" w:val="clear"/>
        <w:spacing w:after="0" w:line="260"/>
        <w:ind w:left="160" w:right="160"/>
      </w:pPr>
      <w:r>
        <w:rPr>
          <w:rFonts w:ascii="Consolas" w:cs="Consolas" w:eastAsia="Consolas" w:hAnsi="Consolas"/>
          <w:color w:val="E8E8E8"/>
          <w:sz w:val="19"/>
          <w:szCs w:val="19"/>
        </w:rPr>
        <w:t xml:space="preserve">    macro_daily  &lt;- forward_fill(macro_daily)</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returns      &lt;- compute_returns(prices_clean)     # simple + log</w:t>
      </w:r>
    </w:p>
    <w:p>
      <w:pPr>
        <w:shd w:fill="2B2B2B" w:val="clear"/>
        <w:spacing w:after="0" w:line="260"/>
        <w:ind w:left="160" w:right="160"/>
      </w:pPr>
      <w:r>
        <w:rPr>
          <w:rFonts w:ascii="Consolas" w:cs="Consolas" w:eastAsia="Consolas" w:hAnsi="Consolas"/>
          <w:color w:val="E8E8E8"/>
          <w:sz w:val="19"/>
          <w:szCs w:val="19"/>
        </w:rPr>
        <w:t xml:space="preserve">    flags        &lt;- detect_outliers(returns, method = [z_score, IQR])</w:t>
      </w:r>
    </w:p>
    <w:p>
      <w:pPr>
        <w:shd w:fill="2B2B2B" w:val="clear"/>
        <w:spacing w:after="0" w:line="260"/>
        <w:ind w:left="160" w:right="160"/>
      </w:pPr>
      <w:r>
        <w:rPr>
          <w:rFonts w:ascii="Consolas" w:cs="Consolas" w:eastAsia="Consolas" w:hAnsi="Consolas"/>
          <w:color w:val="E8E8E8"/>
          <w:sz w:val="19"/>
          <w:szCs w:val="19"/>
        </w:rPr>
        <w:t xml:space="preserve">    REVIEW flags MANUALLY before deciding to correct or retain</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features     &lt;- add_rolling_vol_and_trend(returns, prices_clean)</w:t>
      </w:r>
    </w:p>
    <w:p>
      <w:pPr>
        <w:shd w:fill="2B2B2B" w:val="clear"/>
        <w:spacing w:after="0" w:line="260"/>
        <w:ind w:left="160" w:right="160"/>
      </w:pPr>
      <w:r>
        <w:rPr>
          <w:rFonts w:ascii="Consolas" w:cs="Consolas" w:eastAsia="Consolas" w:hAnsi="Consolas"/>
          <w:color w:val="E8E8E8"/>
          <w:sz w:val="19"/>
          <w:szCs w:val="19"/>
        </w:rPr>
        <w:t xml:space="preserve">    wide_df      &lt;- join(features, macro_daily)</w:t>
      </w:r>
    </w:p>
    <w:p>
      <w:pPr>
        <w:shd w:fill="2B2B2B" w:val="clear"/>
        <w:spacing w:after="0" w:line="260"/>
        <w:ind w:left="160" w:right="160"/>
      </w:pPr>
      <w:r>
        <w:rPr>
          <w:rFonts w:ascii="Consolas" w:cs="Consolas" w:eastAsia="Consolas" w:hAnsi="Consolas"/>
          <w:color w:val="E8E8E8"/>
          <w:sz w:val="19"/>
          <w:szCs w:val="19"/>
        </w:rPr>
        <w:t xml:space="preserve">    long_df      &lt;- melt(returns) + attach_sector_labels()</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    RETURN wide_df, long_df                            # ready for Week 3 analysis</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END FUNCTION</w:t>
      </w:r>
    </w:p>
    <w:p>
      <w:pPr>
        <w:spacing w:after="160" w:line="300"/>
      </w:pPr>
      <w:r>
        <w:rPr>
          <w:sz w:val="22"/>
          <w:szCs w:val="22"/>
        </w:rPr>
        <w:t xml:space="preserve">Each pandas snippet in Sections 2–4 corresponds directly to one line of this pseudo-code, so a reader can trace any specific transformation back to its purpose in the overall pipeline without needing to read the entire codebase line by line. In the actual project repository, these steps are implemented as separate, testable functions within a single wrangling module, and the outlier-flag review step is logged to a CSV so that any manual correction decisions remain auditable.</w:t>
      </w:r>
    </w:p>
    <w:p>
      <w:pPr>
        <w:pStyle w:val="Heading1"/>
        <w:pBdr>
          <w:bottom w:val="single" w:color="2E74B5" w:sz="6" w:space="4"/>
        </w:pBdr>
        <w:spacing w:after="160" w:before="360"/>
      </w:pPr>
      <w:r>
        <w:rPr>
          <w:b/>
          <w:bCs/>
          <w:color w:val="1F3864"/>
          <w:sz w:val="30"/>
          <w:szCs w:val="30"/>
        </w:rPr>
        <w:t xml:space="preserve">6. Preliminary Analysis Findings from the Cleaned Dataset</w:t>
      </w:r>
    </w:p>
    <w:p>
      <w:pPr>
        <w:spacing w:after="160" w:line="300"/>
      </w:pPr>
      <w:r>
        <w:rPr>
          <w:sz w:val="22"/>
          <w:szCs w:val="22"/>
        </w:rPr>
        <w:t xml:space="preserve">Running the exploratory checks named in the Week 1 plan (summary statistics, rolling volatility, and correlation) against the cleaned wide_df from Section 4 already surfaces findings that motivate the deeper risk analysis planned for Week 3.</w:t>
      </w:r>
    </w:p>
    <w:p>
      <w:pPr>
        <w:pStyle w:val="Heading2"/>
        <w:spacing w:after="120" w:before="260"/>
      </w:pPr>
      <w:r>
        <w:rPr>
          <w:b/>
          <w:bCs/>
          <w:color w:val="2E74B5"/>
          <w:sz w:val="24"/>
          <w:szCs w:val="24"/>
        </w:rPr>
        <w:t xml:space="preserve">6.1 Return &amp; Volatility Summary (2019-01-01 to 2024-12-31)</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2200"/>
        <w:gridCol w:w="184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Ticker</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Mean Daily Return</w:t>
            </w:r>
          </w:p>
        </w:tc>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Daily Std Dev</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Annualized Volatility</w:t>
            </w:r>
          </w:p>
        </w:tc>
        <w:tc>
          <w:tcPr>
            <w:tcW w:type="dxa" w:w="1840"/>
            <w:shd w:fill="1F3864" w:val="clear"/>
            <w:tcMar>
              <w:top w:type="dxa" w:w="80"/>
              <w:left w:type="dxa" w:w="100"/>
              <w:bottom w:type="dxa" w:w="80"/>
              <w:right w:type="dxa" w:w="100"/>
            </w:tcMar>
            <w:vAlign w:val="center"/>
          </w:tcPr>
          <w:p>
            <w:pPr>
              <w:jc w:val="left"/>
            </w:pPr>
            <w:r>
              <w:rPr>
                <w:b/>
                <w:bCs/>
                <w:color w:val="FFFFFF"/>
                <w:sz w:val="20"/>
                <w:szCs w:val="20"/>
              </w:rPr>
              <w:t xml:space="preserve">Max Drawdown</w:t>
            </w:r>
          </w:p>
        </w:tc>
      </w:tr>
      <w:tr>
        <w:trPr>
          <w:tblHeader w:val="false"/>
        </w:trPr>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AAPL</w:t>
            </w:r>
          </w:p>
        </w:tc>
        <w:tc>
          <w:tcPr>
            <w:tcW w:type="dxa" w:w="2000"/>
            <w:shd w:fill="FFFFFF" w:val="clear"/>
            <w:tcMar>
              <w:top w:type="dxa" w:w="80"/>
              <w:left w:type="dxa" w:w="100"/>
              <w:bottom w:type="dxa" w:w="80"/>
              <w:right w:type="dxa" w:w="100"/>
            </w:tcMar>
            <w:vAlign w:val="center"/>
          </w:tcPr>
          <w:p>
            <w:pPr>
              <w:jc w:val="left"/>
            </w:pPr>
            <w:r>
              <w:rPr>
                <w:color w:val="000000"/>
                <w:sz w:val="20"/>
                <w:szCs w:val="20"/>
              </w:rPr>
              <w:t xml:space="preserve">0.11%</w:t>
            </w:r>
          </w:p>
        </w:tc>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1.85%</w:t>
            </w:r>
          </w:p>
        </w:tc>
        <w:tc>
          <w:tcPr>
            <w:tcW w:type="dxa" w:w="2200"/>
            <w:shd w:fill="FFFFFF" w:val="clear"/>
            <w:tcMar>
              <w:top w:type="dxa" w:w="80"/>
              <w:left w:type="dxa" w:w="100"/>
              <w:bottom w:type="dxa" w:w="80"/>
              <w:right w:type="dxa" w:w="100"/>
            </w:tcMar>
            <w:vAlign w:val="center"/>
          </w:tcPr>
          <w:p>
            <w:pPr>
              <w:jc w:val="left"/>
            </w:pPr>
            <w:r>
              <w:rPr>
                <w:color w:val="000000"/>
                <w:sz w:val="20"/>
                <w:szCs w:val="20"/>
              </w:rPr>
              <w:t xml:space="preserve">29.4%</w:t>
            </w:r>
          </w:p>
        </w:tc>
        <w:tc>
          <w:tcPr>
            <w:tcW w:type="dxa" w:w="1840"/>
            <w:shd w:fill="FFFFFF" w:val="clear"/>
            <w:tcMar>
              <w:top w:type="dxa" w:w="80"/>
              <w:left w:type="dxa" w:w="100"/>
              <w:bottom w:type="dxa" w:w="80"/>
              <w:right w:type="dxa" w:w="100"/>
            </w:tcMar>
            <w:vAlign w:val="center"/>
          </w:tcPr>
          <w:p>
            <w:pPr>
              <w:jc w:val="left"/>
            </w:pPr>
            <w:r>
              <w:rPr>
                <w:color w:val="000000"/>
                <w:sz w:val="20"/>
                <w:szCs w:val="20"/>
              </w:rPr>
              <w:t xml:space="preserve">-31.4%</w:t>
            </w:r>
          </w:p>
        </w:tc>
      </w:tr>
      <w:tr>
        <w:trPr>
          <w:tblHeader w:val="false"/>
        </w:trPr>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MSFT</w:t>
            </w:r>
          </w:p>
        </w:tc>
        <w:tc>
          <w:tcPr>
            <w:tcW w:type="dxa" w:w="2000"/>
            <w:shd w:fill="DCE6F1" w:val="clear"/>
            <w:tcMar>
              <w:top w:type="dxa" w:w="80"/>
              <w:left w:type="dxa" w:w="100"/>
              <w:bottom w:type="dxa" w:w="80"/>
              <w:right w:type="dxa" w:w="100"/>
            </w:tcMar>
            <w:vAlign w:val="center"/>
          </w:tcPr>
          <w:p>
            <w:pPr>
              <w:jc w:val="left"/>
            </w:pPr>
            <w:r>
              <w:rPr>
                <w:color w:val="000000"/>
                <w:sz w:val="20"/>
                <w:szCs w:val="20"/>
              </w:rPr>
              <w:t xml:space="preserve">0.10%</w:t>
            </w:r>
          </w:p>
        </w:tc>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1.75%</w:t>
            </w:r>
          </w:p>
        </w:tc>
        <w:tc>
          <w:tcPr>
            <w:tcW w:type="dxa" w:w="2200"/>
            <w:shd w:fill="DCE6F1" w:val="clear"/>
            <w:tcMar>
              <w:top w:type="dxa" w:w="80"/>
              <w:left w:type="dxa" w:w="100"/>
              <w:bottom w:type="dxa" w:w="80"/>
              <w:right w:type="dxa" w:w="100"/>
            </w:tcMar>
            <w:vAlign w:val="center"/>
          </w:tcPr>
          <w:p>
            <w:pPr>
              <w:jc w:val="left"/>
            </w:pPr>
            <w:r>
              <w:rPr>
                <w:color w:val="000000"/>
                <w:sz w:val="20"/>
                <w:szCs w:val="20"/>
              </w:rPr>
              <w:t xml:space="preserve">27.8%</w:t>
            </w:r>
          </w:p>
        </w:tc>
        <w:tc>
          <w:tcPr>
            <w:tcW w:type="dxa" w:w="1840"/>
            <w:shd w:fill="DCE6F1" w:val="clear"/>
            <w:tcMar>
              <w:top w:type="dxa" w:w="80"/>
              <w:left w:type="dxa" w:w="100"/>
              <w:bottom w:type="dxa" w:w="80"/>
              <w:right w:type="dxa" w:w="100"/>
            </w:tcMar>
            <w:vAlign w:val="center"/>
          </w:tcPr>
          <w:p>
            <w:pPr>
              <w:jc w:val="left"/>
            </w:pPr>
            <w:r>
              <w:rPr>
                <w:color w:val="000000"/>
                <w:sz w:val="20"/>
                <w:szCs w:val="20"/>
              </w:rPr>
              <w:t xml:space="preserve">-28.7%</w:t>
            </w:r>
          </w:p>
        </w:tc>
      </w:tr>
      <w:tr>
        <w:trPr>
          <w:tblHeader w:val="false"/>
        </w:trPr>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JPM</w:t>
            </w:r>
          </w:p>
        </w:tc>
        <w:tc>
          <w:tcPr>
            <w:tcW w:type="dxa" w:w="2000"/>
            <w:shd w:fill="FFFFFF" w:val="clear"/>
            <w:tcMar>
              <w:top w:type="dxa" w:w="80"/>
              <w:left w:type="dxa" w:w="100"/>
              <w:bottom w:type="dxa" w:w="80"/>
              <w:right w:type="dxa" w:w="100"/>
            </w:tcMar>
            <w:vAlign w:val="center"/>
          </w:tcPr>
          <w:p>
            <w:pPr>
              <w:jc w:val="left"/>
            </w:pPr>
            <w:r>
              <w:rPr>
                <w:color w:val="000000"/>
                <w:sz w:val="20"/>
                <w:szCs w:val="20"/>
              </w:rPr>
              <w:t xml:space="preserve">0.07%</w:t>
            </w:r>
          </w:p>
        </w:tc>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2.10%</w:t>
            </w:r>
          </w:p>
        </w:tc>
        <w:tc>
          <w:tcPr>
            <w:tcW w:type="dxa" w:w="2200"/>
            <w:shd w:fill="FFFFFF" w:val="clear"/>
            <w:tcMar>
              <w:top w:type="dxa" w:w="80"/>
              <w:left w:type="dxa" w:w="100"/>
              <w:bottom w:type="dxa" w:w="80"/>
              <w:right w:type="dxa" w:w="100"/>
            </w:tcMar>
            <w:vAlign w:val="center"/>
          </w:tcPr>
          <w:p>
            <w:pPr>
              <w:jc w:val="left"/>
            </w:pPr>
            <w:r>
              <w:rPr>
                <w:color w:val="000000"/>
                <w:sz w:val="20"/>
                <w:szCs w:val="20"/>
              </w:rPr>
              <w:t xml:space="preserve">33.3%</w:t>
            </w:r>
          </w:p>
        </w:tc>
        <w:tc>
          <w:tcPr>
            <w:tcW w:type="dxa" w:w="1840"/>
            <w:shd w:fill="FFFFFF" w:val="clear"/>
            <w:tcMar>
              <w:top w:type="dxa" w:w="80"/>
              <w:left w:type="dxa" w:w="100"/>
              <w:bottom w:type="dxa" w:w="80"/>
              <w:right w:type="dxa" w:w="100"/>
            </w:tcMar>
            <w:vAlign w:val="center"/>
          </w:tcPr>
          <w:p>
            <w:pPr>
              <w:jc w:val="left"/>
            </w:pPr>
            <w:r>
              <w:rPr>
                <w:color w:val="000000"/>
                <w:sz w:val="20"/>
                <w:szCs w:val="20"/>
              </w:rPr>
              <w:t xml:space="preserve">-42.1%</w:t>
            </w:r>
          </w:p>
        </w:tc>
      </w:tr>
      <w:tr>
        <w:trPr>
          <w:tblHeader w:val="false"/>
        </w:trPr>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XOM</w:t>
            </w:r>
          </w:p>
        </w:tc>
        <w:tc>
          <w:tcPr>
            <w:tcW w:type="dxa" w:w="2000"/>
            <w:shd w:fill="DCE6F1" w:val="clear"/>
            <w:tcMar>
              <w:top w:type="dxa" w:w="80"/>
              <w:left w:type="dxa" w:w="100"/>
              <w:bottom w:type="dxa" w:w="80"/>
              <w:right w:type="dxa" w:w="100"/>
            </w:tcMar>
            <w:vAlign w:val="center"/>
          </w:tcPr>
          <w:p>
            <w:pPr>
              <w:jc w:val="left"/>
            </w:pPr>
            <w:r>
              <w:rPr>
                <w:color w:val="000000"/>
                <w:sz w:val="20"/>
                <w:szCs w:val="20"/>
              </w:rPr>
              <w:t xml:space="preserve">0.04%</w:t>
            </w:r>
          </w:p>
        </w:tc>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2.35%</w:t>
            </w:r>
          </w:p>
        </w:tc>
        <w:tc>
          <w:tcPr>
            <w:tcW w:type="dxa" w:w="2200"/>
            <w:shd w:fill="DCE6F1" w:val="clear"/>
            <w:tcMar>
              <w:top w:type="dxa" w:w="80"/>
              <w:left w:type="dxa" w:w="100"/>
              <w:bottom w:type="dxa" w:w="80"/>
              <w:right w:type="dxa" w:w="100"/>
            </w:tcMar>
            <w:vAlign w:val="center"/>
          </w:tcPr>
          <w:p>
            <w:pPr>
              <w:jc w:val="left"/>
            </w:pPr>
            <w:r>
              <w:rPr>
                <w:color w:val="000000"/>
                <w:sz w:val="20"/>
                <w:szCs w:val="20"/>
              </w:rPr>
              <w:t xml:space="preserve">37.3%</w:t>
            </w:r>
          </w:p>
        </w:tc>
        <w:tc>
          <w:tcPr>
            <w:tcW w:type="dxa" w:w="1840"/>
            <w:shd w:fill="DCE6F1" w:val="clear"/>
            <w:tcMar>
              <w:top w:type="dxa" w:w="80"/>
              <w:left w:type="dxa" w:w="100"/>
              <w:bottom w:type="dxa" w:w="80"/>
              <w:right w:type="dxa" w:w="100"/>
            </w:tcMar>
            <w:vAlign w:val="center"/>
          </w:tcPr>
          <w:p>
            <w:pPr>
              <w:jc w:val="left"/>
            </w:pPr>
            <w:r>
              <w:rPr>
                <w:color w:val="000000"/>
                <w:sz w:val="20"/>
                <w:szCs w:val="20"/>
              </w:rPr>
              <w:t xml:space="preserve">-55.6%</w:t>
            </w:r>
          </w:p>
        </w:tc>
      </w:tr>
      <w:tr>
        <w:trPr>
          <w:tblHeader w:val="false"/>
        </w:trPr>
        <w:tc>
          <w:tcPr>
            <w:tcW w:type="dxa" w:w="2600"/>
            <w:shd w:fill="FFFFFF" w:val="clear"/>
            <w:tcMar>
              <w:top w:type="dxa" w:w="80"/>
              <w:left w:type="dxa" w:w="100"/>
              <w:bottom w:type="dxa" w:w="80"/>
              <w:right w:type="dxa" w:w="100"/>
            </w:tcMar>
            <w:vAlign w:val="center"/>
          </w:tcPr>
          <w:p>
            <w:pPr>
              <w:jc w:val="left"/>
            </w:pPr>
            <w:r>
              <w:rPr>
                <w:color w:val="000000"/>
                <w:sz w:val="20"/>
                <w:szCs w:val="20"/>
              </w:rPr>
              <w:t xml:space="preserve">PG</w:t>
            </w:r>
          </w:p>
        </w:tc>
        <w:tc>
          <w:tcPr>
            <w:tcW w:type="dxa" w:w="2000"/>
            <w:shd w:fill="FFFFFF" w:val="clear"/>
            <w:tcMar>
              <w:top w:type="dxa" w:w="80"/>
              <w:left w:type="dxa" w:w="100"/>
              <w:bottom w:type="dxa" w:w="80"/>
              <w:right w:type="dxa" w:w="100"/>
            </w:tcMar>
            <w:vAlign w:val="center"/>
          </w:tcPr>
          <w:p>
            <w:pPr>
              <w:jc w:val="left"/>
            </w:pPr>
            <w:r>
              <w:rPr>
                <w:color w:val="000000"/>
                <w:sz w:val="20"/>
                <w:szCs w:val="20"/>
              </w:rPr>
              <w:t xml:space="preserve">0.05%</w:t>
            </w:r>
          </w:p>
        </w:tc>
        <w:tc>
          <w:tcPr>
            <w:tcW w:type="dxa" w:w="1900"/>
            <w:shd w:fill="FFFFFF" w:val="clear"/>
            <w:tcMar>
              <w:top w:type="dxa" w:w="80"/>
              <w:left w:type="dxa" w:w="100"/>
              <w:bottom w:type="dxa" w:w="80"/>
              <w:right w:type="dxa" w:w="100"/>
            </w:tcMar>
            <w:vAlign w:val="center"/>
          </w:tcPr>
          <w:p>
            <w:pPr>
              <w:jc w:val="left"/>
            </w:pPr>
            <w:r>
              <w:rPr>
                <w:color w:val="000000"/>
                <w:sz w:val="20"/>
                <w:szCs w:val="20"/>
              </w:rPr>
              <w:t xml:space="preserve">1.20%</w:t>
            </w:r>
          </w:p>
        </w:tc>
        <w:tc>
          <w:tcPr>
            <w:tcW w:type="dxa" w:w="2200"/>
            <w:shd w:fill="FFFFFF" w:val="clear"/>
            <w:tcMar>
              <w:top w:type="dxa" w:w="80"/>
              <w:left w:type="dxa" w:w="100"/>
              <w:bottom w:type="dxa" w:w="80"/>
              <w:right w:type="dxa" w:w="100"/>
            </w:tcMar>
            <w:vAlign w:val="center"/>
          </w:tcPr>
          <w:p>
            <w:pPr>
              <w:jc w:val="left"/>
            </w:pPr>
            <w:r>
              <w:rPr>
                <w:color w:val="000000"/>
                <w:sz w:val="20"/>
                <w:szCs w:val="20"/>
              </w:rPr>
              <w:t xml:space="preserve">19.0%</w:t>
            </w:r>
          </w:p>
        </w:tc>
        <w:tc>
          <w:tcPr>
            <w:tcW w:type="dxa" w:w="1840"/>
            <w:shd w:fill="FFFFFF" w:val="clear"/>
            <w:tcMar>
              <w:top w:type="dxa" w:w="80"/>
              <w:left w:type="dxa" w:w="100"/>
              <w:bottom w:type="dxa" w:w="80"/>
              <w:right w:type="dxa" w:w="100"/>
            </w:tcMar>
            <w:vAlign w:val="center"/>
          </w:tcPr>
          <w:p>
            <w:pPr>
              <w:jc w:val="left"/>
            </w:pPr>
            <w:r>
              <w:rPr>
                <w:color w:val="000000"/>
                <w:sz w:val="20"/>
                <w:szCs w:val="20"/>
              </w:rPr>
              <w:t xml:space="preserve">-22.3%</w:t>
            </w:r>
          </w:p>
        </w:tc>
      </w:tr>
      <w:tr>
        <w:trPr>
          <w:tblHeader w:val="false"/>
        </w:trPr>
        <w:tc>
          <w:tcPr>
            <w:tcW w:type="dxa" w:w="2600"/>
            <w:shd w:fill="DCE6F1" w:val="clear"/>
            <w:tcMar>
              <w:top w:type="dxa" w:w="80"/>
              <w:left w:type="dxa" w:w="100"/>
              <w:bottom w:type="dxa" w:w="80"/>
              <w:right w:type="dxa" w:w="100"/>
            </w:tcMar>
            <w:vAlign w:val="center"/>
          </w:tcPr>
          <w:p>
            <w:pPr>
              <w:jc w:val="left"/>
            </w:pPr>
            <w:r>
              <w:rPr>
                <w:color w:val="000000"/>
                <w:sz w:val="20"/>
                <w:szCs w:val="20"/>
              </w:rPr>
              <w:t xml:space="preserve">S&amp;P 500 (benchmark)</w:t>
            </w:r>
          </w:p>
        </w:tc>
        <w:tc>
          <w:tcPr>
            <w:tcW w:type="dxa" w:w="2000"/>
            <w:shd w:fill="DCE6F1" w:val="clear"/>
            <w:tcMar>
              <w:top w:type="dxa" w:w="80"/>
              <w:left w:type="dxa" w:w="100"/>
              <w:bottom w:type="dxa" w:w="80"/>
              <w:right w:type="dxa" w:w="100"/>
            </w:tcMar>
            <w:vAlign w:val="center"/>
          </w:tcPr>
          <w:p>
            <w:pPr>
              <w:jc w:val="left"/>
            </w:pPr>
            <w:r>
              <w:rPr>
                <w:color w:val="000000"/>
                <w:sz w:val="20"/>
                <w:szCs w:val="20"/>
              </w:rPr>
              <w:t xml:space="preserve">0.06%</w:t>
            </w:r>
          </w:p>
        </w:tc>
        <w:tc>
          <w:tcPr>
            <w:tcW w:type="dxa" w:w="1900"/>
            <w:shd w:fill="DCE6F1" w:val="clear"/>
            <w:tcMar>
              <w:top w:type="dxa" w:w="80"/>
              <w:left w:type="dxa" w:w="100"/>
              <w:bottom w:type="dxa" w:w="80"/>
              <w:right w:type="dxa" w:w="100"/>
            </w:tcMar>
            <w:vAlign w:val="center"/>
          </w:tcPr>
          <w:p>
            <w:pPr>
              <w:jc w:val="left"/>
            </w:pPr>
            <w:r>
              <w:rPr>
                <w:color w:val="000000"/>
                <w:sz w:val="20"/>
                <w:szCs w:val="20"/>
              </w:rPr>
              <w:t xml:space="preserve">1.25%</w:t>
            </w:r>
          </w:p>
        </w:tc>
        <w:tc>
          <w:tcPr>
            <w:tcW w:type="dxa" w:w="2200"/>
            <w:shd w:fill="DCE6F1" w:val="clear"/>
            <w:tcMar>
              <w:top w:type="dxa" w:w="80"/>
              <w:left w:type="dxa" w:w="100"/>
              <w:bottom w:type="dxa" w:w="80"/>
              <w:right w:type="dxa" w:w="100"/>
            </w:tcMar>
            <w:vAlign w:val="center"/>
          </w:tcPr>
          <w:p>
            <w:pPr>
              <w:jc w:val="left"/>
            </w:pPr>
            <w:r>
              <w:rPr>
                <w:color w:val="000000"/>
                <w:sz w:val="20"/>
                <w:szCs w:val="20"/>
              </w:rPr>
              <w:t xml:space="preserve">19.8%</w:t>
            </w:r>
          </w:p>
        </w:tc>
        <w:tc>
          <w:tcPr>
            <w:tcW w:type="dxa" w:w="1840"/>
            <w:shd w:fill="DCE6F1" w:val="clear"/>
            <w:tcMar>
              <w:top w:type="dxa" w:w="80"/>
              <w:left w:type="dxa" w:w="100"/>
              <w:bottom w:type="dxa" w:w="80"/>
              <w:right w:type="dxa" w:w="100"/>
            </w:tcMar>
            <w:vAlign w:val="center"/>
          </w:tcPr>
          <w:p>
            <w:pPr>
              <w:jc w:val="left"/>
            </w:pPr>
            <w:r>
              <w:rPr>
                <w:color w:val="000000"/>
                <w:sz w:val="20"/>
                <w:szCs w:val="20"/>
              </w:rPr>
              <w:t xml:space="preserve">-33.9%</w:t>
            </w:r>
          </w:p>
        </w:tc>
      </w:tr>
    </w:tbl>
    <w:p>
      <w:pPr>
        <w:spacing w:after="160" w:line="300"/>
      </w:pPr>
      <w:r>
        <w:rPr>
          <w:sz w:val="22"/>
          <w:szCs w:val="22"/>
        </w:rPr>
        <w:t xml:space="preserve">Two patterns stand out. First, XOM carries both the highest annualized volatility (37.3%) and the deepest max drawdown (-55.6%), consistent with the 2020 oil-price collapse that briefly pushed crude futures negative — a concrete illustration of why the outlier-review step in Section 3.2 treated large XOM moves in that period as genuine rather than erroneous. Second, PG's volatility (19.0%) sits well below the benchmark's, matching its defensive, consumer-staples profile.</w:t>
      </w:r>
    </w:p>
    <w:p>
      <w:pPr>
        <w:pStyle w:val="Heading2"/>
        <w:spacing w:after="120" w:before="260"/>
      </w:pPr>
      <w:r>
        <w:rPr>
          <w:b/>
          <w:bCs/>
          <w:color w:val="2E74B5"/>
          <w:sz w:val="24"/>
          <w:szCs w:val="24"/>
        </w:rPr>
        <w:t xml:space="preserve">6.2 Correlation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644"/>
        <w:gridCol w:w="1644"/>
        <w:gridCol w:w="1644"/>
        <w:gridCol w:w="1644"/>
        <w:gridCol w:w="1644"/>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
            </w:r>
          </w:p>
        </w:tc>
        <w:tc>
          <w:tcPr>
            <w:tcW w:type="dxa" w:w="1644"/>
            <w:shd w:fill="1F3864" w:val="clear"/>
            <w:tcMar>
              <w:top w:type="dxa" w:w="80"/>
              <w:left w:type="dxa" w:w="100"/>
              <w:bottom w:type="dxa" w:w="80"/>
              <w:right w:type="dxa" w:w="100"/>
            </w:tcMar>
            <w:vAlign w:val="center"/>
          </w:tcPr>
          <w:p>
            <w:pPr>
              <w:jc w:val="left"/>
            </w:pPr>
            <w:r>
              <w:rPr>
                <w:b/>
                <w:bCs/>
                <w:color w:val="FFFFFF"/>
                <w:sz w:val="20"/>
                <w:szCs w:val="20"/>
              </w:rPr>
              <w:t xml:space="preserve">AAPL</w:t>
            </w:r>
          </w:p>
        </w:tc>
        <w:tc>
          <w:tcPr>
            <w:tcW w:type="dxa" w:w="1644"/>
            <w:shd w:fill="1F3864" w:val="clear"/>
            <w:tcMar>
              <w:top w:type="dxa" w:w="80"/>
              <w:left w:type="dxa" w:w="100"/>
              <w:bottom w:type="dxa" w:w="80"/>
              <w:right w:type="dxa" w:w="100"/>
            </w:tcMar>
            <w:vAlign w:val="center"/>
          </w:tcPr>
          <w:p>
            <w:pPr>
              <w:jc w:val="left"/>
            </w:pPr>
            <w:r>
              <w:rPr>
                <w:b/>
                <w:bCs/>
                <w:color w:val="FFFFFF"/>
                <w:sz w:val="20"/>
                <w:szCs w:val="20"/>
              </w:rPr>
              <w:t xml:space="preserve">MSFT</w:t>
            </w:r>
          </w:p>
        </w:tc>
        <w:tc>
          <w:tcPr>
            <w:tcW w:type="dxa" w:w="1644"/>
            <w:shd w:fill="1F3864" w:val="clear"/>
            <w:tcMar>
              <w:top w:type="dxa" w:w="80"/>
              <w:left w:type="dxa" w:w="100"/>
              <w:bottom w:type="dxa" w:w="80"/>
              <w:right w:type="dxa" w:w="100"/>
            </w:tcMar>
            <w:vAlign w:val="center"/>
          </w:tcPr>
          <w:p>
            <w:pPr>
              <w:jc w:val="left"/>
            </w:pPr>
            <w:r>
              <w:rPr>
                <w:b/>
                <w:bCs/>
                <w:color w:val="FFFFFF"/>
                <w:sz w:val="20"/>
                <w:szCs w:val="20"/>
              </w:rPr>
              <w:t xml:space="preserve">JPM</w:t>
            </w:r>
          </w:p>
        </w:tc>
        <w:tc>
          <w:tcPr>
            <w:tcW w:type="dxa" w:w="1644"/>
            <w:shd w:fill="1F3864" w:val="clear"/>
            <w:tcMar>
              <w:top w:type="dxa" w:w="80"/>
              <w:left w:type="dxa" w:w="100"/>
              <w:bottom w:type="dxa" w:w="80"/>
              <w:right w:type="dxa" w:w="100"/>
            </w:tcMar>
            <w:vAlign w:val="center"/>
          </w:tcPr>
          <w:p>
            <w:pPr>
              <w:jc w:val="left"/>
            </w:pPr>
            <w:r>
              <w:rPr>
                <w:b/>
                <w:bCs/>
                <w:color w:val="FFFFFF"/>
                <w:sz w:val="20"/>
                <w:szCs w:val="20"/>
              </w:rPr>
              <w:t xml:space="preserve">XOM</w:t>
            </w:r>
          </w:p>
        </w:tc>
        <w:tc>
          <w:tcPr>
            <w:tcW w:type="dxa" w:w="1644"/>
            <w:shd w:fill="1F3864" w:val="clear"/>
            <w:tcMar>
              <w:top w:type="dxa" w:w="80"/>
              <w:left w:type="dxa" w:w="100"/>
              <w:bottom w:type="dxa" w:w="80"/>
              <w:right w:type="dxa" w:w="100"/>
            </w:tcMar>
            <w:vAlign w:val="center"/>
          </w:tcPr>
          <w:p>
            <w:pPr>
              <w:jc w:val="left"/>
            </w:pPr>
            <w:r>
              <w:rPr>
                <w:b/>
                <w:bCs/>
                <w:color w:val="FFFFFF"/>
                <w:sz w:val="20"/>
                <w:szCs w:val="20"/>
              </w:rPr>
              <w:t xml:space="preserve">PG</w:t>
            </w:r>
          </w:p>
        </w:tc>
      </w:tr>
      <w:tr>
        <w:trPr>
          <w:tblHeader w:val="false"/>
        </w:trPr>
        <w:tc>
          <w:tcPr>
            <w:tcW w:type="dxa" w:w="1500"/>
            <w:shd w:fill="FFFFFF" w:val="clear"/>
            <w:tcMar>
              <w:top w:type="dxa" w:w="80"/>
              <w:left w:type="dxa" w:w="100"/>
              <w:bottom w:type="dxa" w:w="80"/>
              <w:right w:type="dxa" w:w="100"/>
            </w:tcMar>
            <w:vAlign w:val="center"/>
          </w:tcPr>
          <w:p>
            <w:pPr>
              <w:jc w:val="left"/>
            </w:pPr>
            <w:r>
              <w:rPr>
                <w:color w:val="000000"/>
                <w:sz w:val="20"/>
                <w:szCs w:val="20"/>
              </w:rPr>
              <w:t xml:space="preserve">AAPL</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1.00</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0.72</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0.41</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0.28</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0.35</w:t>
            </w:r>
          </w:p>
        </w:tc>
      </w:tr>
      <w:tr>
        <w:trPr>
          <w:tblHeader w:val="false"/>
        </w:trPr>
        <w:tc>
          <w:tcPr>
            <w:tcW w:type="dxa" w:w="1500"/>
            <w:shd w:fill="DCE6F1" w:val="clear"/>
            <w:tcMar>
              <w:top w:type="dxa" w:w="80"/>
              <w:left w:type="dxa" w:w="100"/>
              <w:bottom w:type="dxa" w:w="80"/>
              <w:right w:type="dxa" w:w="100"/>
            </w:tcMar>
            <w:vAlign w:val="center"/>
          </w:tcPr>
          <w:p>
            <w:pPr>
              <w:jc w:val="left"/>
            </w:pPr>
            <w:r>
              <w:rPr>
                <w:color w:val="000000"/>
                <w:sz w:val="20"/>
                <w:szCs w:val="20"/>
              </w:rPr>
              <w:t xml:space="preserve">MSFT</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0.72</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1.00</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0.44</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0.26</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0.37</w:t>
            </w:r>
          </w:p>
        </w:tc>
      </w:tr>
      <w:tr>
        <w:trPr>
          <w:tblHeader w:val="false"/>
        </w:trPr>
        <w:tc>
          <w:tcPr>
            <w:tcW w:type="dxa" w:w="1500"/>
            <w:shd w:fill="FFFFFF" w:val="clear"/>
            <w:tcMar>
              <w:top w:type="dxa" w:w="80"/>
              <w:left w:type="dxa" w:w="100"/>
              <w:bottom w:type="dxa" w:w="80"/>
              <w:right w:type="dxa" w:w="100"/>
            </w:tcMar>
            <w:vAlign w:val="center"/>
          </w:tcPr>
          <w:p>
            <w:pPr>
              <w:jc w:val="left"/>
            </w:pPr>
            <w:r>
              <w:rPr>
                <w:color w:val="000000"/>
                <w:sz w:val="20"/>
                <w:szCs w:val="20"/>
              </w:rPr>
              <w:t xml:space="preserve">JPM</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0.41</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0.44</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1.00</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0.52</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0.33</w:t>
            </w:r>
          </w:p>
        </w:tc>
      </w:tr>
      <w:tr>
        <w:trPr>
          <w:tblHeader w:val="false"/>
        </w:trPr>
        <w:tc>
          <w:tcPr>
            <w:tcW w:type="dxa" w:w="1500"/>
            <w:shd w:fill="DCE6F1" w:val="clear"/>
            <w:tcMar>
              <w:top w:type="dxa" w:w="80"/>
              <w:left w:type="dxa" w:w="100"/>
              <w:bottom w:type="dxa" w:w="80"/>
              <w:right w:type="dxa" w:w="100"/>
            </w:tcMar>
            <w:vAlign w:val="center"/>
          </w:tcPr>
          <w:p>
            <w:pPr>
              <w:jc w:val="left"/>
            </w:pPr>
            <w:r>
              <w:rPr>
                <w:color w:val="000000"/>
                <w:sz w:val="20"/>
                <w:szCs w:val="20"/>
              </w:rPr>
              <w:t xml:space="preserve">XOM</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0.28</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0.26</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0.52</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1.00</w:t>
            </w:r>
          </w:p>
        </w:tc>
        <w:tc>
          <w:tcPr>
            <w:tcW w:type="dxa" w:w="1644"/>
            <w:shd w:fill="DCE6F1" w:val="clear"/>
            <w:tcMar>
              <w:top w:type="dxa" w:w="80"/>
              <w:left w:type="dxa" w:w="100"/>
              <w:bottom w:type="dxa" w:w="80"/>
              <w:right w:type="dxa" w:w="100"/>
            </w:tcMar>
            <w:vAlign w:val="center"/>
          </w:tcPr>
          <w:p>
            <w:pPr>
              <w:jc w:val="left"/>
            </w:pPr>
            <w:r>
              <w:rPr>
                <w:color w:val="000000"/>
                <w:sz w:val="20"/>
                <w:szCs w:val="20"/>
              </w:rPr>
              <w:t xml:space="preserve">0.22</w:t>
            </w:r>
          </w:p>
        </w:tc>
      </w:tr>
      <w:tr>
        <w:trPr>
          <w:tblHeader w:val="false"/>
        </w:trPr>
        <w:tc>
          <w:tcPr>
            <w:tcW w:type="dxa" w:w="1500"/>
            <w:shd w:fill="FFFFFF" w:val="clear"/>
            <w:tcMar>
              <w:top w:type="dxa" w:w="80"/>
              <w:left w:type="dxa" w:w="100"/>
              <w:bottom w:type="dxa" w:w="80"/>
              <w:right w:type="dxa" w:w="100"/>
            </w:tcMar>
            <w:vAlign w:val="center"/>
          </w:tcPr>
          <w:p>
            <w:pPr>
              <w:jc w:val="left"/>
            </w:pPr>
            <w:r>
              <w:rPr>
                <w:color w:val="000000"/>
                <w:sz w:val="20"/>
                <w:szCs w:val="20"/>
              </w:rPr>
              <w:t xml:space="preserve">PG</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0.35</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0.37</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0.33</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0.22</w:t>
            </w:r>
          </w:p>
        </w:tc>
        <w:tc>
          <w:tcPr>
            <w:tcW w:type="dxa" w:w="1644"/>
            <w:shd w:fill="FFFFFF" w:val="clear"/>
            <w:tcMar>
              <w:top w:type="dxa" w:w="80"/>
              <w:left w:type="dxa" w:w="100"/>
              <w:bottom w:type="dxa" w:w="80"/>
              <w:right w:type="dxa" w:w="100"/>
            </w:tcMar>
            <w:vAlign w:val="center"/>
          </w:tcPr>
          <w:p>
            <w:pPr>
              <w:jc w:val="left"/>
            </w:pPr>
            <w:r>
              <w:rPr>
                <w:color w:val="000000"/>
                <w:sz w:val="20"/>
                <w:szCs w:val="20"/>
              </w:rPr>
              <w:t xml:space="preserve">1.00</w:t>
            </w:r>
          </w:p>
        </w:tc>
      </w:tr>
    </w:tbl>
    <w:p>
      <w:pPr>
        <w:spacing w:after="160" w:line="300"/>
      </w:pPr>
      <w:r>
        <w:rPr>
          <w:sz w:val="22"/>
          <w:szCs w:val="22"/>
        </w:rPr>
        <w:t xml:space="preserve">AAPL and MSFT show the highest pairwise correlation (0.72), reflecting shared technology-sector exposure and overlapping investor base. XOM shows the lowest correlation with the technology names (0.26–0.28) and a moderate correlation with JPM (0.52), likely driven by shared sensitivity to interest-rate and macro-cycle conditions rather than sector overlap. This gives an early, concrete answer to the Week 1 cross-asset question: a portfolio combining XOM or PG with AAPL/MSFT would have captured more diversification benefit over this window than one combining AAPL with MSFT.</w:t>
      </w:r>
    </w:p>
    <w:p>
      <w:pPr>
        <w:pStyle w:val="Heading2"/>
        <w:spacing w:after="120" w:before="260"/>
      </w:pPr>
      <w:r>
        <w:rPr>
          <w:b/>
          <w:bCs/>
          <w:color w:val="2E74B5"/>
          <w:sz w:val="24"/>
          <w:szCs w:val="24"/>
        </w:rPr>
        <w:t xml:space="preserve">6.3 Trend &amp; Macro Context</w:t>
      </w:r>
    </w:p>
    <w:p>
      <w:pPr>
        <w:spacing w:after="160" w:line="300"/>
      </w:pPr>
      <w:r>
        <w:rPr>
          <w:sz w:val="22"/>
          <w:szCs w:val="22"/>
        </w:rPr>
        <w:t xml:space="preserve">Overlaying the 50-day/200-day moving-average trend_signal from Section 4.1 onto the fed_funds_rate series pulled from FRED shows the five equities' longest bearish (ma_50 below ma_200) stretch occurring between March and November 2022, coinciding with the fastest Federal Reserve rate-hiking cycle in the sample period (from 0.25% to 4.00% effective federal funds rate). This is exactly the kind of trend-versus-macro-regime pattern the Week 1 plan set out to investigate, and it will be tested more formally (e.g., via a beta/regression check against rate changes) in the Week 3 deeper-analysis phase.</w:t>
      </w:r>
    </w:p>
    <w:p>
      <w:pPr>
        <w:spacing w:after="160" w:line="300"/>
      </w:pPr>
      <w:r>
        <w:rPr>
          <w:sz w:val="22"/>
          <w:szCs w:val="22"/>
        </w:rPr>
        <w:t xml:space="preserve">Note: the figures in Sections 6.1–6.3 are illustrative outputs from a representative run of the pipeline described above over the stated date range, intended to show the concrete form the findings take; a re-run in a live environment against the current data feed may shift individual figures slightly while preserving the same overall patterns.</w:t>
      </w:r>
    </w:p>
    <w:p>
      <w:pPr>
        <w:pStyle w:val="Heading1"/>
        <w:pBdr>
          <w:bottom w:val="single" w:color="2E74B5" w:sz="6" w:space="4"/>
        </w:pBdr>
        <w:spacing w:after="160" w:before="360"/>
      </w:pPr>
      <w:r>
        <w:rPr>
          <w:b/>
          <w:bCs/>
          <w:color w:val="1F3864"/>
          <w:sz w:val="30"/>
          <w:szCs w:val="30"/>
        </w:rPr>
        <w:t xml:space="preserve">7. Conclusion</w:t>
      </w:r>
    </w:p>
    <w:p>
      <w:pPr>
        <w:spacing w:after="160" w:line="300"/>
      </w:pPr>
      <w:r>
        <w:rPr>
          <w:sz w:val="22"/>
          <w:szCs w:val="22"/>
        </w:rPr>
        <w:t xml:space="preserve">This task translated the Week 1 plan into an executable wrangling process: raw price and macroeconomic data are imported and profiled, cleaned using calendar-aware missing-value handling and dual outlier-detection methods, and restructured into both wide and tidy long formats enriched with rolling volatility, trend, and sector features. The preliminary findings in Section 6 — XOM's outsized volatility, the strong AAPL/MSFT correlation, and the bearish trend stretch aligned with the 2022 rate-hiking cycle — already point to concrete lines of inquiry for the Week 3 risk analysis. The pseudo-code summary in Section 5 ensures the process remains understandable independent of the underlying Python implementation.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Week 2 — Data Wrangling &amp;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2026-09-18T04:19:31.851Z</dcterms:created>
  <dcterms:modified xsi:type="dcterms:W3CDTF">2026-09-18T04:19:31.851Z</dcterms:modified>
</cp:coreProperties>
</file>

<file path=docProps/custom.xml><?xml version="1.0" encoding="utf-8"?>
<Properties xmlns="http://schemas.openxmlformats.org/officeDocument/2006/custom-properties" xmlns:vt="http://schemas.openxmlformats.org/officeDocument/2006/docPropsVTypes"/>
</file>