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20"/>
          <w:szCs w:val="20"/>
        </w:rPr>
        <w:t xml:space="preserve">WEEK 3 TASK</w:t>
      </w:r>
    </w:p>
    <w:p>
      <w:pPr>
        <w:spacing w:after="120"/>
      </w:pPr>
      <w:r>
        <w:rPr>
          <w:b/>
          <w:bCs/>
          <w:color w:val="1F3864"/>
          <w:sz w:val="38"/>
          <w:szCs w:val="38"/>
        </w:rPr>
        <w:t xml:space="preserve">Exploratory Data Analysis &amp; Visualization of Public Financial Data</w:t>
      </w:r>
    </w:p>
    <w:p>
      <w:pPr>
        <w:spacing w:after="300"/>
      </w:pPr>
      <w:r>
        <w:rPr>
          <w:i/>
          <w:iCs/>
          <w:color w:val="595959"/>
          <w:sz w:val="24"/>
          <w:szCs w:val="24"/>
        </w:rPr>
        <w:t xml:space="preserve">Distributions, trends, correlation, and anomaly detection across a five-stock basket and the S&amp;P 500 benchmark, 2019–2024</w:t>
      </w:r>
    </w:p>
    <w:p>
      <w:pPr>
        <w:spacing w:after="400"/>
      </w:pPr>
      <w:r>
        <w:rPr>
          <w:sz w:val="22"/>
          <w:szCs w:val="22"/>
        </w:rPr>
        <w:t xml:space="preserve">Prepared: September 2026</w:t>
      </w:r>
    </w:p>
    <w:p>
      <w:pPr>
        <w:pStyle w:val="Heading1"/>
        <w:pBdr>
          <w:bottom w:val="single" w:color="2E74B5" w:sz="6" w:space="4"/>
        </w:pBdr>
        <w:spacing w:after="160" w:before="360"/>
      </w:pPr>
      <w:r>
        <w:rPr>
          <w:b/>
          <w:bCs/>
          <w:color w:val="1F3864"/>
          <w:sz w:val="30"/>
          <w:szCs w:val="30"/>
        </w:rPr>
        <w:t xml:space="preserve">1. Objective</w:t>
      </w:r>
    </w:p>
    <w:p>
      <w:pPr>
        <w:spacing w:after="160" w:line="300"/>
      </w:pPr>
      <w:r>
        <w:rPr>
          <w:sz w:val="22"/>
          <w:szCs w:val="22"/>
        </w:rPr>
        <w:t xml:space="preserve">This task performs exploratory data analysis (EDA) on the cleaned dataset built in Week 2 — daily prices for AAPL, MSFT, JPM, XOM, and PG plus the S&amp;P 500 benchmark, 2019-01-01 to 2024-12-31 — and communicates the findings visually. The goal is to move from a clean dataset to concrete, evidence-backed insight about trend, distribution shape, volatility, correlation, and anomalies, using pandas for computation and matplotlib for visualization.</w:t>
      </w:r>
    </w:p>
    <w:p>
      <w:pPr>
        <w:spacing w:after="160" w:line="300"/>
      </w:pPr>
      <w:r>
        <w:rPr>
          <w:sz w:val="22"/>
          <w:szCs w:val="22"/>
        </w:rPr>
        <w:t xml:space="preserve">Data note: this execution environment does not have live network access to Yahoo Finance or FRED, so the price series analyzed below were produced by a calibrated single-factor (market-beta) simulation rather than a live pull — tuned to the volatility and drift levels documented in the Week 1/2 plan, with a modeled COVID-19 shock (Feb–Apr 2020) and 2022 rate-hike drag. Every statistic, chart, and code snippet in this report was computed for real from that generated series using the exact pandas/matplotlib code shown; a live pull of the real tickers would use identical code and produce a report of the same structure.</w:t>
      </w:r>
    </w:p>
    <w:p>
      <w:pPr>
        <w:pStyle w:val="Heading1"/>
        <w:pBdr>
          <w:bottom w:val="single" w:color="2E74B5" w:sz="6" w:space="4"/>
        </w:pBdr>
        <w:spacing w:after="160" w:before="360"/>
      </w:pPr>
      <w:r>
        <w:rPr>
          <w:b/>
          <w:bCs/>
          <w:color w:val="1F3864"/>
          <w:sz w:val="30"/>
          <w:szCs w:val="30"/>
        </w:rPr>
        <w:t xml:space="preserve">2. Data Exploration Approach</w:t>
      </w:r>
    </w:p>
    <w:p>
      <w:pPr>
        <w:spacing w:after="160" w:line="300"/>
      </w:pPr>
      <w:r>
        <w:rPr>
          <w:sz w:val="22"/>
          <w:szCs w:val="22"/>
        </w:rPr>
        <w:t xml:space="preserve">Exploration proceeded in three passes: (1) re-verify the cleaned dataset's shape and key variables before analysis, since Week 3 builds directly on Week 2's output; (2) examine each variable's distribution (shape, spread, tails) rather than only its average; and (3) look explicitly for anomalies — both statistical outliers and structural breaks (regime shifts) — since financial series routinely contain both real, informative anomalies and default assumptions worth testing rather than accepting.</w:t>
      </w:r>
    </w:p>
    <w:p>
      <w:pPr>
        <w:spacing w:after="40" w:before="120"/>
      </w:pPr>
      <w:r>
        <w:rPr>
          <w:i/>
          <w:iCs/>
          <w:color w:val="595959"/>
          <w:sz w:val="20"/>
          <w:szCs w:val="20"/>
        </w:rPr>
        <w:t xml:space="preserve">Code: loading the Week 2 output and confirming key variables</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import pandas as pd</w:t>
      </w:r>
    </w:p>
    <w:p>
      <w:pPr>
        <w:shd w:fill="2B2B2B" w:val="clear"/>
        <w:spacing w:after="0" w:line="260"/>
        <w:ind w:left="160" w:right="160"/>
      </w:pPr>
      <w:r>
        <w:rPr>
          <w:rFonts w:ascii="Consolas" w:cs="Consolas" w:eastAsia="Consolas" w:hAnsi="Consolas"/>
          <w:color w:val="E8E8E8"/>
          <w:sz w:val="19"/>
          <w:szCs w:val="19"/>
        </w:rPr>
        <w:t xml:space="preserve">import numpy as np</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wide_df = pd.read_csv("analysis_df.csv", parse_dates=["date"], index_col="date")</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tickers = ["AAPL", "MSFT", "JPM", "XOM", "PG"]</w:t>
      </w:r>
    </w:p>
    <w:p>
      <w:pPr>
        <w:shd w:fill="2B2B2B" w:val="clear"/>
        <w:spacing w:after="0" w:line="260"/>
        <w:ind w:left="160" w:right="160"/>
      </w:pPr>
      <w:r>
        <w:rPr>
          <w:rFonts w:ascii="Consolas" w:cs="Consolas" w:eastAsia="Consolas" w:hAnsi="Consolas"/>
          <w:color w:val="E8E8E8"/>
          <w:sz w:val="19"/>
          <w:szCs w:val="19"/>
        </w:rPr>
        <w:t xml:space="preserve">returns = wide_df[[f"{t}_ret" for t in tickers]]</w:t>
      </w:r>
    </w:p>
    <w:p>
      <w:pPr>
        <w:shd w:fill="2B2B2B" w:val="clear"/>
        <w:spacing w:after="0" w:line="260"/>
        <w:ind w:left="160" w:right="160"/>
      </w:pPr>
      <w:r>
        <w:rPr>
          <w:rFonts w:ascii="Consolas" w:cs="Consolas" w:eastAsia="Consolas" w:hAnsi="Consolas"/>
          <w:color w:val="E8E8E8"/>
          <w:sz w:val="19"/>
          <w:szCs w:val="19"/>
        </w:rPr>
        <w:t xml:space="preserve">returns.columns = tickers          # drop the _ret suffix for readability</w:t>
      </w:r>
    </w:p>
    <w:p>
      <w:pPr>
        <w:shd w:fill="2B2B2B" w:val="clear"/>
        <w:spacing w:after="0" w:line="260"/>
        <w:ind w:left="160" w:right="160"/>
      </w:pPr>
      <w:r>
        <w:rPr>
          <w:rFonts w:ascii="Consolas" w:cs="Consolas" w:eastAsia="Consolas" w:hAnsi="Consolas"/>
          <w:color w:val="E8E8E8"/>
          <w:sz w:val="19"/>
          <w:szCs w:val="19"/>
        </w:rPr>
        <w:t xml:space="preserve"> </w:t>
      </w:r>
    </w:p>
    <w:p>
      <w:pPr>
        <w:shd w:fill="2B2B2B" w:val="clear"/>
        <w:spacing w:after="0" w:line="260"/>
        <w:ind w:left="160" w:right="160"/>
      </w:pPr>
      <w:r>
        <w:rPr>
          <w:rFonts w:ascii="Consolas" w:cs="Consolas" w:eastAsia="Consolas" w:hAnsi="Consolas"/>
          <w:color w:val="E8E8E8"/>
          <w:sz w:val="19"/>
          <w:szCs w:val="19"/>
        </w:rPr>
        <w:t xml:space="preserve">print(returns.shape)                # (rows, 5) — one row per trading day</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print(returns.describe().T)         # quick range check on daily % returns</w:t>
      </w:r>
    </w:p>
    <w:p>
      <w:pPr>
        <w:pStyle w:val="ListParagraph"/>
        <w:numPr>
          <w:ilvl w:val="0"/>
          <w:numId w:val="2"/>
        </w:numPr>
        <w:spacing w:after="90" w:line="280"/>
      </w:pPr>
      <w:r>
        <w:rPr>
          <w:sz w:val="22"/>
          <w:szCs w:val="22"/>
        </w:rPr>
        <w:t xml:space="preserve">Key variables examined: </w:t>
      </w:r>
      <w:r>
        <w:rPr>
          <w:sz w:val="22"/>
          <w:szCs w:val="22"/>
        </w:rPr>
        <w:t xml:space="preserve">daily simple returns per ticker, the S&amp;P 500 benchmark return, 21-day rolling annualized volatility, and the 50/200-day moving averages carried over from Week 2.</w:t>
      </w:r>
    </w:p>
    <w:p>
      <w:pPr>
        <w:pStyle w:val="ListParagraph"/>
        <w:numPr>
          <w:ilvl w:val="0"/>
          <w:numId w:val="2"/>
        </w:numPr>
        <w:spacing w:after="90" w:line="280"/>
      </w:pPr>
      <w:r>
        <w:rPr>
          <w:sz w:val="22"/>
          <w:szCs w:val="22"/>
        </w:rPr>
        <w:t xml:space="preserve">Distribution checks: </w:t>
      </w:r>
      <w:r>
        <w:rPr>
          <w:sz w:val="22"/>
          <w:szCs w:val="22"/>
        </w:rPr>
        <w:t xml:space="preserve">histograms with a normal overlay (Figure 2) and boxplots (Figure 3) to see whether returns look approximately normal or show the fat tails typical of financial data.</w:t>
      </w:r>
    </w:p>
    <w:p>
      <w:pPr>
        <w:pStyle w:val="ListParagraph"/>
        <w:numPr>
          <w:ilvl w:val="0"/>
          <w:numId w:val="2"/>
        </w:numPr>
        <w:spacing w:after="90" w:line="280"/>
      </w:pPr>
      <w:r>
        <w:rPr>
          <w:sz w:val="22"/>
          <w:szCs w:val="22"/>
        </w:rPr>
        <w:t xml:space="preserve">Anomaly checks: </w:t>
      </w:r>
      <w:r>
        <w:rPr>
          <w:sz w:val="22"/>
          <w:szCs w:val="22"/>
        </w:rPr>
        <w:t xml:space="preserve">both a locally-adaptive rolling z-score and a full-sample static z-score (Section 4.2), since a rolling method alone can miss extreme days once the local window has already “adapted” to a volatile stretch.</w:t>
      </w:r>
    </w:p>
    <w:p>
      <w:pPr>
        <w:pStyle w:val="Heading1"/>
        <w:pBdr>
          <w:bottom w:val="single" w:color="2E74B5" w:sz="6" w:space="4"/>
        </w:pBdr>
        <w:spacing w:after="160" w:before="360"/>
      </w:pPr>
      <w:r>
        <w:rPr>
          <w:b/>
          <w:bCs/>
          <w:color w:val="1F3864"/>
          <w:sz w:val="30"/>
          <w:szCs w:val="30"/>
        </w:rPr>
        <w:t xml:space="preserve">3. Statistical Analysis</w:t>
      </w:r>
    </w:p>
    <w:p>
      <w:pPr>
        <w:spacing w:after="160" w:line="300"/>
      </w:pPr>
      <w:r>
        <w:rPr>
          <w:sz w:val="22"/>
          <w:szCs w:val="22"/>
        </w:rPr>
        <w:t xml:space="preserve">Summary statistics for each ticker's daily return, computed directly from the cleaned series, are below. Mode is reported on returns rounded to the nearest 0.1%, since raw continuous returns essentially never repeat exactly.</w:t>
      </w:r>
    </w:p>
    <w:p>
      <w:pPr>
        <w:spacing w:after="40" w:before="120"/>
      </w:pPr>
      <w:r>
        <w:rPr>
          <w:i/>
          <w:iCs/>
          <w:color w:val="595959"/>
          <w:sz w:val="20"/>
          <w:szCs w:val="20"/>
        </w:rPr>
        <w:t xml:space="preserve">Code: computing summary statistics</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summary = pd.DataFrame({</w:t>
      </w:r>
    </w:p>
    <w:p>
      <w:pPr>
        <w:shd w:fill="2B2B2B" w:val="clear"/>
        <w:spacing w:after="0" w:line="260"/>
        <w:ind w:left="160" w:right="160"/>
      </w:pPr>
      <w:r>
        <w:rPr>
          <w:rFonts w:ascii="Consolas" w:cs="Consolas" w:eastAsia="Consolas" w:hAnsi="Consolas"/>
          <w:color w:val="E8E8E8"/>
          <w:sz w:val="19"/>
          <w:szCs w:val="19"/>
        </w:rPr>
        <w:t xml:space="preserve">    "mean":     returns.mean() * 100,</w:t>
      </w:r>
    </w:p>
    <w:p>
      <w:pPr>
        <w:shd w:fill="2B2B2B" w:val="clear"/>
        <w:spacing w:after="0" w:line="260"/>
        <w:ind w:left="160" w:right="160"/>
      </w:pPr>
      <w:r>
        <w:rPr>
          <w:rFonts w:ascii="Consolas" w:cs="Consolas" w:eastAsia="Consolas" w:hAnsi="Consolas"/>
          <w:color w:val="E8E8E8"/>
          <w:sz w:val="19"/>
          <w:szCs w:val="19"/>
        </w:rPr>
        <w:t xml:space="preserve">    "median":   returns.median() * 100,</w:t>
      </w:r>
    </w:p>
    <w:p>
      <w:pPr>
        <w:shd w:fill="2B2B2B" w:val="clear"/>
        <w:spacing w:after="0" w:line="260"/>
        <w:ind w:left="160" w:right="160"/>
      </w:pPr>
      <w:r>
        <w:rPr>
          <w:rFonts w:ascii="Consolas" w:cs="Consolas" w:eastAsia="Consolas" w:hAnsi="Consolas"/>
          <w:color w:val="E8E8E8"/>
          <w:sz w:val="19"/>
          <w:szCs w:val="19"/>
        </w:rPr>
        <w:t xml:space="preserve">    "std":      returns.std() * 100,</w:t>
      </w:r>
    </w:p>
    <w:p>
      <w:pPr>
        <w:shd w:fill="2B2B2B" w:val="clear"/>
        <w:spacing w:after="0" w:line="260"/>
        <w:ind w:left="160" w:right="160"/>
      </w:pPr>
      <w:r>
        <w:rPr>
          <w:rFonts w:ascii="Consolas" w:cs="Consolas" w:eastAsia="Consolas" w:hAnsi="Consolas"/>
          <w:color w:val="E8E8E8"/>
          <w:sz w:val="19"/>
          <w:szCs w:val="19"/>
        </w:rPr>
        <w:t xml:space="preserve">    "skew":     returns.skew(),</w:t>
      </w:r>
    </w:p>
    <w:p>
      <w:pPr>
        <w:shd w:fill="2B2B2B" w:val="clear"/>
        <w:spacing w:after="0" w:line="260"/>
        <w:ind w:left="160" w:right="160"/>
      </w:pPr>
      <w:r>
        <w:rPr>
          <w:rFonts w:ascii="Consolas" w:cs="Consolas" w:eastAsia="Consolas" w:hAnsi="Consolas"/>
          <w:color w:val="E8E8E8"/>
          <w:sz w:val="19"/>
          <w:szCs w:val="19"/>
        </w:rPr>
        <w:t xml:space="preserve">    "kurtosis": returns.kurtosis(),</w:t>
      </w:r>
    </w:p>
    <w:p>
      <w:pPr>
        <w:shd w:fill="2B2B2B" w:val="clear"/>
        <w:spacing w:after="0" w:line="260"/>
        <w:ind w:left="160" w:right="160"/>
      </w:pPr>
      <w:r>
        <w:rPr>
          <w:rFonts w:ascii="Consolas" w:cs="Consolas" w:eastAsia="Consolas" w:hAnsi="Consolas"/>
          <w:color w:val="E8E8E8"/>
          <w:sz w:val="19"/>
          <w:szCs w:val="19"/>
        </w:rPr>
        <w:t xml:space="preserve">    "ann_vol":  returns.std() * np.sqrt(252) * 100,</w:t>
      </w:r>
    </w:p>
    <w:p>
      <w:pPr>
        <w:shd w:fill="2B2B2B" w:val="clear"/>
        <w:spacing w:after="0" w:line="260"/>
        <w:ind w:left="160" w:right="160"/>
      </w:pPr>
      <w:r>
        <w:rPr>
          <w:rFonts w:ascii="Consolas" w:cs="Consolas" w:eastAsia="Consolas" w:hAnsi="Consolas"/>
          <w:color w:val="E8E8E8"/>
          <w:sz w:val="19"/>
          <w:szCs w:val="19"/>
        </w:rPr>
        <w:t xml:space="preserve">})</w:t>
      </w:r>
    </w:p>
    <w:p>
      <w:pPr>
        <w:shd w:fill="2B2B2B" w:val="clear"/>
        <w:spacing w:after="0" w:line="260"/>
        <w:ind w:left="160" w:right="160"/>
      </w:pPr>
      <w:r>
        <w:rPr>
          <w:rFonts w:ascii="Consolas" w:cs="Consolas" w:eastAsia="Consolas" w:hAnsi="Consolas"/>
          <w:color w:val="E8E8E8"/>
          <w:sz w:val="19"/>
          <w:szCs w:val="19"/>
        </w:rPr>
        <w:t xml:space="preserve"># Mode via 0.1%-rounded bins (continuous returns rarely repeat exactly)</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summary["mode"] = (returns * 1000).round().mode().iloc[0] / 10</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180"/>
        <w:gridCol w:w="1180"/>
        <w:gridCol w:w="1180"/>
        <w:gridCol w:w="1000"/>
        <w:gridCol w:w="1180"/>
        <w:gridCol w:w="900"/>
        <w:gridCol w:w="1180"/>
        <w:gridCol w:w="1180"/>
        <w:gridCol w:w="1580"/>
      </w:tblGrid>
      <w:tr>
        <w:trPr>
          <w:tblHeader/>
        </w:trPr>
        <w:tc>
          <w:tcPr>
            <w:tcW w:type="dxa" w:w="1180"/>
            <w:shd w:fill="1F3864" w:val="clear"/>
            <w:tcMar>
              <w:top w:type="dxa" w:w="80"/>
              <w:left w:type="dxa" w:w="100"/>
              <w:bottom w:type="dxa" w:w="80"/>
              <w:right w:type="dxa" w:w="100"/>
            </w:tcMar>
            <w:vAlign w:val="center"/>
          </w:tcPr>
          <w:p>
            <w:pPr>
              <w:jc w:val="left"/>
            </w:pPr>
            <w:r>
              <w:rPr>
                <w:b/>
                <w:bCs/>
                <w:color w:val="FFFFFF"/>
                <w:sz w:val="20"/>
                <w:szCs w:val="20"/>
              </w:rPr>
              <w:t xml:space="preserve">Ticker</w:t>
            </w:r>
          </w:p>
        </w:tc>
        <w:tc>
          <w:tcPr>
            <w:tcW w:type="dxa" w:w="1180"/>
            <w:shd w:fill="1F3864" w:val="clear"/>
            <w:tcMar>
              <w:top w:type="dxa" w:w="80"/>
              <w:left w:type="dxa" w:w="100"/>
              <w:bottom w:type="dxa" w:w="80"/>
              <w:right w:type="dxa" w:w="100"/>
            </w:tcMar>
            <w:vAlign w:val="center"/>
          </w:tcPr>
          <w:p>
            <w:pPr>
              <w:jc w:val="left"/>
            </w:pPr>
            <w:r>
              <w:rPr>
                <w:b/>
                <w:bCs/>
                <w:color w:val="FFFFFF"/>
                <w:sz w:val="20"/>
                <w:szCs w:val="20"/>
              </w:rPr>
              <w:t xml:space="preserve">Mean</w:t>
            </w:r>
          </w:p>
        </w:tc>
        <w:tc>
          <w:tcPr>
            <w:tcW w:type="dxa" w:w="1180"/>
            <w:shd w:fill="1F3864" w:val="clear"/>
            <w:tcMar>
              <w:top w:type="dxa" w:w="80"/>
              <w:left w:type="dxa" w:w="100"/>
              <w:bottom w:type="dxa" w:w="80"/>
              <w:right w:type="dxa" w:w="100"/>
            </w:tcMar>
            <w:vAlign w:val="center"/>
          </w:tcPr>
          <w:p>
            <w:pPr>
              <w:jc w:val="left"/>
            </w:pPr>
            <w:r>
              <w:rPr>
                <w:b/>
                <w:bCs/>
                <w:color w:val="FFFFFF"/>
                <w:sz w:val="20"/>
                <w:szCs w:val="20"/>
              </w:rPr>
              <w:t xml:space="preserve">Median</w:t>
            </w:r>
          </w:p>
        </w:tc>
        <w:tc>
          <w:tcPr>
            <w:tcW w:type="dxa" w:w="1000"/>
            <w:shd w:fill="1F3864" w:val="clear"/>
            <w:tcMar>
              <w:top w:type="dxa" w:w="80"/>
              <w:left w:type="dxa" w:w="100"/>
              <w:bottom w:type="dxa" w:w="80"/>
              <w:right w:type="dxa" w:w="100"/>
            </w:tcMar>
            <w:vAlign w:val="center"/>
          </w:tcPr>
          <w:p>
            <w:pPr>
              <w:jc w:val="left"/>
            </w:pPr>
            <w:r>
              <w:rPr>
                <w:b/>
                <w:bCs/>
                <w:color w:val="FFFFFF"/>
                <w:sz w:val="20"/>
                <w:szCs w:val="20"/>
              </w:rPr>
              <w:t xml:space="preserve">Mode*</w:t>
            </w:r>
          </w:p>
        </w:tc>
        <w:tc>
          <w:tcPr>
            <w:tcW w:type="dxa" w:w="1180"/>
            <w:shd w:fill="1F3864" w:val="clear"/>
            <w:tcMar>
              <w:top w:type="dxa" w:w="80"/>
              <w:left w:type="dxa" w:w="100"/>
              <w:bottom w:type="dxa" w:w="80"/>
              <w:right w:type="dxa" w:w="100"/>
            </w:tcMar>
            <w:vAlign w:val="center"/>
          </w:tcPr>
          <w:p>
            <w:pPr>
              <w:jc w:val="left"/>
            </w:pPr>
            <w:r>
              <w:rPr>
                <w:b/>
                <w:bCs/>
                <w:color w:val="FFFFFF"/>
                <w:sz w:val="20"/>
                <w:szCs w:val="20"/>
              </w:rPr>
              <w:t xml:space="preserve">Std Dev</w:t>
            </w:r>
          </w:p>
        </w:tc>
        <w:tc>
          <w:tcPr>
            <w:tcW w:type="dxa" w:w="900"/>
            <w:shd w:fill="1F3864" w:val="clear"/>
            <w:tcMar>
              <w:top w:type="dxa" w:w="80"/>
              <w:left w:type="dxa" w:w="100"/>
              <w:bottom w:type="dxa" w:w="80"/>
              <w:right w:type="dxa" w:w="100"/>
            </w:tcMar>
            <w:vAlign w:val="center"/>
          </w:tcPr>
          <w:p>
            <w:pPr>
              <w:jc w:val="left"/>
            </w:pPr>
            <w:r>
              <w:rPr>
                <w:b/>
                <w:bCs/>
                <w:color w:val="FFFFFF"/>
                <w:sz w:val="20"/>
                <w:szCs w:val="20"/>
              </w:rPr>
              <w:t xml:space="preserve">Skew</w:t>
            </w:r>
          </w:p>
        </w:tc>
        <w:tc>
          <w:tcPr>
            <w:tcW w:type="dxa" w:w="1180"/>
            <w:shd w:fill="1F3864" w:val="clear"/>
            <w:tcMar>
              <w:top w:type="dxa" w:w="80"/>
              <w:left w:type="dxa" w:w="100"/>
              <w:bottom w:type="dxa" w:w="80"/>
              <w:right w:type="dxa" w:w="100"/>
            </w:tcMar>
            <w:vAlign w:val="center"/>
          </w:tcPr>
          <w:p>
            <w:pPr>
              <w:jc w:val="left"/>
            </w:pPr>
            <w:r>
              <w:rPr>
                <w:b/>
                <w:bCs/>
                <w:color w:val="FFFFFF"/>
                <w:sz w:val="20"/>
                <w:szCs w:val="20"/>
              </w:rPr>
              <w:t xml:space="preserve">Kurtosis</w:t>
            </w:r>
          </w:p>
        </w:tc>
        <w:tc>
          <w:tcPr>
            <w:tcW w:type="dxa" w:w="1180"/>
            <w:shd w:fill="1F3864" w:val="clear"/>
            <w:tcMar>
              <w:top w:type="dxa" w:w="80"/>
              <w:left w:type="dxa" w:w="100"/>
              <w:bottom w:type="dxa" w:w="80"/>
              <w:right w:type="dxa" w:w="100"/>
            </w:tcMar>
            <w:vAlign w:val="center"/>
          </w:tcPr>
          <w:p>
            <w:pPr>
              <w:jc w:val="left"/>
            </w:pPr>
            <w:r>
              <w:rPr>
                <w:b/>
                <w:bCs/>
                <w:color w:val="FFFFFF"/>
                <w:sz w:val="20"/>
                <w:szCs w:val="20"/>
              </w:rPr>
              <w:t xml:space="preserve">Ann. Vol</w:t>
            </w:r>
          </w:p>
        </w:tc>
        <w:tc>
          <w:tcPr>
            <w:tcW w:type="dxa" w:w="1580"/>
            <w:shd w:fill="1F3864" w:val="clear"/>
            <w:tcMar>
              <w:top w:type="dxa" w:w="80"/>
              <w:left w:type="dxa" w:w="100"/>
              <w:bottom w:type="dxa" w:w="80"/>
              <w:right w:type="dxa" w:w="100"/>
            </w:tcMar>
            <w:vAlign w:val="center"/>
          </w:tcPr>
          <w:p>
            <w:pPr>
              <w:jc w:val="left"/>
            </w:pPr>
            <w:r>
              <w:rPr>
                <w:b/>
                <w:bCs/>
                <w:color w:val="FFFFFF"/>
                <w:sz w:val="20"/>
                <w:szCs w:val="20"/>
              </w:rPr>
              <w:t xml:space="preserve">Max Drawdown</w:t>
            </w:r>
          </w:p>
        </w:tc>
      </w:tr>
      <w:tr>
        <w:trPr>
          <w:tblHeader w:val="false"/>
        </w:trPr>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AAPL</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0.123%</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0.068%</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-0.3%</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1.78%</w:t>
            </w:r>
          </w:p>
        </w:tc>
        <w:tc>
          <w:tcPr>
            <w:tcW w:type="dxa" w:w="9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0.07</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-0.14</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28.3%</w:t>
            </w:r>
          </w:p>
        </w:tc>
        <w:tc>
          <w:tcPr>
            <w:tcW w:type="dxa" w:w="15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-38.9%</w:t>
            </w:r>
          </w:p>
        </w:tc>
      </w:tr>
      <w:tr>
        <w:trPr>
          <w:tblHeader w:val="false"/>
        </w:trPr>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MSFT</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0.117%</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0.115%</w:t>
            </w:r>
          </w:p>
        </w:tc>
        <w:tc>
          <w:tcPr>
            <w:tcW w:type="dxa" w:w="10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-0.1%</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1.75%</w:t>
            </w:r>
          </w:p>
        </w:tc>
        <w:tc>
          <w:tcPr>
            <w:tcW w:type="dxa" w:w="9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0.09</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0.13</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27.8%</w:t>
            </w:r>
          </w:p>
        </w:tc>
        <w:tc>
          <w:tcPr>
            <w:tcW w:type="dxa" w:w="15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-36.6%</w:t>
            </w:r>
          </w:p>
        </w:tc>
      </w:tr>
      <w:tr>
        <w:trPr>
          <w:tblHeader w:val="false"/>
        </w:trPr>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JPM</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0.132%</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0.099%</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0.1%</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2.09%</w:t>
            </w:r>
          </w:p>
        </w:tc>
        <w:tc>
          <w:tcPr>
            <w:tcW w:type="dxa" w:w="9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-0.05</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0.11</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33.2%</w:t>
            </w:r>
          </w:p>
        </w:tc>
        <w:tc>
          <w:tcPr>
            <w:tcW w:type="dxa" w:w="15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-40.7%</w:t>
            </w:r>
          </w:p>
        </w:tc>
      </w:tr>
      <w:tr>
        <w:trPr>
          <w:tblHeader w:val="false"/>
        </w:trPr>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XOM</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0.082%</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0.071%</w:t>
            </w:r>
          </w:p>
        </w:tc>
        <w:tc>
          <w:tcPr>
            <w:tcW w:type="dxa" w:w="10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-1.0%</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2.30%</w:t>
            </w:r>
          </w:p>
        </w:tc>
        <w:tc>
          <w:tcPr>
            <w:tcW w:type="dxa" w:w="9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0.15</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0.08</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36.5%</w:t>
            </w:r>
          </w:p>
        </w:tc>
        <w:tc>
          <w:tcPr>
            <w:tcW w:type="dxa" w:w="15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-42.1%</w:t>
            </w:r>
          </w:p>
        </w:tc>
      </w:tr>
      <w:tr>
        <w:trPr>
          <w:tblHeader w:val="false"/>
        </w:trPr>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PG</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0.043%</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0.010%</w:t>
            </w:r>
          </w:p>
        </w:tc>
        <w:tc>
          <w:tcPr>
            <w:tcW w:type="dxa" w:w="1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-0.3%</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1.22%</w:t>
            </w:r>
          </w:p>
        </w:tc>
        <w:tc>
          <w:tcPr>
            <w:tcW w:type="dxa" w:w="9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0.02</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0.24</w:t>
            </w:r>
          </w:p>
        </w:tc>
        <w:tc>
          <w:tcPr>
            <w:tcW w:type="dxa" w:w="11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19.4%</w:t>
            </w:r>
          </w:p>
        </w:tc>
        <w:tc>
          <w:tcPr>
            <w:tcW w:type="dxa" w:w="15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-28.7%</w:t>
            </w:r>
          </w:p>
        </w:tc>
      </w:tr>
      <w:tr>
        <w:trPr>
          <w:tblHeader w:val="false"/>
        </w:trPr>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S&amp;P 500</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0.077%</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0.070%</w:t>
            </w:r>
          </w:p>
        </w:tc>
        <w:tc>
          <w:tcPr>
            <w:tcW w:type="dxa" w:w="10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0.1%</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1.17%</w:t>
            </w:r>
          </w:p>
        </w:tc>
        <w:tc>
          <w:tcPr>
            <w:tcW w:type="dxa" w:w="9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0.15</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-0.04</w:t>
            </w:r>
          </w:p>
        </w:tc>
        <w:tc>
          <w:tcPr>
            <w:tcW w:type="dxa" w:w="11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18.6%</w:t>
            </w:r>
          </w:p>
        </w:tc>
        <w:tc>
          <w:tcPr>
            <w:tcW w:type="dxa" w:w="158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-28.3%</w:t>
            </w:r>
          </w:p>
        </w:tc>
      </w:tr>
    </w:tbl>
    <w:p>
      <w:pPr>
        <w:spacing w:after="200" w:before="100"/>
      </w:pPr>
      <w:r>
        <w:rPr>
          <w:i/>
          <w:iCs/>
          <w:color w:val="595959"/>
          <w:sz w:val="18"/>
          <w:szCs w:val="18"/>
        </w:rPr>
        <w:t xml:space="preserve">*Mode computed on returns rounded to the nearest 0.1%.</w:t>
      </w:r>
    </w:p>
    <w:p>
      <w:pPr>
        <w:pStyle w:val="Heading2"/>
        <w:spacing w:after="120" w:before="260"/>
      </w:pPr>
      <w:r>
        <w:rPr>
          <w:b/>
          <w:bCs/>
          <w:color w:val="2E74B5"/>
          <w:sz w:val="24"/>
          <w:szCs w:val="24"/>
        </w:rPr>
        <w:t xml:space="preserve">3.1 Initial Hypotheses</w:t>
      </w:r>
    </w:p>
    <w:p>
      <w:pPr>
        <w:pStyle w:val="ListParagraph"/>
        <w:numPr>
          <w:ilvl w:val="0"/>
          <w:numId w:val="2"/>
        </w:numPr>
        <w:spacing w:after="90" w:line="280"/>
      </w:pPr>
      <w:r>
        <w:rPr>
          <w:sz w:val="22"/>
          <w:szCs w:val="22"/>
        </w:rPr>
        <w:t xml:space="preserve">H1 — Risk ranking: XOM and JPM will show the highest volatility and deepest drawdowns of the basket, given their historical sensitivity to commodity prices and interest-rate/credit conditions respectively.</w:t>
      </w:r>
    </w:p>
    <w:p>
      <w:pPr>
        <w:pStyle w:val="ListParagraph"/>
        <w:numPr>
          <w:ilvl w:val="0"/>
          <w:numId w:val="2"/>
        </w:numPr>
        <w:spacing w:after="90" w:line="280"/>
      </w:pPr>
      <w:r>
        <w:rPr>
          <w:sz w:val="22"/>
          <w:szCs w:val="22"/>
        </w:rPr>
        <w:t xml:space="preserve">H2 — Non-normality: daily returns will deviate from a normal distribution (fat tails, non-zero skew), since financial returns are well documented to exhibit excess kurtosis relative to a Gaussian benchmark.</w:t>
      </w:r>
    </w:p>
    <w:p>
      <w:pPr>
        <w:pStyle w:val="ListParagraph"/>
        <w:numPr>
          <w:ilvl w:val="0"/>
          <w:numId w:val="2"/>
        </w:numPr>
        <w:spacing w:after="90" w:line="280"/>
      </w:pPr>
      <w:r>
        <w:rPr>
          <w:sz w:val="22"/>
          <w:szCs w:val="22"/>
        </w:rPr>
        <w:t xml:space="preserve">H3 — Common-factor correlation: all five tickers will correlate more strongly with the S&amp;P 500 benchmark than with each other individually, reflecting a shared market-wide risk factor layered on top of stock-specific behavior.</w:t>
      </w:r>
    </w:p>
    <w:p>
      <w:pPr>
        <w:spacing w:after="160" w:line="300"/>
      </w:pPr>
      <w:r>
        <w:rPr>
          <w:sz w:val="22"/>
          <w:szCs w:val="22"/>
        </w:rPr>
        <w:t xml:space="preserve">Sections 4–5 test each hypothesis directly against the computed statistics and visualizations.</w:t>
      </w:r>
    </w:p>
    <w:p>
      <w:pPr>
        <w:pStyle w:val="Heading1"/>
        <w:pBdr>
          <w:bottom w:val="single" w:color="2E74B5" w:sz="6" w:space="4"/>
        </w:pBdr>
        <w:spacing w:after="160" w:before="360"/>
      </w:pPr>
      <w:r>
        <w:rPr>
          <w:b/>
          <w:bCs/>
          <w:color w:val="1F3864"/>
          <w:sz w:val="30"/>
          <w:szCs w:val="30"/>
        </w:rPr>
        <w:t xml:space="preserve">4. Visualization Techniques &amp; Findings</w:t>
      </w:r>
    </w:p>
    <w:p>
      <w:pPr>
        <w:spacing w:after="160" w:line="300"/>
      </w:pPr>
      <w:r>
        <w:rPr>
          <w:sz w:val="22"/>
          <w:szCs w:val="22"/>
        </w:rPr>
        <w:t xml:space="preserve">Six visualizations were produced, each chosen because it answers a specific analytical question that a table of numbers alone would not make as immediately clear.</w:t>
      </w:r>
    </w:p>
    <w:p>
      <w:pPr>
        <w:pStyle w:val="Heading2"/>
        <w:spacing w:after="120" w:before="260"/>
      </w:pPr>
      <w:r>
        <w:rPr>
          <w:b/>
          <w:bCs/>
          <w:color w:val="2E74B5"/>
          <w:sz w:val="24"/>
          <w:szCs w:val="24"/>
        </w:rPr>
        <w:t xml:space="preserve">4.1 Price Trend — Growth of $100 Invested</w:t>
      </w:r>
    </w:p>
    <w:p>
      <w:pPr>
        <w:spacing w:after="160" w:line="300"/>
      </w:pPr>
      <w:r>
        <w:rPr>
          <w:sz w:val="22"/>
          <w:szCs w:val="22"/>
        </w:rPr>
        <w:t xml:space="preserve">A normalized, indexed line chart removes differences in raw share price so five very differently priced stocks and an index can be compared on equal footing, and it makes shared market events visible as it happens simultaneously across series.</w:t>
      </w:r>
    </w:p>
    <w:p>
      <w:pPr>
        <w:spacing w:after="40" w:before="120"/>
      </w:pPr>
      <w:r>
        <w:rPr>
          <w:i/>
          <w:iCs/>
          <w:color w:val="595959"/>
          <w:sz w:val="20"/>
          <w:szCs w:val="20"/>
        </w:rPr>
        <w:t xml:space="preserve">Code: normalizing prices and plotting the trend</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norm = prices / prices.iloc[0] * 100        # index every series to start at 100</w:t>
      </w:r>
    </w:p>
    <w:p>
      <w:pPr>
        <w:shd w:fill="2B2B2B" w:val="clear"/>
        <w:spacing w:after="0" w:line="260"/>
        <w:ind w:left="160" w:right="160"/>
      </w:pPr>
      <w:r>
        <w:rPr>
          <w:rFonts w:ascii="Consolas" w:cs="Consolas" w:eastAsia="Consolas" w:hAnsi="Consolas"/>
          <w:color w:val="E8E8E8"/>
          <w:sz w:val="19"/>
          <w:szCs w:val="19"/>
        </w:rPr>
        <w:t xml:space="preserve">fig, ax = plt.subplots(figsize=(9, 5))</w:t>
      </w:r>
    </w:p>
    <w:p>
      <w:pPr>
        <w:shd w:fill="2B2B2B" w:val="clear"/>
        <w:spacing w:after="0" w:line="260"/>
        <w:ind w:left="160" w:right="160"/>
      </w:pPr>
      <w:r>
        <w:rPr>
          <w:rFonts w:ascii="Consolas" w:cs="Consolas" w:eastAsia="Consolas" w:hAnsi="Consolas"/>
          <w:color w:val="E8E8E8"/>
          <w:sz w:val="19"/>
          <w:szCs w:val="19"/>
        </w:rPr>
        <w:t xml:space="preserve">for c in prices.columns:</w:t>
      </w:r>
    </w:p>
    <w:p>
      <w:pPr>
        <w:shd w:fill="2B2B2B" w:val="clear"/>
        <w:spacing w:after="0" w:line="260"/>
        <w:ind w:left="160" w:right="160"/>
      </w:pPr>
      <w:r>
        <w:rPr>
          <w:rFonts w:ascii="Consolas" w:cs="Consolas" w:eastAsia="Consolas" w:hAnsi="Consolas"/>
          <w:color w:val="E8E8E8"/>
          <w:sz w:val="19"/>
          <w:szCs w:val="19"/>
        </w:rPr>
        <w:t xml:space="preserve">    ax.plot(norm.index, norm[c], label=c)</w:t>
      </w:r>
    </w:p>
    <w:p>
      <w:pPr>
        <w:shd w:fill="2B2B2B" w:val="clear"/>
        <w:spacing w:after="0" w:line="260"/>
        <w:ind w:left="160" w:right="160"/>
      </w:pPr>
      <w:r>
        <w:rPr>
          <w:rFonts w:ascii="Consolas" w:cs="Consolas" w:eastAsia="Consolas" w:hAnsi="Consolas"/>
          <w:color w:val="E8E8E8"/>
          <w:sz w:val="19"/>
          <w:szCs w:val="19"/>
        </w:rPr>
        <w:t xml:space="preserve">ax.set_title("Growth of $100 Invested, 2019-2024")</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ax.legend(ncol=6)</w:t>
      </w:r>
    </w:p>
    <w:p>
      <w:pPr>
        <w:spacing w:after="40" w:before="12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05175"/>
                    </a:xfrm>
                    <a:prstGeom prst="rect">
                      <a:avLst/>
                    </a:prstGeom>
                  </pic:spPr>
                </pic:pic>
              </a:graphicData>
            </a:graphic>
          </wp:inline>
        </w:drawing>
      </w:r>
    </w:p>
    <w:p>
      <w:pPr>
        <w:spacing w:after="200" w:before="60"/>
        <w:jc w:val="center"/>
      </w:pPr>
      <w:r>
        <w:rPr>
          <w:i/>
          <w:iCs/>
          <w:color w:val="595959"/>
          <w:sz w:val="19"/>
          <w:szCs w:val="19"/>
        </w:rPr>
        <w:t xml:space="preserve">Figure 1. Normalized growth of $100 invested in each ticker vs. the S&amp;P 500 benchmark.</w:t>
      </w:r>
    </w:p>
    <w:p>
      <w:pPr>
        <w:spacing w:after="160" w:line="300"/>
      </w:pPr>
      <w:r>
        <w:rPr>
          <w:sz w:val="22"/>
          <w:szCs w:val="22"/>
        </w:rPr>
        <w:t xml:space="preserve">All six series dip together in the shaded COVID-19 window and again drift sideways-to-down through the shaded 2022 rate-hike window — direct visual confirmation that a shared market factor is at work (supporting H3). AAPL and JPM pull furthest ahead of the benchmark by 2024, while PG tracks well below it for most of the period, consistent with its lower-volatility, defensive profile.</w:t>
      </w:r>
    </w:p>
    <w:p>
      <w:pPr>
        <w:pStyle w:val="Heading2"/>
        <w:spacing w:after="120" w:before="260"/>
      </w:pPr>
      <w:r>
        <w:rPr>
          <w:b/>
          <w:bCs/>
          <w:color w:val="2E74B5"/>
          <w:sz w:val="24"/>
          <w:szCs w:val="24"/>
        </w:rPr>
        <w:t xml:space="preserve">4.2 Return Distributions — Histograms</w:t>
      </w:r>
    </w:p>
    <w:p>
      <w:pPr>
        <w:spacing w:after="160" w:line="300"/>
      </w:pPr>
      <w:r>
        <w:rPr>
          <w:sz w:val="22"/>
          <w:szCs w:val="22"/>
        </w:rPr>
        <w:t xml:space="preserve">Histograms with a fitted normal curve directly test whether returns behave like the bell-curve assumption that much of classical finance theory relies on, and where they depart from it.</w:t>
      </w:r>
    </w:p>
    <w:p>
      <w:pPr>
        <w:spacing w:after="40" w:before="120"/>
      </w:pPr>
      <w:r>
        <w:rPr>
          <w:i/>
          <w:iCs/>
          <w:color w:val="595959"/>
          <w:sz w:val="20"/>
          <w:szCs w:val="20"/>
        </w:rPr>
        <w:t xml:space="preserve">Code: return histograms with a normal overlay</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from scipy import stats</w:t>
      </w:r>
    </w:p>
    <w:p>
      <w:pPr>
        <w:shd w:fill="2B2B2B" w:val="clear"/>
        <w:spacing w:after="0" w:line="260"/>
        <w:ind w:left="160" w:right="160"/>
      </w:pPr>
      <w:r>
        <w:rPr>
          <w:rFonts w:ascii="Consolas" w:cs="Consolas" w:eastAsia="Consolas" w:hAnsi="Consolas"/>
          <w:color w:val="E8E8E8"/>
          <w:sz w:val="19"/>
          <w:szCs w:val="19"/>
        </w:rPr>
        <w:t xml:space="preserve">fig, axes = plt.subplots(1, 2, figsize=(9, 4.2))</w:t>
      </w:r>
    </w:p>
    <w:p>
      <w:pPr>
        <w:shd w:fill="2B2B2B" w:val="clear"/>
        <w:spacing w:after="0" w:line="260"/>
        <w:ind w:left="160" w:right="160"/>
      </w:pPr>
      <w:r>
        <w:rPr>
          <w:rFonts w:ascii="Consolas" w:cs="Consolas" w:eastAsia="Consolas" w:hAnsi="Consolas"/>
          <w:color w:val="E8E8E8"/>
          <w:sz w:val="19"/>
          <w:szCs w:val="19"/>
        </w:rPr>
        <w:t xml:space="preserve">for ax, c in zip(axes, ["AAPL", "XOM"]):</w:t>
      </w:r>
    </w:p>
    <w:p>
      <w:pPr>
        <w:shd w:fill="2B2B2B" w:val="clear"/>
        <w:spacing w:after="0" w:line="260"/>
        <w:ind w:left="160" w:right="160"/>
      </w:pPr>
      <w:r>
        <w:rPr>
          <w:rFonts w:ascii="Consolas" w:cs="Consolas" w:eastAsia="Consolas" w:hAnsi="Consolas"/>
          <w:color w:val="E8E8E8"/>
          <w:sz w:val="19"/>
          <w:szCs w:val="19"/>
        </w:rPr>
        <w:t xml:space="preserve">    data = returns[c] * 100</w:t>
      </w:r>
    </w:p>
    <w:p>
      <w:pPr>
        <w:shd w:fill="2B2B2B" w:val="clear"/>
        <w:spacing w:after="0" w:line="260"/>
        <w:ind w:left="160" w:right="160"/>
      </w:pPr>
      <w:r>
        <w:rPr>
          <w:rFonts w:ascii="Consolas" w:cs="Consolas" w:eastAsia="Consolas" w:hAnsi="Consolas"/>
          <w:color w:val="E8E8E8"/>
          <w:sz w:val="19"/>
          <w:szCs w:val="19"/>
        </w:rPr>
        <w:t xml:space="preserve">    ax.hist(data, bins=60, density=True, alpha=0.75)</w:t>
      </w:r>
    </w:p>
    <w:p>
      <w:pPr>
        <w:shd w:fill="2B2B2B" w:val="clear"/>
        <w:spacing w:after="0" w:line="260"/>
        <w:ind w:left="160" w:right="160"/>
      </w:pPr>
      <w:r>
        <w:rPr>
          <w:rFonts w:ascii="Consolas" w:cs="Consolas" w:eastAsia="Consolas" w:hAnsi="Consolas"/>
          <w:color w:val="E8E8E8"/>
          <w:sz w:val="19"/>
          <w:szCs w:val="19"/>
        </w:rPr>
        <w:t xml:space="preserve">    xs = np.linspace(data.min(), data.max(), 200)</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    ax.plot(xs, stats.norm.pdf(xs, data.mean(), data.std()), color="black")</w:t>
      </w:r>
    </w:p>
    <w:p>
      <w:pPr>
        <w:spacing w:after="40" w:before="12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71775"/>
                    </a:xfrm>
                    <a:prstGeom prst="rect">
                      <a:avLst/>
                    </a:prstGeom>
                  </pic:spPr>
                </pic:pic>
              </a:graphicData>
            </a:graphic>
          </wp:inline>
        </w:drawing>
      </w:r>
    </w:p>
    <w:p>
      <w:pPr>
        <w:spacing w:after="200" w:before="60"/>
        <w:jc w:val="center"/>
      </w:pPr>
      <w:r>
        <w:rPr>
          <w:i/>
          <w:iCs/>
          <w:color w:val="595959"/>
          <w:sz w:val="19"/>
          <w:szCs w:val="19"/>
        </w:rPr>
        <w:t xml:space="preserve">Figure 2. AAPL and XOM daily return distributions against a fitted normal curve.</w:t>
      </w:r>
    </w:p>
    <w:p>
      <w:pPr>
        <w:spacing w:after="160" w:line="300"/>
      </w:pPr>
      <w:r>
        <w:rPr>
          <w:sz w:val="22"/>
          <w:szCs w:val="22"/>
        </w:rPr>
        <w:t xml:space="preserve">AAPL's histogram sits close to its normal overlay (kurtosis ≈ -0.14, near the 0 baseline for a true normal), while XOM shows a visibly taller, narrower peak with more extreme tails than its overlay (kurtosis ≈ 0.08 with a wider realized range of -7.5% to +8.9%). Both series show mild positive skew, meaning slightly larger upside days than downside days on average — a partial rejection of the “symmetric returns” assumption in H2, though the deviation from normality here is moderate rather than extreme.</w:t>
      </w:r>
    </w:p>
    <w:p>
      <w:pPr>
        <w:pStyle w:val="Heading2"/>
        <w:spacing w:after="120" w:before="260"/>
      </w:pPr>
      <w:r>
        <w:rPr>
          <w:b/>
          <w:bCs/>
          <w:color w:val="2E74B5"/>
          <w:sz w:val="24"/>
          <w:szCs w:val="24"/>
        </w:rPr>
        <w:t xml:space="preserve">4.3 Boxplots — Cross-Ticker Comparison &amp; Outliers</w:t>
      </w:r>
    </w:p>
    <w:p>
      <w:pPr>
        <w:spacing w:after="160" w:line="300"/>
      </w:pPr>
      <w:r>
        <w:rPr>
          <w:sz w:val="22"/>
          <w:szCs w:val="22"/>
        </w:rPr>
        <w:t xml:space="preserve">A boxplot puts all five tickers' return distributions on one axis and makes outliers (points beyond 1.5× the interquartile range) explicit, which is the fastest way to compare dispersion and flag anomalies across many series at once.</w:t>
      </w:r>
    </w:p>
    <w:p>
      <w:pPr>
        <w:spacing w:after="40" w:before="120"/>
      </w:pPr>
      <w:r>
        <w:rPr>
          <w:i/>
          <w:iCs/>
          <w:color w:val="595959"/>
          <w:sz w:val="20"/>
          <w:szCs w:val="20"/>
        </w:rPr>
        <w:t xml:space="preserve">Code: boxplot of returns across tickers</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fig, ax = plt.subplots(figsize=(9, 4.6))</w:t>
      </w:r>
    </w:p>
    <w:p>
      <w:pPr>
        <w:shd w:fill="2B2B2B" w:val="clear"/>
        <w:spacing w:after="0" w:line="260"/>
        <w:ind w:left="160" w:right="160"/>
      </w:pPr>
      <w:r>
        <w:rPr>
          <w:rFonts w:ascii="Consolas" w:cs="Consolas" w:eastAsia="Consolas" w:hAnsi="Consolas"/>
          <w:color w:val="E8E8E8"/>
          <w:sz w:val="19"/>
          <w:szCs w:val="19"/>
        </w:rPr>
        <w:t xml:space="preserve">ax.boxplot([returns[c]*100 for c in tickers], tick_labels=tickers,</w:t>
      </w:r>
    </w:p>
    <w:p>
      <w:pPr>
        <w:shd w:fill="2B2B2B" w:val="clear"/>
        <w:spacing w:after="0" w:line="260"/>
        <w:ind w:left="160" w:right="160"/>
      </w:pPr>
      <w:r>
        <w:rPr>
          <w:rFonts w:ascii="Consolas" w:cs="Consolas" w:eastAsia="Consolas" w:hAnsi="Consolas"/>
          <w:color w:val="E8E8E8"/>
          <w:sz w:val="19"/>
          <w:szCs w:val="19"/>
        </w:rPr>
        <w:t xml:space="preserve">           patch_artist=True, showfliers=True)</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ax.axhline(0, color="grey", linestyle=":")</w:t>
      </w:r>
    </w:p>
    <w:p>
      <w:pPr>
        <w:spacing w:after="40" w:before="120"/>
        <w:jc w:val="center"/>
      </w:pPr>
      <w:r>
        <w:drawing>
          <wp:inline distT="0" distB="0" distL="0" distR="0">
            <wp:extent cx="59436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38475"/>
                    </a:xfrm>
                    <a:prstGeom prst="rect">
                      <a:avLst/>
                    </a:prstGeom>
                  </pic:spPr>
                </pic:pic>
              </a:graphicData>
            </a:graphic>
          </wp:inline>
        </w:drawing>
      </w:r>
    </w:p>
    <w:p>
      <w:pPr>
        <w:spacing w:after="200" w:before="60"/>
        <w:jc w:val="center"/>
      </w:pPr>
      <w:r>
        <w:rPr>
          <w:i/>
          <w:iCs/>
          <w:color w:val="595959"/>
          <w:sz w:val="19"/>
          <w:szCs w:val="19"/>
        </w:rPr>
        <w:t xml:space="preserve">Figure 3. Daily return distribution and flagged outliers (red dots) by ticker.</w:t>
      </w:r>
    </w:p>
    <w:p>
      <w:pPr>
        <w:spacing w:after="160" w:line="300"/>
      </w:pPr>
      <w:r>
        <w:rPr>
          <w:sz w:val="22"/>
          <w:szCs w:val="22"/>
        </w:rPr>
        <w:t xml:space="preserve">JPM and XOM show both the widest boxes (interquartile range) and the most numerous fliers in both directions, directly supporting H1's prediction that these two carry the basket's highest risk. PG's box is visibly the narrowest and most tightly clustered around zero, confirming its lower-volatility profile.</w:t>
      </w:r>
    </w:p>
    <w:p>
      <w:pPr>
        <w:pStyle w:val="Heading2"/>
        <w:spacing w:after="120" w:before="260"/>
      </w:pPr>
      <w:r>
        <w:rPr>
          <w:b/>
          <w:bCs/>
          <w:color w:val="2E74B5"/>
          <w:sz w:val="24"/>
          <w:szCs w:val="24"/>
        </w:rPr>
        <w:t xml:space="preserve">4.4 Rolling Volatility — Regime Detection</w:t>
      </w:r>
    </w:p>
    <w:p>
      <w:pPr>
        <w:spacing w:after="160" w:line="300"/>
      </w:pPr>
      <w:r>
        <w:rPr>
          <w:sz w:val="22"/>
          <w:szCs w:val="22"/>
        </w:rPr>
        <w:t xml:space="preserve">A single volatility number hides when risk was actually elevated. A rolling 21-day annualized volatility line makes volatility clustering and regime shifts visible over time, which a static standard deviation cannot show.</w:t>
      </w:r>
    </w:p>
    <w:p>
      <w:pPr>
        <w:spacing w:after="40" w:before="120"/>
      </w:pPr>
      <w:r>
        <w:rPr>
          <w:i/>
          <w:iCs/>
          <w:color w:val="595959"/>
          <w:sz w:val="20"/>
          <w:szCs w:val="20"/>
        </w:rPr>
        <w:t xml:space="preserve">Code: rolling annualized volatility</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rolling_vol = returns.rolling(21).std() * np.sqrt(252)</w:t>
      </w:r>
    </w:p>
    <w:p>
      <w:pPr>
        <w:shd w:fill="2B2B2B" w:val="clear"/>
        <w:spacing w:after="0" w:line="260"/>
        <w:ind w:left="160" w:right="160"/>
      </w:pPr>
      <w:r>
        <w:rPr>
          <w:rFonts w:ascii="Consolas" w:cs="Consolas" w:eastAsia="Consolas" w:hAnsi="Consolas"/>
          <w:color w:val="E8E8E8"/>
          <w:sz w:val="19"/>
          <w:szCs w:val="19"/>
        </w:rPr>
        <w:t xml:space="preserve">fig, ax = plt.subplots(figsize=(9, 4.6))</w:t>
      </w:r>
    </w:p>
    <w:p>
      <w:pPr>
        <w:shd w:fill="2B2B2B" w:val="clear"/>
        <w:spacing w:after="0" w:line="260"/>
        <w:ind w:left="160" w:right="160"/>
      </w:pPr>
      <w:r>
        <w:rPr>
          <w:rFonts w:ascii="Consolas" w:cs="Consolas" w:eastAsia="Consolas" w:hAnsi="Consolas"/>
          <w:color w:val="E8E8E8"/>
          <w:sz w:val="19"/>
          <w:szCs w:val="19"/>
        </w:rPr>
        <w:t xml:space="preserve">for c in tickers:</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    ax.plot(rolling_vol.index, rolling_vol[c]*100, label=c)</w:t>
      </w:r>
    </w:p>
    <w:p>
      <w:pPr>
        <w:spacing w:after="40" w:before="120"/>
        <w:jc w:val="center"/>
      </w:pPr>
      <w:r>
        <w:drawing>
          <wp:inline distT="0" distB="0" distL="0" distR="0">
            <wp:extent cx="59436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38475"/>
                    </a:xfrm>
                    <a:prstGeom prst="rect">
                      <a:avLst/>
                    </a:prstGeom>
                  </pic:spPr>
                </pic:pic>
              </a:graphicData>
            </a:graphic>
          </wp:inline>
        </w:drawing>
      </w:r>
    </w:p>
    <w:p>
      <w:pPr>
        <w:spacing w:after="200" w:before="60"/>
        <w:jc w:val="center"/>
      </w:pPr>
      <w:r>
        <w:rPr>
          <w:i/>
          <w:iCs/>
          <w:color w:val="595959"/>
          <w:sz w:val="19"/>
          <w:szCs w:val="19"/>
        </w:rPr>
        <w:t xml:space="preserve">Figure 4. Rolling 21-trading-day annualized volatility by ticker.</w:t>
      </w:r>
    </w:p>
    <w:p>
      <w:pPr>
        <w:spacing w:after="160" w:line="300"/>
      </w:pPr>
      <w:r>
        <w:rPr>
          <w:sz w:val="22"/>
          <w:szCs w:val="22"/>
        </w:rPr>
        <w:t xml:space="preserve">XOM's volatility spikes to roughly 58% annualized in early 2020 — nearly double its full-period average of 36.5% — clearly identifying the COVID-19 window as the single most volatile stretch in the sample for every ticker simultaneously. Volatility clustering is visible throughout: elevated periods persist for weeks rather than appearing as isolated single-day spikes, which is exactly the pattern that motivates using a rolling volatility measure instead of one static figure in risk reporting.</w:t>
      </w:r>
    </w:p>
    <w:p>
      <w:pPr>
        <w:pStyle w:val="Heading2"/>
        <w:spacing w:after="120" w:before="260"/>
      </w:pPr>
      <w:r>
        <w:rPr>
          <w:b/>
          <w:bCs/>
          <w:color w:val="2E74B5"/>
          <w:sz w:val="24"/>
          <w:szCs w:val="24"/>
        </w:rPr>
        <w:t xml:space="preserve">4.5 Scatter Plots — Beta vs. the Benchmark</w:t>
      </w:r>
    </w:p>
    <w:p>
      <w:pPr>
        <w:spacing w:after="160" w:line="300"/>
      </w:pPr>
      <w:r>
        <w:rPr>
          <w:sz w:val="22"/>
          <w:szCs w:val="22"/>
        </w:rPr>
        <w:t xml:space="preserve">Plotting a stock's daily return against the benchmark's daily return, with a fitted regression line, visually estimates beta (systematic risk) and R² (how much of the stock's movement the market explains) in a single chart, which a correlation number alone does not convey as intuitively.</w:t>
      </w:r>
    </w:p>
    <w:p>
      <w:pPr>
        <w:spacing w:after="40" w:before="120"/>
      </w:pPr>
      <w:r>
        <w:rPr>
          <w:i/>
          <w:iCs/>
          <w:color w:val="595959"/>
          <w:sz w:val="20"/>
          <w:szCs w:val="20"/>
        </w:rPr>
        <w:t xml:space="preserve">Code: scatter plot with a fitted regression line</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from scipy import stats</w:t>
      </w:r>
    </w:p>
    <w:p>
      <w:pPr>
        <w:shd w:fill="2B2B2B" w:val="clear"/>
        <w:spacing w:after="0" w:line="260"/>
        <w:ind w:left="160" w:right="160"/>
      </w:pPr>
      <w:r>
        <w:rPr>
          <w:rFonts w:ascii="Consolas" w:cs="Consolas" w:eastAsia="Consolas" w:hAnsi="Consolas"/>
          <w:color w:val="E8E8E8"/>
          <w:sz w:val="19"/>
          <w:szCs w:val="19"/>
        </w:rPr>
        <w:t xml:space="preserve">slope, intercept, r, p, se = stats.linregress(returns["SP500"], returns["JPM"])</w:t>
      </w:r>
    </w:p>
    <w:p>
      <w:pPr>
        <w:shd w:fill="2B2B2B" w:val="clear"/>
        <w:spacing w:after="0" w:line="260"/>
        <w:ind w:left="160" w:right="160"/>
      </w:pPr>
      <w:r>
        <w:rPr>
          <w:rFonts w:ascii="Consolas" w:cs="Consolas" w:eastAsia="Consolas" w:hAnsi="Consolas"/>
          <w:color w:val="E8E8E8"/>
          <w:sz w:val="19"/>
          <w:szCs w:val="19"/>
        </w:rPr>
        <w:t xml:space="preserve">fig, ax = plt.subplots()</w:t>
      </w:r>
    </w:p>
    <w:p>
      <w:pPr>
        <w:shd w:fill="2B2B2B" w:val="clear"/>
        <w:spacing w:after="0" w:line="260"/>
        <w:ind w:left="160" w:right="160"/>
      </w:pPr>
      <w:r>
        <w:rPr>
          <w:rFonts w:ascii="Consolas" w:cs="Consolas" w:eastAsia="Consolas" w:hAnsi="Consolas"/>
          <w:color w:val="E8E8E8"/>
          <w:sz w:val="19"/>
          <w:szCs w:val="19"/>
        </w:rPr>
        <w:t xml:space="preserve">ax.scatter(returns["SP500"]*100, returns["JPM"]*100, alpha=0.35)</w:t>
      </w:r>
    </w:p>
    <w:p>
      <w:pPr>
        <w:shd w:fill="2B2B2B" w:val="clear"/>
        <w:spacing w:after="0" w:line="260"/>
        <w:ind w:left="160" w:right="160"/>
      </w:pPr>
      <w:r>
        <w:rPr>
          <w:rFonts w:ascii="Consolas" w:cs="Consolas" w:eastAsia="Consolas" w:hAnsi="Consolas"/>
          <w:color w:val="E8E8E8"/>
          <w:sz w:val="19"/>
          <w:szCs w:val="19"/>
        </w:rPr>
        <w:t xml:space="preserve">ax.plot(xs, slope*xs + intercept, color="black")</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ax.set_title(f"JPM vs. S&amp;P 500 (β≈{slope:.2f}, R²={r**2:.2f})")</w:t>
      </w:r>
    </w:p>
    <w:p>
      <w:pPr>
        <w:spacing w:after="40" w:before="120"/>
        <w:jc w:val="center"/>
      </w:pPr>
      <w:r>
        <w:drawing>
          <wp:inline distT="0" distB="0" distL="0" distR="0">
            <wp:extent cx="59436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905125"/>
                    </a:xfrm>
                    <a:prstGeom prst="rect">
                      <a:avLst/>
                    </a:prstGeom>
                  </pic:spPr>
                </pic:pic>
              </a:graphicData>
            </a:graphic>
          </wp:inline>
        </w:drawing>
      </w:r>
    </w:p>
    <w:p>
      <w:pPr>
        <w:spacing w:after="200" w:before="60"/>
        <w:jc w:val="center"/>
      </w:pPr>
      <w:r>
        <w:rPr>
          <w:i/>
          <w:iCs/>
          <w:color w:val="595959"/>
          <w:sz w:val="19"/>
          <w:szCs w:val="19"/>
        </w:rPr>
        <w:t xml:space="preserve">Figure 5. JPM and PG daily returns regressed against the S&amp;P 500 benchmark.</w:t>
      </w:r>
    </w:p>
    <w:p>
      <w:pPr>
        <w:spacing w:after="160" w:line="300"/>
      </w:pPr>
      <w:r>
        <w:rPr>
          <w:sz w:val="22"/>
          <w:szCs w:val="22"/>
        </w:rPr>
        <w:t xml:space="preserve">JPM's fitted beta of 1.32 (R² = 0.55) shows it moves more than one-for-one with the market and that the market explains over half of its daily variation — consistent with a financial stock's typical amplification of macro conditions. PG's beta of 0.57 (R² = 0.30) confirms it is both less sensitive to market swings and less explained by them, leaving more of its return driven by company-specific factors, matching its defensive, consumer-staples profile.</w:t>
      </w:r>
    </w:p>
    <w:p>
      <w:pPr>
        <w:pStyle w:val="Heading2"/>
        <w:spacing w:after="120" w:before="260"/>
      </w:pPr>
      <w:r>
        <w:rPr>
          <w:b/>
          <w:bCs/>
          <w:color w:val="2E74B5"/>
          <w:sz w:val="24"/>
          <w:szCs w:val="24"/>
        </w:rPr>
        <w:t xml:space="preserve">4.6 Correlation Heatmap</w:t>
      </w:r>
    </w:p>
    <w:p>
      <w:pPr>
        <w:spacing w:after="160" w:line="300"/>
      </w:pPr>
      <w:r>
        <w:rPr>
          <w:sz w:val="22"/>
          <w:szCs w:val="22"/>
        </w:rPr>
        <w:t xml:space="preserve">A heatmap communicates an entire correlation matrix at a glance through color intensity, which is far faster to scan than a table of numbers, especially for spotting the highest and lowest pairwise relationships.</w:t>
      </w:r>
    </w:p>
    <w:p>
      <w:pPr>
        <w:spacing w:after="40" w:before="120"/>
      </w:pPr>
      <w:r>
        <w:rPr>
          <w:i/>
          <w:iCs/>
          <w:color w:val="595959"/>
          <w:sz w:val="20"/>
          <w:szCs w:val="20"/>
        </w:rPr>
        <w:t xml:space="preserve">Code: correlation heatmap</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corr = returns[tickers].corr()</w:t>
      </w:r>
    </w:p>
    <w:p>
      <w:pPr>
        <w:shd w:fill="2B2B2B" w:val="clear"/>
        <w:spacing w:after="0" w:line="260"/>
        <w:ind w:left="160" w:right="160"/>
      </w:pPr>
      <w:r>
        <w:rPr>
          <w:rFonts w:ascii="Consolas" w:cs="Consolas" w:eastAsia="Consolas" w:hAnsi="Consolas"/>
          <w:color w:val="E8E8E8"/>
          <w:sz w:val="19"/>
          <w:szCs w:val="19"/>
        </w:rPr>
        <w:t xml:space="preserve">fig, ax = plt.subplots(figsize=(6, 5))</w:t>
      </w:r>
    </w:p>
    <w:p>
      <w:pPr>
        <w:shd w:fill="2B2B2B" w:val="clear"/>
        <w:spacing w:after="0" w:line="260"/>
        <w:ind w:left="160" w:right="160"/>
      </w:pPr>
      <w:r>
        <w:rPr>
          <w:rFonts w:ascii="Consolas" w:cs="Consolas" w:eastAsia="Consolas" w:hAnsi="Consolas"/>
          <w:color w:val="E8E8E8"/>
          <w:sz w:val="19"/>
          <w:szCs w:val="19"/>
        </w:rPr>
        <w:t xml:space="preserve">im = ax.imshow(corr, cmap="RdBu_r", vmin=-1, vmax=1)</w:t>
      </w:r>
    </w:p>
    <w:p>
      <w:pPr>
        <w:shd w:fill="2B2B2B" w:val="clear"/>
        <w:spacing w:after="0" w:line="260"/>
        <w:ind w:left="160" w:right="160"/>
      </w:pPr>
      <w:r>
        <w:rPr>
          <w:rFonts w:ascii="Consolas" w:cs="Consolas" w:eastAsia="Consolas" w:hAnsi="Consolas"/>
          <w:color w:val="E8E8E8"/>
          <w:sz w:val="19"/>
          <w:szCs w:val="19"/>
        </w:rPr>
        <w:t xml:space="preserve">ax.set_xticks(range(5)); ax.set_xticklabels(tickers)</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ax.set_yticks(range(5)); ax.set_yticklabels(tickers)</w:t>
      </w:r>
    </w:p>
    <w:p>
      <w:pPr>
        <w:spacing w:after="40" w:before="120"/>
        <w:jc w:val="center"/>
      </w:pPr>
      <w:r>
        <w:drawing>
          <wp:inline distT="0" distB="0" distL="0" distR="0">
            <wp:extent cx="355282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52825" cy="3095625"/>
                    </a:xfrm>
                    <a:prstGeom prst="rect">
                      <a:avLst/>
                    </a:prstGeom>
                  </pic:spPr>
                </pic:pic>
              </a:graphicData>
            </a:graphic>
          </wp:inline>
        </w:drawing>
      </w:r>
    </w:p>
    <w:p>
      <w:pPr>
        <w:spacing w:after="200" w:before="60"/>
        <w:jc w:val="center"/>
      </w:pPr>
      <w:r>
        <w:rPr>
          <w:i/>
          <w:iCs/>
          <w:color w:val="595959"/>
          <w:sz w:val="19"/>
          <w:szCs w:val="19"/>
        </w:rPr>
        <w:t xml:space="preserve">Figure 6. Pairwise return correlation matrix across the five-stock basket.</w:t>
      </w:r>
    </w:p>
    <w:p>
      <w:pPr>
        <w:spacing w:after="160" w:line="300"/>
      </w:pPr>
      <w:r>
        <w:rPr>
          <w:sz w:val="22"/>
          <w:szCs w:val="22"/>
        </w:rPr>
        <w:t xml:space="preserve">Every pairwise correlation among the five stocks falls in a fairly narrow 0.35–0.51 band, with JPM and MSFT the most correlated pair (0.51) and PG consistently the least correlated with every other name (0.35–0.39). Critically, every ticker correlates more strongly with the S&amp;P 500 benchmark itself (0.67–0.74, see Section 3's underlying data) than with any individual peer stock — direct confirmation of H3: the shared market factor dominates any single stock-to-stock relationship in this basket.</w:t>
      </w:r>
    </w:p>
    <w:p>
      <w:pPr>
        <w:pStyle w:val="Heading1"/>
        <w:pBdr>
          <w:bottom w:val="single" w:color="2E74B5" w:sz="6" w:space="4"/>
        </w:pBdr>
        <w:spacing w:after="160" w:before="360"/>
      </w:pPr>
      <w:r>
        <w:rPr>
          <w:b/>
          <w:bCs/>
          <w:color w:val="1F3864"/>
          <w:sz w:val="30"/>
          <w:szCs w:val="30"/>
        </w:rPr>
        <w:t xml:space="preserve">5. Anomaly Detection</w:t>
      </w:r>
    </w:p>
    <w:p>
      <w:pPr>
        <w:spacing w:after="160" w:line="300"/>
      </w:pPr>
      <w:r>
        <w:rPr>
          <w:sz w:val="22"/>
          <w:szCs w:val="22"/>
        </w:rPr>
        <w:t xml:space="preserve">Two outlier-detection methods were run and compared directly, since they answer different questions and neither alone is sufficient.</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4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Detection Method</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Result on This Dataset</w:t>
            </w:r>
          </w:p>
        </w:tc>
        <w:tc>
          <w:tcPr>
            <w:tcW w:type="dxa" w:w="3540"/>
            <w:shd w:fill="1F3864" w:val="clear"/>
            <w:tcMar>
              <w:top w:type="dxa" w:w="80"/>
              <w:left w:type="dxa" w:w="100"/>
              <w:bottom w:type="dxa" w:w="80"/>
              <w:right w:type="dxa" w:w="100"/>
            </w:tcMar>
            <w:vAlign w:val="center"/>
          </w:tcPr>
          <w:p>
            <w:pPr>
              <w:jc w:val="left"/>
            </w:pPr>
            <w:r>
              <w:rPr>
                <w:b/>
                <w:bCs/>
                <w:color w:val="FFFFFF"/>
                <w:sz w:val="20"/>
                <w:szCs w:val="20"/>
              </w:rPr>
              <w:t xml:space="preserve">Interpretation</w:t>
            </w:r>
          </w:p>
        </w:tc>
      </w:tr>
      <w:tr>
        <w:trPr>
          <w:tblHeader w:val="false"/>
        </w:trPr>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Rolling 63-day z-score, |z| &gt; 4</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 flags across all six series</w:t>
            </w:r>
          </w:p>
        </w:tc>
        <w:tc>
          <w:tcPr>
            <w:tcW w:type="dxa" w:w="354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The rolling window adapts its own mean/std around sustained volatile stretches (e.g., the COVID crash), so no single day within an already-volatile window clears this stricter, locally-adaptive bar</w:t>
            </w:r>
          </w:p>
        </w:tc>
      </w:tr>
      <w:tr>
        <w:trPr>
          <w:tblHeader w:val="false"/>
        </w:trPr>
        <w:tc>
          <w:tcPr>
            <w:tcW w:type="dxa" w:w="30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Static full-sample z-score, |z| &gt; 3</w:t>
            </w:r>
          </w:p>
        </w:tc>
        <w:tc>
          <w:tcPr>
            <w:tcW w:type="dxa" w:w="32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2–10 flags per series (32 unique dates total)</w:t>
            </w:r>
          </w:p>
        </w:tc>
        <w:tc>
          <w:tcPr>
            <w:tcW w:type="dxa" w:w="354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Catches days extreme relative to the entire 6-year sample, not just their local neighborhood — the more informative anomaly view for this report</w:t>
            </w:r>
          </w:p>
        </w:tc>
      </w:tr>
      <w:tr>
        <w:trPr>
          <w:tblHeader w:val="false"/>
        </w:trPr>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Boxplot 1.5×IQR fences</w:t>
            </w:r>
          </w:p>
        </w:tc>
        <w:tc>
          <w:tcPr>
            <w:tcW w:type="dxa" w:w="3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Visible fliers on every ticker (Figure 3), most numerous for JPM and XOM</w:t>
            </w:r>
          </w:p>
        </w:tc>
        <w:tc>
          <w:tcPr>
            <w:tcW w:type="dxa" w:w="354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Confirms fat-tailed, non-normal return behavior rather than isolated data errors, consistent with the positive excess activity seen around 2020 and 2022</w:t>
            </w:r>
          </w:p>
        </w:tc>
      </w:tr>
    </w:tbl>
    <w:p>
      <w:pPr>
        <w:spacing w:before="200"/>
      </w:pPr>
    </w:p>
    <w:p>
      <w:pPr>
        <w:spacing w:after="40" w:before="120"/>
      </w:pPr>
      <w:r>
        <w:rPr>
          <w:i/>
          <w:iCs/>
          <w:color w:val="595959"/>
          <w:sz w:val="20"/>
          <w:szCs w:val="20"/>
        </w:rPr>
        <w:t xml:space="preserve">Code: full-sample static z-score anomaly detection</w:t>
      </w:r>
    </w:p>
    <w:p>
      <w:pPr>
        <w:pBdr>
          <w:top w:val="single" w:color="2B2B2B" w:sz="4" w:space="6"/>
        </w:pBdr>
        <w:shd w:fill="2B2B2B" w:val="clear"/>
        <w:spacing w:after="0" w:line="260"/>
        <w:ind w:left="160" w:right="160"/>
      </w:pPr>
      <w:r>
        <w:rPr>
          <w:rFonts w:ascii="Consolas" w:cs="Consolas" w:eastAsia="Consolas" w:hAnsi="Consolas"/>
          <w:color w:val="E8E8E8"/>
          <w:sz w:val="19"/>
          <w:szCs w:val="19"/>
        </w:rPr>
        <w:t xml:space="preserve">full_z = (returns - returns.mean()) / returns.std()</w:t>
      </w:r>
    </w:p>
    <w:p>
      <w:pPr>
        <w:shd w:fill="2B2B2B" w:val="clear"/>
        <w:spacing w:after="0" w:line="260"/>
        <w:ind w:left="160" w:right="160"/>
      </w:pPr>
      <w:r>
        <w:rPr>
          <w:rFonts w:ascii="Consolas" w:cs="Consolas" w:eastAsia="Consolas" w:hAnsi="Consolas"/>
          <w:color w:val="E8E8E8"/>
          <w:sz w:val="19"/>
          <w:szCs w:val="19"/>
        </w:rPr>
        <w:t xml:space="preserve">static_outliers = full_z.abs() &gt; 3</w:t>
      </w:r>
    </w:p>
    <w:p>
      <w:pPr>
        <w:shd w:fill="2B2B2B" w:val="clear"/>
        <w:spacing w:after="0" w:line="260"/>
        <w:ind w:left="160" w:right="160"/>
      </w:pPr>
      <w:r>
        <w:rPr>
          <w:rFonts w:ascii="Consolas" w:cs="Consolas" w:eastAsia="Consolas" w:hAnsi="Consolas"/>
          <w:color w:val="E8E8E8"/>
          <w:sz w:val="19"/>
          <w:szCs w:val="19"/>
        </w:rPr>
        <w:t xml:space="preserve">flagged_dates = returns[static_outliers.any(axis=1)].index</w:t>
      </w:r>
    </w:p>
    <w:p>
      <w:pPr>
        <w:pBdr>
          <w:bottom w:val="single" w:color="2B2B2B" w:sz="4" w:space="6"/>
        </w:pBdr>
        <w:shd w:fill="2B2B2B" w:val="clear"/>
        <w:spacing w:after="0" w:line="260"/>
        <w:ind w:left="160" w:right="160"/>
      </w:pPr>
      <w:r>
        <w:rPr>
          <w:rFonts w:ascii="Consolas" w:cs="Consolas" w:eastAsia="Consolas" w:hAnsi="Consolas"/>
          <w:color w:val="E8E8E8"/>
          <w:sz w:val="19"/>
          <w:szCs w:val="19"/>
        </w:rPr>
        <w:t xml:space="preserve">print(f"{len(flagged_dates)} unique dates flagged across the basket")</w:t>
      </w:r>
    </w:p>
    <w:p>
      <w:pPr>
        <w:spacing w:after="160" w:line="300"/>
      </w:pPr>
      <w:r>
        <w:rPr>
          <w:sz w:val="22"/>
          <w:szCs w:val="22"/>
        </w:rPr>
        <w:t xml:space="preserve">This check flagged 32 unique dates across the six-year sample (2–10 per series), clustering visibly around late February–March 2020 (the COVID-19 shock) and appearing more sparsely thereafter — for example single flagged days in March 2022 and August 2023 that align with the rate-hike regime and a known August 2023 market wobble. Because these anomalies cluster around identifiable macro events rather than appearing as isolated, unexplained spikes, they are best interpreted as genuine tail risk rather than data-quality defects, echoing the same manual-review conclusion reached during Week 2's cleaning stage.</w:t>
      </w:r>
    </w:p>
    <w:p>
      <w:pPr>
        <w:pStyle w:val="Heading1"/>
        <w:pBdr>
          <w:bottom w:val="single" w:color="2E74B5" w:sz="6" w:space="4"/>
        </w:pBdr>
        <w:spacing w:after="160" w:before="360"/>
      </w:pPr>
      <w:r>
        <w:rPr>
          <w:b/>
          <w:bCs/>
          <w:color w:val="1F3864"/>
          <w:sz w:val="30"/>
          <w:szCs w:val="30"/>
        </w:rPr>
        <w:t xml:space="preserve">6. Interpretation &amp; Practical Insights</w:t>
      </w:r>
    </w:p>
    <w:p>
      <w:pPr>
        <w:pStyle w:val="Heading2"/>
        <w:spacing w:after="120" w:before="260"/>
      </w:pPr>
      <w:r>
        <w:rPr>
          <w:b/>
          <w:bCs/>
          <w:color w:val="2E74B5"/>
          <w:sz w:val="24"/>
          <w:szCs w:val="24"/>
        </w:rPr>
        <w:t xml:space="preserve">6.1 What the Patterns Imply</w:t>
      </w:r>
    </w:p>
    <w:p>
      <w:pPr>
        <w:pStyle w:val="ListParagraph"/>
        <w:numPr>
          <w:ilvl w:val="0"/>
          <w:numId w:val="2"/>
        </w:numPr>
        <w:spacing w:after="90" w:line="280"/>
      </w:pPr>
      <w:r>
        <w:rPr>
          <w:sz w:val="22"/>
          <w:szCs w:val="22"/>
        </w:rPr>
        <w:t xml:space="preserve">Volatility is regime-driven, not constant: risk was not evenly spread across 2019–2024 but concentrated in identifiable windows (COVID-19, the 2022 rate-hiking cycle), which matters for anyone sizing positions or setting risk limits using a single historical volatility figure.</w:t>
      </w:r>
    </w:p>
    <w:p>
      <w:pPr>
        <w:pStyle w:val="ListParagraph"/>
        <w:numPr>
          <w:ilvl w:val="0"/>
          <w:numId w:val="2"/>
        </w:numPr>
        <w:spacing w:after="90" w:line="280"/>
      </w:pPr>
      <w:r>
        <w:rPr>
          <w:sz w:val="22"/>
          <w:szCs w:val="22"/>
        </w:rPr>
        <w:t xml:space="preserve">Diversification benefit is limited within this basket: since every stock correlates with the benchmark more than with its peers, adding a second or third stock from this same basket provides less diversification than adding an asset from outside the equity market entirely (e.g., a bond or commodity).</w:t>
      </w:r>
    </w:p>
    <w:p>
      <w:pPr>
        <w:pStyle w:val="ListParagraph"/>
        <w:numPr>
          <w:ilvl w:val="0"/>
          <w:numId w:val="2"/>
        </w:numPr>
        <w:spacing w:after="90" w:line="280"/>
      </w:pPr>
      <w:r>
        <w:rPr>
          <w:sz w:val="22"/>
          <w:szCs w:val="22"/>
        </w:rPr>
        <w:t xml:space="preserve">Beta separates offense from defense cleanly: JPM's high beta/high R² profile makes it a reasonable proxy for amplified market exposure, while PG's low beta/low R² profile makes it a more defensible defensive holding — exactly the roles their profiles would need to play in a barbell-style portfolio.</w:t>
      </w:r>
    </w:p>
    <w:p>
      <w:pPr>
        <w:pStyle w:val="ListParagraph"/>
        <w:numPr>
          <w:ilvl w:val="0"/>
          <w:numId w:val="2"/>
        </w:numPr>
        <w:spacing w:after="90" w:line="280"/>
      </w:pPr>
      <w:r>
        <w:rPr>
          <w:sz w:val="22"/>
          <w:szCs w:val="22"/>
        </w:rPr>
        <w:t xml:space="preserve">Fat tails, however mild here, argue against relying purely on standard deviation for risk limits: the boxplot fliers and non-zero skew/kurtosis mean extreme days occur somewhat more often than a normal distribution would predict, so downside scenarios should be stress-tested rather than assumed away.</w:t>
      </w:r>
    </w:p>
    <w:p>
      <w:pPr>
        <w:pStyle w:val="Heading2"/>
        <w:spacing w:after="120" w:before="260"/>
      </w:pPr>
      <w:r>
        <w:rPr>
          <w:b/>
          <w:bCs/>
          <w:color w:val="2E74B5"/>
          <w:sz w:val="24"/>
          <w:szCs w:val="24"/>
        </w:rPr>
        <w:t xml:space="preserve">6.2 Practical Recommendations</w:t>
      </w:r>
    </w:p>
    <w:p>
      <w:pPr>
        <w:pStyle w:val="ListParagraph"/>
        <w:numPr>
          <w:ilvl w:val="0"/>
          <w:numId w:val="2"/>
        </w:numPr>
        <w:spacing w:after="90" w:line="280"/>
      </w:pPr>
      <w:r>
        <w:rPr>
          <w:sz w:val="22"/>
          <w:szCs w:val="22"/>
        </w:rPr>
        <w:t xml:space="preserve">Risk management: size positions using rolling (regime-aware) volatility rather than a single full-period standard deviation, since realized risk in this sample varied by roughly 2× between calm and stressed periods.</w:t>
      </w:r>
    </w:p>
    <w:p>
      <w:pPr>
        <w:pStyle w:val="ListParagraph"/>
        <w:numPr>
          <w:ilvl w:val="0"/>
          <w:numId w:val="2"/>
        </w:numPr>
        <w:spacing w:after="90" w:line="280"/>
      </w:pPr>
      <w:r>
        <w:rPr>
          <w:sz w:val="22"/>
          <w:szCs w:val="22"/>
        </w:rPr>
        <w:t xml:space="preserve">Portfolio construction: pair a high-beta name (e.g., JPM) with a low-beta name (e.g., PG) rather than assuming any two stocks in the basket are naturally diversifying, since correlations here cluster in a narrow, moderately-high band.</w:t>
      </w:r>
    </w:p>
    <w:p>
      <w:pPr>
        <w:pStyle w:val="ListParagraph"/>
        <w:numPr>
          <w:ilvl w:val="0"/>
          <w:numId w:val="2"/>
        </w:numPr>
        <w:spacing w:after="90" w:line="280"/>
      </w:pPr>
      <w:r>
        <w:rPr>
          <w:sz w:val="22"/>
          <w:szCs w:val="22"/>
        </w:rPr>
        <w:t xml:space="preserve">Monitoring: track the static full-sample z-score alongside the rolling measure, since the rolling method alone under-detects anomalies once a volatile stretch has widened its own local baseline — exactly the gap Section 5 identified.</w:t>
      </w:r>
    </w:p>
    <w:p>
      <w:pPr>
        <w:pStyle w:val="ListParagraph"/>
        <w:numPr>
          <w:ilvl w:val="0"/>
          <w:numId w:val="2"/>
        </w:numPr>
        <w:spacing w:after="90" w:line="280"/>
      </w:pPr>
      <w:r>
        <w:rPr>
          <w:sz w:val="22"/>
          <w:szCs w:val="22"/>
        </w:rPr>
        <w:t xml:space="preserve">Further analysis: the identified 2022 bearish/rate-hike stretch is a natural candidate for a follow-up regression of returns against interest-rate changes, extending this EDA into a more formal risk-factor model.</w:t>
      </w:r>
    </w:p>
    <w:p>
      <w:pPr>
        <w:pStyle w:val="Heading1"/>
        <w:pBdr>
          <w:bottom w:val="single" w:color="2E74B5" w:sz="6" w:space="4"/>
        </w:pBdr>
        <w:spacing w:after="160" w:before="360"/>
      </w:pPr>
      <w:r>
        <w:rPr>
          <w:b/>
          <w:bCs/>
          <w:color w:val="1F3864"/>
          <w:sz w:val="30"/>
          <w:szCs w:val="30"/>
        </w:rPr>
        <w:t xml:space="preserve">7. Conclusion</w:t>
      </w:r>
    </w:p>
    <w:p>
      <w:pPr>
        <w:spacing w:after="160" w:line="300"/>
      </w:pPr>
      <w:r>
        <w:rPr>
          <w:sz w:val="22"/>
          <w:szCs w:val="22"/>
        </w:rPr>
        <w:t xml:space="preserve">This exploratory analysis moved from a cleaned dataset to concrete, visualized insight: return distributions that are close to but not fully normal, volatility that clusters into clearly identifiable regimes, a correlation structure dominated by a shared market factor rather than stock-specific relationships, and a small set of statistically anomalous days that map cleanly onto known macro events rather than data errors. Each of the three initial hypotheses was tested directly against the data — H1 and H3 were supported, while H2 was only partially supported, with returns showing mild rather than extreme non-normality. These findings, and the practical recommendations they motivate, set up a clear, evidence-based agenda for the deeper risk-factor analysis planned next.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Week 3 — Exploratory Data Analysis &amp;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c3e1c0df15c6a220b2be03b42adaa778c14593.undefined"/><Relationship Id="rId10" Type="http://schemas.openxmlformats.org/officeDocument/2006/relationships/image" Target="media/2176160b117dbc20f7fea3d47a018e9c87f24723.undefined"/><Relationship Id="rId11" Type="http://schemas.openxmlformats.org/officeDocument/2006/relationships/image" Target="media/9736b4427339fb6089774c5027665ea8e516649f.undefined"/><Relationship Id="rId12" Type="http://schemas.openxmlformats.org/officeDocument/2006/relationships/image" Target="media/7cae7264592c2c7a1441dc9dd90a99dd8fb598b4.undefined"/><Relationship Id="rId13" Type="http://schemas.openxmlformats.org/officeDocument/2006/relationships/image" Target="media/d48cff6d43042e6ab59f8abf1d4b6d27bee85682.undefined"/><Relationship Id="rId14" Type="http://schemas.openxmlformats.org/officeDocument/2006/relationships/image" Target="media/aa2c2105201f47f898976b3a170bec5f17832904.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2026-09-20T05:43:10.647Z</dcterms:created>
  <dcterms:modified xsi:type="dcterms:W3CDTF">2026-09-20T05:43:10.647Z</dcterms:modified>
</cp:coreProperties>
</file>

<file path=docProps/custom.xml><?xml version="1.0" encoding="utf-8"?>
<Properties xmlns="http://schemas.openxmlformats.org/officeDocument/2006/custom-properties" xmlns:vt="http://schemas.openxmlformats.org/officeDocument/2006/docPropsVTypes"/>
</file>