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4A2A" w14:textId="1C8A97B2" w:rsidR="00FE29A0" w:rsidRDefault="00142EDF" w:rsidP="00142EDF">
      <w:pPr>
        <w:spacing w:line="240" w:lineRule="auto"/>
        <w:rPr>
          <w:b/>
          <w:bCs/>
          <w:sz w:val="28"/>
          <w:szCs w:val="28"/>
        </w:rPr>
      </w:pPr>
      <w:r w:rsidRPr="00142EDF">
        <w:rPr>
          <w:b/>
          <w:bCs/>
          <w:sz w:val="28"/>
          <w:szCs w:val="28"/>
        </w:rPr>
        <w:t>Compensation Management and System Integration Overview</w:t>
      </w:r>
    </w:p>
    <w:p w14:paraId="46BF5E50" w14:textId="77777777" w:rsidR="00142EDF" w:rsidRPr="00142EDF" w:rsidRDefault="00142EDF" w:rsidP="00142EDF">
      <w:pPr>
        <w:spacing w:line="240" w:lineRule="auto"/>
        <w:rPr>
          <w:b/>
          <w:bCs/>
          <w:sz w:val="24"/>
          <w:szCs w:val="24"/>
        </w:rPr>
      </w:pPr>
      <w:r w:rsidRPr="00142EDF">
        <w:rPr>
          <w:b/>
          <w:bCs/>
          <w:sz w:val="24"/>
          <w:szCs w:val="24"/>
        </w:rPr>
        <w:t>Compensation Management (High-Level)</w:t>
      </w:r>
    </w:p>
    <w:p w14:paraId="3691EF44" w14:textId="77777777" w:rsidR="00142EDF" w:rsidRPr="00142EDF" w:rsidRDefault="00142EDF" w:rsidP="00142EDF">
      <w:pPr>
        <w:spacing w:line="240" w:lineRule="auto"/>
        <w:rPr>
          <w:b/>
          <w:bCs/>
          <w:sz w:val="24"/>
          <w:szCs w:val="24"/>
        </w:rPr>
      </w:pPr>
    </w:p>
    <w:p w14:paraId="1794D321" w14:textId="77777777" w:rsidR="00142EDF" w:rsidRPr="00142EDF" w:rsidRDefault="00142EDF" w:rsidP="00142EDF">
      <w:pPr>
        <w:spacing w:line="240" w:lineRule="auto"/>
      </w:pPr>
      <w:r w:rsidRPr="00142EDF">
        <w:t>Compensation management in SAP SuccessFactors helps organizations plan and manage employee pay in a structured and controlled manner. Compensation decisions are aligned with employee performance and organizational policies.</w:t>
      </w:r>
    </w:p>
    <w:p w14:paraId="43746125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</w:p>
    <w:p w14:paraId="62BF9F35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  <w:r w:rsidRPr="00142EDF">
        <w:rPr>
          <w:b/>
          <w:bCs/>
          <w:sz w:val="28"/>
          <w:szCs w:val="28"/>
        </w:rPr>
        <w:t>Key compensation activities include:</w:t>
      </w:r>
    </w:p>
    <w:p w14:paraId="6C4B9B21" w14:textId="77777777" w:rsidR="00142EDF" w:rsidRPr="00142EDF" w:rsidRDefault="00142EDF" w:rsidP="00142EDF">
      <w:pPr>
        <w:spacing w:line="240" w:lineRule="auto"/>
      </w:pPr>
      <w:r w:rsidRPr="00142EDF">
        <w:t>- Merit increases based on performance ratings</w:t>
      </w:r>
    </w:p>
    <w:p w14:paraId="2B8B29E4" w14:textId="77777777" w:rsidR="00142EDF" w:rsidRPr="00142EDF" w:rsidRDefault="00142EDF" w:rsidP="00142EDF">
      <w:pPr>
        <w:spacing w:line="240" w:lineRule="auto"/>
      </w:pPr>
      <w:r w:rsidRPr="00142EDF">
        <w:t>- Bonus eligibility based on job role and level</w:t>
      </w:r>
    </w:p>
    <w:p w14:paraId="14D2CEB2" w14:textId="77777777" w:rsidR="00142EDF" w:rsidRPr="00142EDF" w:rsidRDefault="00142EDF" w:rsidP="00142EDF">
      <w:pPr>
        <w:spacing w:line="240" w:lineRule="auto"/>
      </w:pPr>
      <w:r w:rsidRPr="00142EDF">
        <w:t>- Budget control to ensure compensation spending remains within limits</w:t>
      </w:r>
    </w:p>
    <w:p w14:paraId="76504559" w14:textId="77777777" w:rsidR="00142EDF" w:rsidRPr="00142EDF" w:rsidRDefault="00142EDF" w:rsidP="00142EDF">
      <w:pPr>
        <w:spacing w:line="240" w:lineRule="auto"/>
      </w:pPr>
      <w:r w:rsidRPr="00142EDF">
        <w:t>- Fair and consistent compensation planning across the organization</w:t>
      </w:r>
    </w:p>
    <w:p w14:paraId="00815A80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</w:p>
    <w:p w14:paraId="3D3CE356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  <w:r w:rsidRPr="00142EDF">
        <w:rPr>
          <w:b/>
          <w:bCs/>
          <w:sz w:val="28"/>
          <w:szCs w:val="28"/>
        </w:rPr>
        <w:t>System Integration Overview</w:t>
      </w:r>
    </w:p>
    <w:p w14:paraId="63EA3B6C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</w:p>
    <w:p w14:paraId="2BF68EA1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  <w:r w:rsidRPr="00142EDF">
        <w:t>SAP SuccessFactors does not work in isolation and is integrated with other enterprise systems to support end-to-end HR operations</w:t>
      </w:r>
      <w:r w:rsidRPr="00142EDF">
        <w:rPr>
          <w:b/>
          <w:bCs/>
          <w:sz w:val="28"/>
          <w:szCs w:val="28"/>
        </w:rPr>
        <w:t>.</w:t>
      </w:r>
    </w:p>
    <w:p w14:paraId="2CCA7BA6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</w:p>
    <w:p w14:paraId="6EF65BE1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  <w:r w:rsidRPr="00142EDF">
        <w:rPr>
          <w:b/>
          <w:bCs/>
          <w:sz w:val="28"/>
          <w:szCs w:val="28"/>
        </w:rPr>
        <w:t>Key integrations include:</w:t>
      </w:r>
    </w:p>
    <w:p w14:paraId="7C2FB900" w14:textId="77777777" w:rsidR="00142EDF" w:rsidRPr="00142EDF" w:rsidRDefault="00142EDF" w:rsidP="00142EDF">
      <w:pPr>
        <w:spacing w:line="240" w:lineRule="auto"/>
      </w:pPr>
      <w:r w:rsidRPr="00142EDF">
        <w:t>- Integration with Payroll systems for salary and wage processing</w:t>
      </w:r>
    </w:p>
    <w:p w14:paraId="4DD9355A" w14:textId="77777777" w:rsidR="00142EDF" w:rsidRPr="00142EDF" w:rsidRDefault="00142EDF" w:rsidP="00142EDF">
      <w:pPr>
        <w:spacing w:line="240" w:lineRule="auto"/>
      </w:pPr>
      <w:r w:rsidRPr="00142EDF">
        <w:t>- Integration with Finance systems for cost and budgeting analysis</w:t>
      </w:r>
    </w:p>
    <w:p w14:paraId="20E09D62" w14:textId="77777777" w:rsidR="00142EDF" w:rsidRPr="00142EDF" w:rsidRDefault="00142EDF" w:rsidP="00142EDF">
      <w:pPr>
        <w:spacing w:line="240" w:lineRule="auto"/>
      </w:pPr>
      <w:r w:rsidRPr="00142EDF">
        <w:t>- Integration with Learning systems to support employee development</w:t>
      </w:r>
    </w:p>
    <w:p w14:paraId="64026A5A" w14:textId="77777777" w:rsidR="00142EDF" w:rsidRPr="00142EDF" w:rsidRDefault="00142EDF" w:rsidP="00142EDF">
      <w:pPr>
        <w:spacing w:line="240" w:lineRule="auto"/>
        <w:rPr>
          <w:b/>
          <w:bCs/>
          <w:sz w:val="28"/>
          <w:szCs w:val="28"/>
        </w:rPr>
      </w:pPr>
    </w:p>
    <w:p w14:paraId="42576078" w14:textId="4BB6EFE9" w:rsidR="00142EDF" w:rsidRPr="00142EDF" w:rsidRDefault="00142EDF" w:rsidP="00142EDF">
      <w:pPr>
        <w:spacing w:line="240" w:lineRule="auto"/>
      </w:pPr>
      <w:r w:rsidRPr="00142EDF">
        <w:t>These integrations ensure smooth data flow across systems and support accurate reporting and decision-making.</w:t>
      </w:r>
    </w:p>
    <w:sectPr w:rsidR="00142EDF" w:rsidRPr="00142EDF" w:rsidSect="00142E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DF"/>
    <w:rsid w:val="00142EDF"/>
    <w:rsid w:val="008B1516"/>
    <w:rsid w:val="00FE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8F91"/>
  <w15:chartTrackingRefBased/>
  <w15:docId w15:val="{A496A5DB-F19A-4EA5-8C94-B78A65F9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</dc:creator>
  <cp:keywords/>
  <dc:description/>
  <cp:lastModifiedBy>ABHISHEK M</cp:lastModifiedBy>
  <cp:revision>1</cp:revision>
  <dcterms:created xsi:type="dcterms:W3CDTF">2026-01-11T16:27:00Z</dcterms:created>
  <dcterms:modified xsi:type="dcterms:W3CDTF">2026-01-11T16:30:00Z</dcterms:modified>
</cp:coreProperties>
</file>