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52"/>
          <w:szCs w:val="52"/>
        </w:rPr>
        <w:t xml:space="preserve">ABHISHEK BANERJEE</w:t>
      </w:r>
    </w:p>
    <w:p>
      <w:pPr>
        <w:spacing w:after="60" w:before="0"/>
        <w:jc w:val="center"/>
      </w:pPr>
      <w:r>
        <w:rPr>
          <w:rFonts w:ascii="Arial" w:cs="Arial" w:eastAsia="Arial" w:hAnsi="Arial"/>
          <w:color w:val="2E5FA3"/>
          <w:sz w:val="22"/>
          <w:szCs w:val="22"/>
        </w:rPr>
        <w:t xml:space="preserve">Academic Head &amp; School Principal  |  CBSE-Affiliated Schools  |  K-12 Institutional Leadership</w:t>
      </w:r>
    </w:p>
    <w:p>
      <w:pPr>
        <w:spacing w:after="60" w:before="0"/>
        <w:jc w:val="center"/>
      </w:pPr>
      <w:r>
        <w:rPr>
          <w:rFonts w:ascii="Arial" w:cs="Arial" w:eastAsia="Arial" w:hAnsi="Arial"/>
          <w:color w:val="555555"/>
          <w:sz w:val="18"/>
          <w:szCs w:val="18"/>
        </w:rPr>
        <w:t xml:space="preserve">abhi.banerjee0044@gmail.com  |  linkedin.com/in/abhishekbanerjee10  |  Noida, Uttar Pradesh</w:t>
      </w:r>
    </w:p>
    <w:p>
      <w:pPr>
        <w:spacing w:after="60" w:before="0"/>
        <w:jc w:val="center"/>
      </w:pPr>
      <w:r>
        <w:rPr>
          <w:rFonts w:ascii="Arial" w:cs="Arial" w:eastAsia="Arial" w:hAnsi="Arial"/>
          <w:color w:val="555555"/>
          <w:sz w:val="18"/>
          <w:szCs w:val="18"/>
        </w:rPr>
        <w:t xml:space="preserve">Open to: NCR  •  Bahadurgarh  •  Gurugram  •  Faridabad  •  Lucknow  •  Chandigarh  •  Mohali  •  Ludhiana  •  Remote/Hybrid</w:t>
      </w:r>
    </w:p>
    <w:p>
      <w:pPr>
        <w:spacing w:after="160" w:before="0"/>
        <w:jc w:val="center"/>
      </w:pPr>
      <w:r>
        <w:rPr>
          <w:rFonts w:ascii="Arial" w:cs="Arial" w:eastAsia="Arial" w:hAnsi="Arial"/>
          <w:b/>
          <w:bCs/>
          <w:color w:val="2E5FA3"/>
          <w:sz w:val="18"/>
          <w:szCs w:val="18"/>
        </w:rPr>
        <w:t xml:space="preserve">Available for immediate joining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vAlign w:val="center"/>
          </w:tcPr>
          <w:p>
            <w:pPr>
              <w:spacing w:after="20" w:before="0"/>
              <w:jc w:val="center"/>
            </w:pPr>
            <w:r>
              <w:rPr>
                <w:rFonts w:ascii="Arial" w:cs="Arial" w:eastAsia="Arial" w:hAnsi="Arial"/>
                <w:b/>
                <w:bCs/>
                <w:color w:val="1B3A6B"/>
                <w:sz w:val="28"/>
                <w:szCs w:val="28"/>
              </w:rPr>
              <w:t xml:space="preserve">10,000+</w:t>
            </w:r>
          </w:p>
          <w:p>
            <w:pPr>
              <w:spacing w:after="0" w:before="0"/>
              <w:jc w:val="center"/>
            </w:pPr>
            <w:r>
              <w:rPr>
                <w:rFonts w:ascii="Arial" w:cs="Arial" w:eastAsia="Arial" w:hAnsi="Arial"/>
                <w:color w:val="555555"/>
                <w:sz w:val="15"/>
                <w:szCs w:val="15"/>
              </w:rPr>
              <w:t xml:space="preserve">Students overseen (VP, Sri Chaitanya)</w:t>
            </w:r>
          </w:p>
        </w:tc>
        <w:tc>
          <w:tcPr>
            <w:tcW w:type="dxa" w:w="1872"/>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vAlign w:val="center"/>
          </w:tcPr>
          <w:p>
            <w:pPr>
              <w:spacing w:after="20" w:before="0"/>
              <w:jc w:val="center"/>
            </w:pPr>
            <w:r>
              <w:rPr>
                <w:rFonts w:ascii="Arial" w:cs="Arial" w:eastAsia="Arial" w:hAnsi="Arial"/>
                <w:b/>
                <w:bCs/>
                <w:color w:val="1B3A6B"/>
                <w:sz w:val="28"/>
                <w:szCs w:val="28"/>
              </w:rPr>
              <w:t xml:space="preserve">21 Years</w:t>
            </w:r>
          </w:p>
          <w:p>
            <w:pPr>
              <w:spacing w:after="0" w:before="0"/>
              <w:jc w:val="center"/>
            </w:pPr>
            <w:r>
              <w:rPr>
                <w:rFonts w:ascii="Arial" w:cs="Arial" w:eastAsia="Arial" w:hAnsi="Arial"/>
                <w:color w:val="555555"/>
                <w:sz w:val="15"/>
                <w:szCs w:val="15"/>
              </w:rPr>
              <w:t xml:space="preserve">K-12 CBSE leadership</w:t>
            </w:r>
          </w:p>
        </w:tc>
        <w:tc>
          <w:tcPr>
            <w:tcW w:type="dxa" w:w="1872"/>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vAlign w:val="center"/>
          </w:tcPr>
          <w:p>
            <w:pPr>
              <w:spacing w:after="20" w:before="0"/>
              <w:jc w:val="center"/>
            </w:pPr>
            <w:r>
              <w:rPr>
                <w:rFonts w:ascii="Arial" w:cs="Arial" w:eastAsia="Arial" w:hAnsi="Arial"/>
                <w:b/>
                <w:bCs/>
                <w:color w:val="1B3A6B"/>
                <w:sz w:val="28"/>
                <w:szCs w:val="28"/>
              </w:rPr>
              <w:t xml:space="preserve">82% to 93%</w:t>
            </w:r>
          </w:p>
          <w:p>
            <w:pPr>
              <w:spacing w:after="0" w:before="0"/>
              <w:jc w:val="center"/>
            </w:pPr>
            <w:r>
              <w:rPr>
                <w:rFonts w:ascii="Arial" w:cs="Arial" w:eastAsia="Arial" w:hAnsi="Arial"/>
                <w:color w:val="555555"/>
                <w:sz w:val="15"/>
                <w:szCs w:val="15"/>
              </w:rPr>
              <w:t xml:space="preserve">Board pass rate improvement</w:t>
            </w:r>
          </w:p>
        </w:tc>
        <w:tc>
          <w:tcPr>
            <w:tcW w:type="dxa" w:w="1872"/>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vAlign w:val="center"/>
          </w:tcPr>
          <w:p>
            <w:pPr>
              <w:spacing w:after="20" w:before="0"/>
              <w:jc w:val="center"/>
            </w:pPr>
            <w:r>
              <w:rPr>
                <w:rFonts w:ascii="Arial" w:cs="Arial" w:eastAsia="Arial" w:hAnsi="Arial"/>
                <w:b/>
                <w:bCs/>
                <w:color w:val="1B3A6B"/>
                <w:sz w:val="28"/>
                <w:szCs w:val="28"/>
              </w:rPr>
              <w:t xml:space="preserve">500+</w:t>
            </w:r>
          </w:p>
          <w:p>
            <w:pPr>
              <w:spacing w:after="0" w:before="0"/>
              <w:jc w:val="center"/>
            </w:pPr>
            <w:r>
              <w:rPr>
                <w:rFonts w:ascii="Arial" w:cs="Arial" w:eastAsia="Arial" w:hAnsi="Arial"/>
                <w:color w:val="555555"/>
                <w:sz w:val="15"/>
                <w:szCs w:val="15"/>
              </w:rPr>
              <w:t xml:space="preserve">Educators trained nationally</w:t>
            </w:r>
          </w:p>
        </w:tc>
        <w:tc>
          <w:tcPr>
            <w:tcW w:type="dxa" w:w="1872"/>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vAlign w:val="center"/>
          </w:tcPr>
          <w:p>
            <w:pPr>
              <w:spacing w:after="20" w:before="0"/>
              <w:jc w:val="center"/>
            </w:pPr>
            <w:r>
              <w:rPr>
                <w:rFonts w:ascii="Arial" w:cs="Arial" w:eastAsia="Arial" w:hAnsi="Arial"/>
                <w:b/>
                <w:bCs/>
                <w:color w:val="1B3A6B"/>
                <w:sz w:val="28"/>
                <w:szCs w:val="28"/>
              </w:rPr>
              <w:t xml:space="preserve">AIR &lt; 100</w:t>
            </w:r>
          </w:p>
          <w:p>
            <w:pPr>
              <w:spacing w:after="0" w:before="0"/>
              <w:jc w:val="center"/>
            </w:pPr>
            <w:r>
              <w:rPr>
                <w:rFonts w:ascii="Arial" w:cs="Arial" w:eastAsia="Arial" w:hAnsi="Arial"/>
                <w:color w:val="555555"/>
                <w:sz w:val="15"/>
                <w:szCs w:val="15"/>
              </w:rPr>
              <w:t xml:space="preserve">IIT-JEE mentoring outcome</w:t>
            </w:r>
          </w:p>
        </w:tc>
      </w:tr>
    </w:tbl>
    <w:p>
      <w:pPr>
        <w:spacing w:after="240" w:before="0"/>
      </w:pPr>
      <w:r>
        <w:t xml:space="preserve"/>
      </w:r>
    </w:p>
    <w:p>
      <w:pPr>
        <w:pBdr>
          <w:bottom w:val="single" w:color="2E5FA3" w:sz="8" w:space="4"/>
        </w:pBdr>
        <w:spacing w:after="40" w:before="180"/>
      </w:pPr>
      <w:r>
        <w:rPr>
          <w:rFonts w:ascii="Arial" w:cs="Arial" w:eastAsia="Arial" w:hAnsi="Arial"/>
          <w:b/>
          <w:bCs/>
          <w:color w:val="1B3A6B"/>
          <w:sz w:val="20"/>
          <w:szCs w:val="20"/>
        </w:rPr>
        <w:t xml:space="preserve">PROFESSIONAL SUMMARY</w:t>
      </w:r>
    </w:p>
    <w:p>
      <w:pPr>
        <w:spacing w:after="80" w:before="100"/>
      </w:pPr>
      <w:r>
        <w:rPr>
          <w:rFonts w:ascii="Arial" w:cs="Arial" w:eastAsia="Arial" w:hAnsi="Arial"/>
          <w:color w:val="555555"/>
          <w:sz w:val="20"/>
          <w:szCs w:val="20"/>
        </w:rPr>
        <w:t xml:space="preserve">A dynamic and visionary CBSE school leader with 21 years of K-12 academic and administrative leadership, including oversight of institutions serving 10,000+ students. Proven record of improving board pass rates (82% to 93%), managing full CBSE regulatory compliance, and building faculty development and succession pipelines across large, multi-department schools. Appointed CBSE Resource Person, Skill Department (2025) — one of fewer than 200 nationally — contributing to curriculum reform and competency-based teacher training across North India. Combines academic rigour with operational accountability across admissions, infrastructure, brand building, stakeholder management, and a demonstrated record of driving institutional growth through academic excellence and community trust.</w:t>
      </w:r>
    </w:p>
    <w:p>
      <w:pPr>
        <w:pBdr>
          <w:bottom w:val="single" w:color="2E5FA3" w:sz="8" w:space="4"/>
        </w:pBdr>
        <w:spacing w:after="40" w:before="180"/>
      </w:pPr>
      <w:r>
        <w:rPr>
          <w:rFonts w:ascii="Arial" w:cs="Arial" w:eastAsia="Arial" w:hAnsi="Arial"/>
          <w:b/>
          <w:bCs/>
          <w:color w:val="1B3A6B"/>
          <w:sz w:val="20"/>
          <w:szCs w:val="20"/>
        </w:rPr>
        <w:t xml:space="preserve">CORE COMPETENCIES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60"/>
              <w:left w:type="dxa" w:w="0"/>
              <w:bottom w:type="dxa" w:w="60"/>
              <w:right w:type="dxa" w:w="120"/>
            </w:tcMar>
          </w:tcPr>
          <w:p>
            <w:pPr>
              <w:spacing w:after="40" w:before="0"/>
            </w:pPr>
            <w:r>
              <w:rPr>
                <w:rFonts w:ascii="Arial" w:cs="Arial" w:eastAsia="Arial" w:hAnsi="Arial"/>
                <w:b/>
                <w:bCs/>
                <w:color w:val="2E5FA3"/>
                <w:sz w:val="19"/>
                <w:szCs w:val="19"/>
              </w:rPr>
              <w:t xml:space="preserve">Leadership &amp; Administration</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School Leadership &amp; Academic Strategy</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Revenue &amp; Cost-Conscious Administration</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Succession Planning &amp; People Development</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CBSE Regulatory &amp; BOG Compliance</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Admissions, Infrastructure &amp; Timetabling</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Stakeholder Management</w:t>
            </w:r>
          </w:p>
        </w:tc>
        <w:tc>
          <w:tcPr>
            <w:tcW w:type="dxa" w:w="3120"/>
            <w:tcBorders>
              <w:top w:val="none"/>
              <w:left w:val="none"/>
              <w:bottom w:val="none"/>
              <w:right w:val="none"/>
            </w:tcBorders>
            <w:tcMar>
              <w:top w:type="dxa" w:w="60"/>
              <w:left w:type="dxa" w:w="0"/>
              <w:bottom w:type="dxa" w:w="60"/>
              <w:right w:type="dxa" w:w="120"/>
            </w:tcMar>
          </w:tcPr>
          <w:p>
            <w:pPr>
              <w:spacing w:after="40" w:before="0"/>
            </w:pPr>
            <w:r>
              <w:rPr>
                <w:rFonts w:ascii="Arial" w:cs="Arial" w:eastAsia="Arial" w:hAnsi="Arial"/>
                <w:b/>
                <w:bCs/>
                <w:color w:val="2E5FA3"/>
                <w:sz w:val="19"/>
                <w:szCs w:val="19"/>
              </w:rPr>
              <w:t xml:space="preserve">Academics &amp; Curriculum</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NEP 2020 Implementation at Scale</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Learner-Centred Curriculum Design</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Competency-Based Assessment</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AI-Integrated Teaching &amp; Learning</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National-Scale Teacher Training</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Data-Driven Academic Planning</w:t>
            </w:r>
          </w:p>
        </w:tc>
        <w:tc>
          <w:tcPr>
            <w:tcW w:type="dxa" w:w="3120"/>
            <w:tcBorders>
              <w:top w:val="none"/>
              <w:left w:val="none"/>
              <w:bottom w:val="none"/>
              <w:right w:val="none"/>
            </w:tcBorders>
            <w:tcMar>
              <w:top w:type="dxa" w:w="60"/>
              <w:left w:type="dxa" w:w="0"/>
              <w:bottom w:type="dxa" w:w="60"/>
              <w:right w:type="dxa" w:w="120"/>
            </w:tcMar>
          </w:tcPr>
          <w:p>
            <w:pPr>
              <w:spacing w:after="40" w:before="0"/>
            </w:pPr>
            <w:r>
              <w:rPr>
                <w:rFonts w:ascii="Arial" w:cs="Arial" w:eastAsia="Arial" w:hAnsi="Arial"/>
                <w:b/>
                <w:bCs/>
                <w:color w:val="2E5FA3"/>
                <w:sz w:val="19"/>
                <w:szCs w:val="19"/>
              </w:rPr>
              <w:t xml:space="preserve">Brand &amp; Stakeholder</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Brand Equity &amp; Institutional Reputation</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Parent &amp; Community Communication</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Media &amp; External Relations</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EdTech &amp; Digital Integration</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Institutional Culture Building</w:t>
            </w:r>
          </w:p>
          <w:p>
            <w:pPr>
              <w:spacing w:after="20" w:before="20"/>
            </w:pPr>
            <w:r>
              <w:rPr>
                <w:rFonts w:ascii="Arial" w:cs="Arial" w:eastAsia="Arial" w:hAnsi="Arial"/>
                <w:color w:val="2E5FA3"/>
                <w:sz w:val="19"/>
                <w:szCs w:val="19"/>
              </w:rPr>
              <w:t xml:space="preserve">•  </w:t>
            </w:r>
            <w:r>
              <w:rPr>
                <w:rFonts w:ascii="Arial" w:cs="Arial" w:eastAsia="Arial" w:hAnsi="Arial"/>
                <w:color w:val="555555"/>
                <w:sz w:val="19"/>
                <w:szCs w:val="19"/>
              </w:rPr>
              <w:t xml:space="preserve">Student Wellbeing Systems</w:t>
            </w:r>
          </w:p>
        </w:tc>
      </w:tr>
    </w:tbl>
    <w:p>
      <w:pPr>
        <w:spacing w:after="80" w:before="0"/>
      </w:pPr>
      <w:r>
        <w:t xml:space="preserve"/>
      </w:r>
    </w:p>
    <w:p>
      <w:pPr>
        <w:pBdr>
          <w:bottom w:val="single" w:color="2E5FA3" w:sz="8" w:space="4"/>
        </w:pBdr>
        <w:spacing w:after="40" w:before="180"/>
      </w:pPr>
      <w:r>
        <w:rPr>
          <w:rFonts w:ascii="Arial" w:cs="Arial" w:eastAsia="Arial" w:hAnsi="Arial"/>
          <w:b/>
          <w:bCs/>
          <w:color w:val="1B3A6B"/>
          <w:sz w:val="20"/>
          <w:szCs w:val="20"/>
        </w:rPr>
        <w:t xml:space="preserve">PROFESSIONAL EXPERIENCE</w:t>
      </w:r>
    </w:p>
    <w:p>
      <w:pPr>
        <w:tabs>
          <w:tab w:val="right" w:pos="9360"/>
        </w:tabs>
        <w:spacing w:after="20" w:before="160"/>
      </w:pPr>
      <w:r>
        <w:rPr>
          <w:rFonts w:ascii="Arial" w:cs="Arial" w:eastAsia="Arial" w:hAnsi="Arial"/>
          <w:b/>
          <w:bCs/>
          <w:color w:val="1B3A6B"/>
          <w:sz w:val="22"/>
          <w:szCs w:val="22"/>
        </w:rPr>
        <w:t xml:space="preserve">School Principal</w:t>
      </w:r>
      <w:r>
        <w:rPr>
          <w:rFonts w:ascii="Arial" w:cs="Arial" w:eastAsia="Arial" w:hAnsi="Arial"/>
          <w:color w:val="555555"/>
          <w:sz w:val="18"/>
          <w:szCs w:val="18"/>
        </w:rPr>
        <w:t xml:space="preserve">	April 2023 – Present</w:t>
      </w:r>
    </w:p>
    <w:p>
      <w:pPr>
        <w:spacing w:after="10" w:before="0"/>
      </w:pPr>
      <w:r>
        <w:rPr>
          <w:rFonts w:ascii="Arial" w:cs="Arial" w:eastAsia="Arial" w:hAnsi="Arial"/>
          <w:b/>
          <w:bCs/>
          <w:color w:val="2E5FA3"/>
          <w:sz w:val="20"/>
          <w:szCs w:val="20"/>
        </w:rPr>
        <w:t xml:space="preserve">Brainwaves International School — CBSE Affiliated  |  Hapur, Uttar Pradesh</w:t>
      </w:r>
    </w:p>
    <w:p>
      <w:pPr>
        <w:spacing w:after="40" w:before="0"/>
      </w:pPr>
      <w:r>
        <w:rPr>
          <w:rFonts w:ascii="Arial" w:cs="Arial" w:eastAsia="Arial" w:hAnsi="Arial"/>
          <w:i/>
          <w:iCs/>
          <w:color w:val="555555"/>
          <w:sz w:val="18"/>
          <w:szCs w:val="18"/>
        </w:rPr>
        <w:t xml:space="preserve">900 Students  |  Full institutional accountability: Academic, Administrative &amp; Operational</w:t>
      </w:r>
    </w:p>
    <w:p>
      <w:pPr>
        <w:pStyle w:val="ListParagraph"/>
        <w:numPr>
          <w:ilvl w:val="0"/>
          <w:numId w:val="2"/>
        </w:numPr>
        <w:spacing w:after="30" w:before="30"/>
      </w:pPr>
      <w:r>
        <w:rPr>
          <w:rFonts w:ascii="Arial" w:cs="Arial" w:eastAsia="Arial" w:hAnsi="Arial"/>
          <w:color w:val="555555"/>
          <w:sz w:val="20"/>
          <w:szCs w:val="20"/>
        </w:rPr>
        <w:t xml:space="preserve">Improved board pass rates from 82% to 93% in 3 years, measured by subject-wise CBSE board result data, by redesigning lesson planning frameworks, implementing continuous assessment cycles, and introducing a tiered intervention system for at-risk learners — without increasing exam pressure on students or teachers.</w:t>
      </w:r>
    </w:p>
    <w:p>
      <w:pPr>
        <w:pStyle w:val="ListParagraph"/>
        <w:numPr>
          <w:ilvl w:val="0"/>
          <w:numId w:val="2"/>
        </w:numPr>
        <w:spacing w:after="30" w:before="30"/>
      </w:pPr>
      <w:r>
        <w:rPr>
          <w:rFonts w:ascii="Arial" w:cs="Arial" w:eastAsia="Arial" w:hAnsi="Arial"/>
          <w:color w:val="555555"/>
          <w:sz w:val="20"/>
          <w:szCs w:val="20"/>
        </w:rPr>
        <w:t xml:space="preserve">Reduced behavioural incidents by 20% and improved classroom engagement by 25% within 18 months, measured by incident logs and structured classroom observation records, by building and delivering a structured training programme for 60+ teachers grounded in learning science rather than rote curriculum delivery.</w:t>
      </w:r>
    </w:p>
    <w:p>
      <w:pPr>
        <w:pStyle w:val="ListParagraph"/>
        <w:numPr>
          <w:ilvl w:val="0"/>
          <w:numId w:val="2"/>
        </w:numPr>
        <w:spacing w:after="30" w:before="30"/>
      </w:pPr>
      <w:r>
        <w:rPr>
          <w:rFonts w:ascii="Arial" w:cs="Arial" w:eastAsia="Arial" w:hAnsi="Arial"/>
          <w:color w:val="555555"/>
          <w:sz w:val="20"/>
          <w:szCs w:val="20"/>
        </w:rPr>
        <w:t xml:space="preserve">Improved parent satisfaction scores by 15%, measured by structured institutional feedback surveys, by replacing score-centric communication with learning-data-driven progress reports — strengthening stakeholder trust and brand equity of the institution.</w:t>
      </w:r>
    </w:p>
    <w:p>
      <w:pPr>
        <w:pStyle w:val="ListParagraph"/>
        <w:numPr>
          <w:ilvl w:val="0"/>
          <w:numId w:val="2"/>
        </w:numPr>
        <w:spacing w:after="30" w:before="30"/>
      </w:pPr>
      <w:r>
        <w:rPr>
          <w:rFonts w:ascii="Arial" w:cs="Arial" w:eastAsia="Arial" w:hAnsi="Arial"/>
          <w:color w:val="555555"/>
          <w:sz w:val="20"/>
          <w:szCs w:val="20"/>
        </w:rPr>
        <w:t xml:space="preserve">Maintained zero compliance gaps during CBSE affiliation renewal in 2024, measured by regulatory audit outcomes, by personally managing all documentation, procedural timelines, and direct liaison with CBSE — ensuring full institutional standing and uninterrupted regulatory compliance.</w:t>
      </w:r>
    </w:p>
    <w:p>
      <w:pPr>
        <w:pStyle w:val="ListParagraph"/>
        <w:numPr>
          <w:ilvl w:val="0"/>
          <w:numId w:val="2"/>
        </w:numPr>
        <w:spacing w:after="30" w:before="30"/>
      </w:pPr>
      <w:r>
        <w:rPr>
          <w:rFonts w:ascii="Arial" w:cs="Arial" w:eastAsia="Arial" w:hAnsi="Arial"/>
          <w:color w:val="555555"/>
          <w:sz w:val="20"/>
          <w:szCs w:val="20"/>
        </w:rPr>
        <w:t xml:space="preserve">Sustained 90%+ pass rates across core subjects in all three academic years, measured by annual board results, by conducting individual academic planning sessions with every board-appearing student and systematically tracking learning gaps from mid-term to finals.</w:t>
      </w:r>
    </w:p>
    <w:p>
      <w:pPr>
        <w:pStyle w:val="ListParagraph"/>
        <w:numPr>
          <w:ilvl w:val="0"/>
          <w:numId w:val="2"/>
        </w:numPr>
        <w:spacing w:after="30" w:before="30"/>
      </w:pPr>
      <w:r>
        <w:rPr>
          <w:rFonts w:ascii="Arial" w:cs="Arial" w:eastAsia="Arial" w:hAnsi="Arial"/>
          <w:color w:val="555555"/>
          <w:sz w:val="20"/>
          <w:szCs w:val="20"/>
        </w:rPr>
        <w:t xml:space="preserve">Managed full administrative operations including timetabling, staff duty allocation, admissions coordination, transportation oversight, and infrastructure management, measured by zero operational escalations to management, by establishing standard operating procedures for each function and supervising consistent execution.</w:t>
      </w:r>
    </w:p>
    <w:p>
      <w:pPr>
        <w:pStyle w:val="ListParagraph"/>
        <w:numPr>
          <w:ilvl w:val="0"/>
          <w:numId w:val="2"/>
        </w:numPr>
        <w:spacing w:after="30" w:before="30"/>
      </w:pPr>
      <w:r>
        <w:rPr>
          <w:rFonts w:ascii="Arial" w:cs="Arial" w:eastAsia="Arial" w:hAnsi="Arial"/>
          <w:color w:val="555555"/>
          <w:sz w:val="20"/>
          <w:szCs w:val="20"/>
        </w:rPr>
        <w:t xml:space="preserve">Initiated succession pipeline for key academic roles by identifying high-potential teachers, assigning structured mentoring responsibilities, and establishing internal readiness benchmarks — building early groundwork for institutional continuity and people development.</w:t>
      </w:r>
    </w:p>
    <w:p>
      <w:pPr>
        <w:tabs>
          <w:tab w:val="right" w:pos="9360"/>
        </w:tabs>
        <w:spacing w:after="20" w:before="160"/>
      </w:pPr>
      <w:r>
        <w:rPr>
          <w:rFonts w:ascii="Arial" w:cs="Arial" w:eastAsia="Arial" w:hAnsi="Arial"/>
          <w:b/>
          <w:bCs/>
          <w:color w:val="1B3A6B"/>
          <w:sz w:val="22"/>
          <w:szCs w:val="22"/>
        </w:rPr>
        <w:t xml:space="preserve">CBSE Resource Person — Skill Department</w:t>
      </w:r>
      <w:r>
        <w:rPr>
          <w:rFonts w:ascii="Arial" w:cs="Arial" w:eastAsia="Arial" w:hAnsi="Arial"/>
          <w:color w:val="555555"/>
          <w:sz w:val="18"/>
          <w:szCs w:val="18"/>
        </w:rPr>
        <w:t xml:space="preserve">	December 2025 – Present</w:t>
      </w:r>
    </w:p>
    <w:p>
      <w:pPr>
        <w:spacing w:after="10" w:before="0"/>
      </w:pPr>
      <w:r>
        <w:rPr>
          <w:rFonts w:ascii="Arial" w:cs="Arial" w:eastAsia="Arial" w:hAnsi="Arial"/>
          <w:b/>
          <w:bCs/>
          <w:color w:val="2E5FA3"/>
          <w:sz w:val="20"/>
          <w:szCs w:val="20"/>
        </w:rPr>
        <w:t xml:space="preserve">Central Board of Secondary Education (CBSE)  |  New Delhi  |  North India</w:t>
      </w:r>
    </w:p>
    <w:p>
      <w:pPr>
        <w:spacing w:after="40" w:before="0"/>
      </w:pPr>
      <w:r>
        <w:rPr>
          <w:rFonts w:ascii="Arial" w:cs="Arial" w:eastAsia="Arial" w:hAnsi="Arial"/>
          <w:i/>
          <w:iCs/>
          <w:color w:val="555555"/>
          <w:sz w:val="18"/>
          <w:szCs w:val="18"/>
        </w:rPr>
        <w:t xml:space="preserve">National appointment — fewer than 200 educators in India hold this designation</w:t>
      </w:r>
    </w:p>
    <w:p>
      <w:pPr>
        <w:pStyle w:val="ListParagraph"/>
        <w:numPr>
          <w:ilvl w:val="0"/>
          <w:numId w:val="2"/>
        </w:numPr>
        <w:spacing w:after="30" w:before="30"/>
      </w:pPr>
      <w:r>
        <w:rPr>
          <w:rFonts w:ascii="Arial" w:cs="Arial" w:eastAsia="Arial" w:hAnsi="Arial"/>
          <w:color w:val="555555"/>
          <w:sz w:val="20"/>
          <w:szCs w:val="20"/>
        </w:rPr>
        <w:t xml:space="preserve">Strengthened national skill education delivery, measured by the scale of workshops conducted across government and private schools in North India, by designing and leading competency-based learning programmes that transition teachers from content-delivery toward applied, outcome-linked pedagogy.</w:t>
      </w:r>
    </w:p>
    <w:p>
      <w:pPr>
        <w:pStyle w:val="ListParagraph"/>
        <w:numPr>
          <w:ilvl w:val="0"/>
          <w:numId w:val="2"/>
        </w:numPr>
        <w:spacing w:after="30" w:before="30"/>
      </w:pPr>
      <w:r>
        <w:rPr>
          <w:rFonts w:ascii="Arial" w:cs="Arial" w:eastAsia="Arial" w:hAnsi="Arial"/>
          <w:color w:val="555555"/>
          <w:sz w:val="20"/>
          <w:szCs w:val="20"/>
        </w:rPr>
        <w:t xml:space="preserve">Contributed to CBSE curriculum reform at the policy level, measured by piloting scalable instructional models across diverse school contexts, by reporting classroom-level implementation data directly to CBSE — bridging regulatory intent with ground-level execution.</w:t>
      </w:r>
    </w:p>
    <w:p>
      <w:pPr>
        <w:tabs>
          <w:tab w:val="right" w:pos="9360"/>
        </w:tabs>
        <w:spacing w:after="20" w:before="160"/>
      </w:pPr>
      <w:r>
        <w:rPr>
          <w:rFonts w:ascii="Arial" w:cs="Arial" w:eastAsia="Arial" w:hAnsi="Arial"/>
          <w:b/>
          <w:bCs/>
          <w:color w:val="1B3A6B"/>
          <w:sz w:val="22"/>
          <w:szCs w:val="22"/>
        </w:rPr>
        <w:t xml:space="preserve">Curriculum Specialist &amp; National Training Lead</w:t>
      </w:r>
      <w:r>
        <w:rPr>
          <w:rFonts w:ascii="Arial" w:cs="Arial" w:eastAsia="Arial" w:hAnsi="Arial"/>
          <w:color w:val="555555"/>
          <w:sz w:val="18"/>
          <w:szCs w:val="18"/>
        </w:rPr>
        <w:t xml:space="preserve">	August 2022 – March 2023</w:t>
      </w:r>
    </w:p>
    <w:p>
      <w:pPr>
        <w:spacing w:after="10" w:before="0"/>
      </w:pPr>
      <w:r>
        <w:rPr>
          <w:rFonts w:ascii="Arial" w:cs="Arial" w:eastAsia="Arial" w:hAnsi="Arial"/>
          <w:b/>
          <w:bCs/>
          <w:color w:val="2E5FA3"/>
          <w:sz w:val="20"/>
          <w:szCs w:val="20"/>
        </w:rPr>
        <w:t xml:space="preserve">Next Education India Pvt. Ltd. — Pan-India EdTech Network  |  Hyderabad</w:t>
      </w:r>
    </w:p>
    <w:p>
      <w:pPr>
        <w:spacing w:after="40" w:before="0"/>
      </w:pPr>
      <w:r>
        <w:rPr>
          <w:rFonts w:ascii="Arial" w:cs="Arial" w:eastAsia="Arial" w:hAnsi="Arial"/>
          <w:i/>
          <w:iCs/>
          <w:color w:val="555555"/>
          <w:sz w:val="18"/>
          <w:szCs w:val="18"/>
        </w:rPr>
        <w:t xml:space="preserve">Pan-India mandate</w:t>
      </w:r>
    </w:p>
    <w:p>
      <w:pPr>
        <w:pStyle w:val="ListParagraph"/>
        <w:numPr>
          <w:ilvl w:val="0"/>
          <w:numId w:val="2"/>
        </w:numPr>
        <w:spacing w:after="30" w:before="30"/>
      </w:pPr>
      <w:r>
        <w:rPr>
          <w:rFonts w:ascii="Arial" w:cs="Arial" w:eastAsia="Arial" w:hAnsi="Arial"/>
          <w:color w:val="555555"/>
          <w:sz w:val="20"/>
          <w:szCs w:val="20"/>
        </w:rPr>
        <w:t xml:space="preserve">Improved STEM performance by 18% across partner schools, measured by pre/post assessments across the national school network, by designing AI-integrated, competency-based curricula deployed at scale — aligning institutional outcomes with NEP 2020 mandates.</w:t>
      </w:r>
    </w:p>
    <w:p>
      <w:pPr>
        <w:pStyle w:val="ListParagraph"/>
        <w:numPr>
          <w:ilvl w:val="0"/>
          <w:numId w:val="2"/>
        </w:numPr>
        <w:spacing w:after="30" w:before="30"/>
      </w:pPr>
      <w:r>
        <w:rPr>
          <w:rFonts w:ascii="Arial" w:cs="Arial" w:eastAsia="Arial" w:hAnsi="Arial"/>
          <w:color w:val="555555"/>
          <w:sz w:val="20"/>
          <w:szCs w:val="20"/>
        </w:rPr>
        <w:t xml:space="preserve">Trained 500+ educators nationally in assessment-driven, outcome-linked pedagogy, measured by programme completion records, by leading one of the largest EdTech teacher training initiatives in the organisation's history — building institutional capacity across the network.</w:t>
      </w:r>
    </w:p>
    <w:p>
      <w:pPr>
        <w:pStyle w:val="ListParagraph"/>
        <w:numPr>
          <w:ilvl w:val="0"/>
          <w:numId w:val="2"/>
        </w:numPr>
        <w:spacing w:after="30" w:before="30"/>
      </w:pPr>
      <w:r>
        <w:rPr>
          <w:rFonts w:ascii="Arial" w:cs="Arial" w:eastAsia="Arial" w:hAnsi="Arial"/>
          <w:color w:val="555555"/>
          <w:sz w:val="20"/>
          <w:szCs w:val="20"/>
        </w:rPr>
        <w:t xml:space="preserve">Shifted partner institutions from exam-only evaluation toward continuous, evidence-based learning measurement, measured by adoption rates of revised assessment frameworks, by building curriculum reform models explicitly aligned with NEP 2020.</w:t>
      </w:r>
    </w:p>
    <w:p>
      <w:pPr>
        <w:tabs>
          <w:tab w:val="right" w:pos="9360"/>
        </w:tabs>
        <w:spacing w:after="20" w:before="160"/>
      </w:pPr>
      <w:r>
        <w:rPr>
          <w:rFonts w:ascii="Arial" w:cs="Arial" w:eastAsia="Arial" w:hAnsi="Arial"/>
          <w:b/>
          <w:bCs/>
          <w:color w:val="1B3A6B"/>
          <w:sz w:val="22"/>
          <w:szCs w:val="22"/>
        </w:rPr>
        <w:t xml:space="preserve">Academic Vice Principal &amp; Senior PGT — Computer Science</w:t>
      </w:r>
      <w:r>
        <w:rPr>
          <w:rFonts w:ascii="Arial" w:cs="Arial" w:eastAsia="Arial" w:hAnsi="Arial"/>
          <w:color w:val="555555"/>
          <w:sz w:val="18"/>
          <w:szCs w:val="18"/>
        </w:rPr>
        <w:t xml:space="preserve">	June 2005 – August 2022</w:t>
      </w:r>
    </w:p>
    <w:p>
      <w:pPr>
        <w:spacing w:after="10" w:before="0"/>
      </w:pPr>
      <w:r>
        <w:rPr>
          <w:rFonts w:ascii="Arial" w:cs="Arial" w:eastAsia="Arial" w:hAnsi="Arial"/>
          <w:b/>
          <w:bCs/>
          <w:color w:val="2E5FA3"/>
          <w:sz w:val="20"/>
          <w:szCs w:val="20"/>
        </w:rPr>
        <w:t xml:space="preserve">Sri Chaitanya Educational Institutions — 400+ Branches, India's Largest CBSE Chain  |  Visakhapatnam, AP</w:t>
      </w:r>
    </w:p>
    <w:p>
      <w:pPr>
        <w:spacing w:after="40" w:before="0"/>
      </w:pPr>
      <w:r>
        <w:rPr>
          <w:rFonts w:ascii="Arial" w:cs="Arial" w:eastAsia="Arial" w:hAnsi="Arial"/>
          <w:i/>
          <w:iCs/>
          <w:color w:val="555555"/>
          <w:sz w:val="18"/>
          <w:szCs w:val="18"/>
        </w:rPr>
        <w:t xml:space="preserve">Operated across an institution with 10,000+ students  |  Dual accountability: academic leadership + subject expertise</w:t>
      </w:r>
    </w:p>
    <w:p>
      <w:pPr>
        <w:spacing w:after="30" w:before="120"/>
      </w:pPr>
      <w:r>
        <w:rPr>
          <w:rFonts w:ascii="Arial" w:cs="Arial" w:eastAsia="Arial" w:hAnsi="Arial"/>
          <w:b/>
          <w:bCs/>
          <w:color w:val="2E5FA3"/>
          <w:sz w:val="20"/>
          <w:szCs w:val="20"/>
        </w:rPr>
        <w:t xml:space="preserve">As Academic Vice Principal (2006–2011) — 10,000+ Student Scale:</w:t>
      </w:r>
    </w:p>
    <w:p>
      <w:pPr>
        <w:pStyle w:val="ListParagraph"/>
        <w:numPr>
          <w:ilvl w:val="0"/>
          <w:numId w:val="2"/>
        </w:numPr>
        <w:spacing w:after="30" w:before="30"/>
      </w:pPr>
      <w:r>
        <w:rPr>
          <w:rFonts w:ascii="Arial" w:cs="Arial" w:eastAsia="Arial" w:hAnsi="Arial"/>
          <w:color w:val="555555"/>
          <w:sz w:val="20"/>
          <w:szCs w:val="20"/>
        </w:rPr>
        <w:t xml:space="preserve">Improved school-wide pass rates by 15%, measured by annual board results across all departments, by overseeing academic planning, standardising assessment systems across all grade levels, and establishing structured faculty mentoring cycles with evidence-based classroom observation feedback.</w:t>
      </w:r>
    </w:p>
    <w:p>
      <w:pPr>
        <w:pStyle w:val="ListParagraph"/>
        <w:numPr>
          <w:ilvl w:val="0"/>
          <w:numId w:val="2"/>
        </w:numPr>
        <w:spacing w:after="30" w:before="30"/>
      </w:pPr>
      <w:r>
        <w:rPr>
          <w:rFonts w:ascii="Arial" w:cs="Arial" w:eastAsia="Arial" w:hAnsi="Arial"/>
          <w:color w:val="555555"/>
          <w:sz w:val="20"/>
          <w:szCs w:val="20"/>
        </w:rPr>
        <w:t xml:space="preserve">Managed academic strategy and resource allocation for 10,000+ students, measured by cross-departmental result consistency and institutional benchmarks, by coordinating curriculum planning, teacher performance monitoring, and board preparation strategy — functioning with de facto academic leadership responsibility across a large-scale, multi-department institution.</w:t>
      </w:r>
    </w:p>
    <w:p>
      <w:pPr>
        <w:pStyle w:val="ListParagraph"/>
        <w:numPr>
          <w:ilvl w:val="0"/>
          <w:numId w:val="2"/>
        </w:numPr>
        <w:spacing w:after="30" w:before="30"/>
      </w:pPr>
      <w:r>
        <w:rPr>
          <w:rFonts w:ascii="Arial" w:cs="Arial" w:eastAsia="Arial" w:hAnsi="Arial"/>
          <w:color w:val="555555"/>
          <w:sz w:val="20"/>
          <w:szCs w:val="20"/>
        </w:rPr>
        <w:t xml:space="preserve">Built faculty development and succession infrastructure, measured by standardised teacher evaluation frameworks adopted institution-wide, by designing structured classroom observation cycles that gave teachers evidence-based feedback — directly improving instructional quality and identifying high-potential staff for expanded responsibilities.</w:t>
      </w:r>
    </w:p>
    <w:p>
      <w:pPr>
        <w:spacing w:after="30" w:before="120"/>
      </w:pPr>
      <w:r>
        <w:rPr>
          <w:rFonts w:ascii="Arial" w:cs="Arial" w:eastAsia="Arial" w:hAnsi="Arial"/>
          <w:b/>
          <w:bCs/>
          <w:color w:val="2E5FA3"/>
          <w:sz w:val="20"/>
          <w:szCs w:val="20"/>
        </w:rPr>
        <w:t xml:space="preserve">As Senior PGT — Computer Science (2005–2022):</w:t>
      </w:r>
    </w:p>
    <w:p>
      <w:pPr>
        <w:pStyle w:val="ListParagraph"/>
        <w:numPr>
          <w:ilvl w:val="0"/>
          <w:numId w:val="2"/>
        </w:numPr>
        <w:spacing w:after="30" w:before="30"/>
      </w:pPr>
      <w:r>
        <w:rPr>
          <w:rFonts w:ascii="Arial" w:cs="Arial" w:eastAsia="Arial" w:hAnsi="Arial"/>
          <w:color w:val="555555"/>
          <w:sz w:val="20"/>
          <w:szCs w:val="20"/>
        </w:rPr>
        <w:t xml:space="preserve">Maintained 95%+ board pass rates in Computer Science for 10+ consecutive academic years, measured by annual CBSE board results, by designing project-based programming assessments requiring genuine problem-solving — a model later adopted across multiple Sri Chaitanya branches.</w:t>
      </w:r>
    </w:p>
    <w:p>
      <w:pPr>
        <w:pStyle w:val="ListParagraph"/>
        <w:numPr>
          <w:ilvl w:val="0"/>
          <w:numId w:val="2"/>
        </w:numPr>
        <w:spacing w:after="30" w:before="30"/>
      </w:pPr>
      <w:r>
        <w:rPr>
          <w:rFonts w:ascii="Arial" w:cs="Arial" w:eastAsia="Arial" w:hAnsi="Arial"/>
          <w:color w:val="555555"/>
          <w:sz w:val="20"/>
          <w:szCs w:val="20"/>
        </w:rPr>
        <w:t xml:space="preserve">Produced IIT-JEE aspirants achieving All India Rank under 100 (top 0.01% of 1.5 million candidates), measured by national ranking records, by providing year-round, individual academic planning and mentoring sessions — demonstrating capacity to drive high-stakes student outcomes at the highest competitive level.</w:t>
      </w:r>
    </w:p>
    <w:p>
      <w:pPr>
        <w:pStyle w:val="ListParagraph"/>
        <w:numPr>
          <w:ilvl w:val="0"/>
          <w:numId w:val="2"/>
        </w:numPr>
        <w:spacing w:after="30" w:before="30"/>
      </w:pPr>
      <w:r>
        <w:rPr>
          <w:rFonts w:ascii="Arial" w:cs="Arial" w:eastAsia="Arial" w:hAnsi="Arial"/>
          <w:color w:val="555555"/>
          <w:sz w:val="20"/>
          <w:szCs w:val="20"/>
        </w:rPr>
        <w:t xml:space="preserve">Counselled 300+ students annually, measured by individual academic planning records, by helping students understand their own learning patterns — contributing to student wellbeing, career guidance, and psychological readiness for board and competitive examinations.</w:t>
      </w:r>
    </w:p>
    <w:p>
      <w:pPr>
        <w:pStyle w:val="ListParagraph"/>
        <w:numPr>
          <w:ilvl w:val="0"/>
          <w:numId w:val="2"/>
        </w:numPr>
        <w:spacing w:after="30" w:before="30"/>
      </w:pPr>
      <w:r>
        <w:rPr>
          <w:rFonts w:ascii="Arial" w:cs="Arial" w:eastAsia="Arial" w:hAnsi="Arial"/>
          <w:color w:val="555555"/>
          <w:sz w:val="20"/>
          <w:szCs w:val="20"/>
        </w:rPr>
        <w:t xml:space="preserve">Built and scaled the school's computer lab infrastructure and integrated digital tools into daily instruction, measured by a 20% increase in student participation in technology-based learning, by designing hands-on lab programmes that made technology a core component of academic delivery.</w:t>
      </w:r>
    </w:p>
    <w:p>
      <w:pPr>
        <w:spacing w:after="160" w:before="0"/>
      </w:pPr>
      <w:r>
        <w:t xml:space="preserve"/>
      </w:r>
    </w:p>
    <w:p>
      <w:pPr>
        <w:pBdr>
          <w:bottom w:val="single" w:color="2E5FA3" w:sz="8" w:space="4"/>
        </w:pBdr>
        <w:spacing w:after="40" w:before="180"/>
      </w:pPr>
      <w:r>
        <w:rPr>
          <w:rFonts w:ascii="Arial" w:cs="Arial" w:eastAsia="Arial" w:hAnsi="Arial"/>
          <w:b/>
          <w:bCs/>
          <w:color w:val="1B3A6B"/>
          <w:sz w:val="20"/>
          <w:szCs w:val="20"/>
        </w:rPr>
        <w:t xml:space="preserve">CAREER HIGHLIGHTS</w:t>
      </w:r>
    </w:p>
    <w:p>
      <w:pPr>
        <w:pStyle w:val="ListParagraph"/>
        <w:numPr>
          <w:ilvl w:val="0"/>
          <w:numId w:val="2"/>
        </w:numPr>
        <w:spacing w:after="30" w:before="30"/>
      </w:pPr>
      <w:r>
        <w:rPr>
          <w:rFonts w:ascii="Arial" w:cs="Arial" w:eastAsia="Arial" w:hAnsi="Arial"/>
          <w:color w:val="555555"/>
          <w:sz w:val="20"/>
          <w:szCs w:val="20"/>
        </w:rPr>
        <w:t xml:space="preserve">CBSE Resource Person, Skill Dept. (2025) — Selected by CBSE Skill Department as Resource Person for Skill Education; fewer than 200 educators in India hold this national appointment.</w:t>
      </w:r>
    </w:p>
    <w:p>
      <w:pPr>
        <w:pStyle w:val="ListParagraph"/>
        <w:numPr>
          <w:ilvl w:val="0"/>
          <w:numId w:val="2"/>
        </w:numPr>
        <w:spacing w:after="30" w:before="30"/>
      </w:pPr>
      <w:r>
        <w:rPr>
          <w:rFonts w:ascii="Arial" w:cs="Arial" w:eastAsia="Arial" w:hAnsi="Arial"/>
          <w:color w:val="555555"/>
          <w:sz w:val="20"/>
          <w:szCs w:val="20"/>
        </w:rPr>
        <w:t xml:space="preserve">AIR Under 100 — Personally mentored IIT-JEE aspirants to All India Rank under 100, placing them in the top 0.01% of 1.5 million national candidates, through individual year-round academic planning.</w:t>
      </w:r>
    </w:p>
    <w:p>
      <w:pPr>
        <w:pStyle w:val="ListParagraph"/>
        <w:numPr>
          <w:ilvl w:val="0"/>
          <w:numId w:val="2"/>
        </w:numPr>
        <w:spacing w:after="30" w:before="30"/>
      </w:pPr>
      <w:r>
        <w:rPr>
          <w:rFonts w:ascii="Arial" w:cs="Arial" w:eastAsia="Arial" w:hAnsi="Arial"/>
          <w:color w:val="555555"/>
          <w:sz w:val="20"/>
          <w:szCs w:val="20"/>
        </w:rPr>
        <w:t xml:space="preserve">82% to 93% Board Results — Improved board pass rates by 11 percentage points in 3 years through systemic changes in teaching practice, assessment design, and student support — not exam pressure.</w:t>
      </w:r>
    </w:p>
    <w:p>
      <w:pPr>
        <w:pStyle w:val="ListParagraph"/>
        <w:numPr>
          <w:ilvl w:val="0"/>
          <w:numId w:val="2"/>
        </w:numPr>
        <w:spacing w:after="30" w:before="30"/>
      </w:pPr>
      <w:r>
        <w:rPr>
          <w:rFonts w:ascii="Arial" w:cs="Arial" w:eastAsia="Arial" w:hAnsi="Arial"/>
          <w:color w:val="555555"/>
          <w:sz w:val="20"/>
          <w:szCs w:val="20"/>
        </w:rPr>
        <w:t xml:space="preserve">500+ Educators Trained — Led one of India's largest EdTech teacher training initiatives at Next Education, covering 500+ educators in competency-based, outcome-linked assessment nationally.</w:t>
      </w:r>
    </w:p>
    <w:p>
      <w:pPr>
        <w:pStyle w:val="ListParagraph"/>
        <w:numPr>
          <w:ilvl w:val="0"/>
          <w:numId w:val="2"/>
        </w:numPr>
        <w:spacing w:after="30" w:before="30"/>
      </w:pPr>
      <w:r>
        <w:rPr>
          <w:rFonts w:ascii="Arial" w:cs="Arial" w:eastAsia="Arial" w:hAnsi="Arial"/>
          <w:color w:val="555555"/>
          <w:sz w:val="20"/>
          <w:szCs w:val="20"/>
        </w:rPr>
        <w:t xml:space="preserve">15+ Years of Board Toppers — Produced Computer Science board toppers for 15+ consecutive academic years at Sri Chaitanya, recognised at school and district level consistently.</w:t>
      </w:r>
    </w:p>
    <w:p>
      <w:pPr>
        <w:spacing w:after="160" w:before="0"/>
      </w:pPr>
      <w:r>
        <w:t xml:space="preserve"/>
      </w:r>
    </w:p>
    <w:p>
      <w:pPr>
        <w:pBdr>
          <w:bottom w:val="single" w:color="2E5FA3" w:sz="8" w:space="4"/>
        </w:pBdr>
        <w:spacing w:after="40" w:before="180"/>
      </w:pPr>
      <w:r>
        <w:rPr>
          <w:rFonts w:ascii="Arial" w:cs="Arial" w:eastAsia="Arial" w:hAnsi="Arial"/>
          <w:b/>
          <w:bCs/>
          <w:color w:val="1B3A6B"/>
          <w:sz w:val="20"/>
          <w:szCs w:val="20"/>
        </w:rPr>
        <w:t xml:space="preserve">EDUCATION</w:t>
      </w:r>
    </w:p>
    <w:p>
      <w:pPr>
        <w:tabs>
          <w:tab w:val="right" w:pos="9360"/>
        </w:tabs>
        <w:spacing w:after="20" w:before="100"/>
      </w:pPr>
      <w:r>
        <w:rPr>
          <w:rFonts w:ascii="Arial" w:cs="Arial" w:eastAsia="Arial" w:hAnsi="Arial"/>
          <w:b/>
          <w:bCs/>
          <w:color w:val="111111"/>
          <w:sz w:val="20"/>
          <w:szCs w:val="20"/>
        </w:rPr>
        <w:t xml:space="preserve">Master of Science — Information Technology</w:t>
      </w:r>
      <w:r>
        <w:rPr>
          <w:rFonts w:ascii="Arial" w:cs="Arial" w:eastAsia="Arial" w:hAnsi="Arial"/>
          <w:color w:val="555555"/>
          <w:sz w:val="19"/>
          <w:szCs w:val="19"/>
        </w:rPr>
        <w:t xml:space="preserve">	Sikkim Manipal Institute of Technology</w:t>
      </w:r>
    </w:p>
    <w:p>
      <w:pPr>
        <w:tabs>
          <w:tab w:val="right" w:pos="9360"/>
        </w:tabs>
        <w:spacing w:after="20" w:before="60"/>
      </w:pPr>
      <w:r>
        <w:rPr>
          <w:rFonts w:ascii="Arial" w:cs="Arial" w:eastAsia="Arial" w:hAnsi="Arial"/>
          <w:b/>
          <w:bCs/>
          <w:color w:val="111111"/>
          <w:sz w:val="20"/>
          <w:szCs w:val="20"/>
        </w:rPr>
        <w:t xml:space="preserve">Bachelor of Education (B.Ed)</w:t>
      </w:r>
      <w:r>
        <w:rPr>
          <w:rFonts w:ascii="Arial" w:cs="Arial" w:eastAsia="Arial" w:hAnsi="Arial"/>
          <w:color w:val="555555"/>
          <w:sz w:val="19"/>
          <w:szCs w:val="19"/>
        </w:rPr>
        <w:t xml:space="preserve">	Dr. Ram Manohar Lohia Awadh University, Faizabad</w:t>
      </w:r>
    </w:p>
    <w:p>
      <w:pPr>
        <w:tabs>
          <w:tab w:val="right" w:pos="9360"/>
        </w:tabs>
        <w:spacing w:after="20" w:before="60"/>
      </w:pPr>
      <w:r>
        <w:rPr>
          <w:rFonts w:ascii="Arial" w:cs="Arial" w:eastAsia="Arial" w:hAnsi="Arial"/>
          <w:b/>
          <w:bCs/>
          <w:color w:val="111111"/>
          <w:sz w:val="20"/>
          <w:szCs w:val="20"/>
        </w:rPr>
        <w:t xml:space="preserve">Bachelor of Science — Mathematics</w:t>
      </w:r>
      <w:r>
        <w:rPr>
          <w:rFonts w:ascii="Arial" w:cs="Arial" w:eastAsia="Arial" w:hAnsi="Arial"/>
          <w:color w:val="555555"/>
          <w:sz w:val="19"/>
          <w:szCs w:val="19"/>
        </w:rPr>
        <w:t xml:space="preserve">	University of Calcutta</w:t>
      </w:r>
    </w:p>
    <w:p>
      <w:pPr>
        <w:spacing w:after="160" w:before="0"/>
      </w:pPr>
      <w:r>
        <w:t xml:space="preserve"/>
      </w:r>
    </w:p>
    <w:p>
      <w:pPr>
        <w:pBdr>
          <w:bottom w:val="single" w:color="2E5FA3" w:sz="8" w:space="4"/>
        </w:pBdr>
        <w:spacing w:after="40" w:before="180"/>
      </w:pPr>
      <w:r>
        <w:rPr>
          <w:rFonts w:ascii="Arial" w:cs="Arial" w:eastAsia="Arial" w:hAnsi="Arial"/>
          <w:b/>
          <w:bCs/>
          <w:color w:val="1B3A6B"/>
          <w:sz w:val="20"/>
          <w:szCs w:val="20"/>
        </w:rPr>
        <w:t xml:space="preserve">CERTIFICATIONS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60"/>
            </w:tcMar>
          </w:tcPr>
          <w:p>
            <w:r>
              <w:rPr>
                <w:rFonts w:ascii="Arial" w:cs="Arial" w:eastAsia="Arial" w:hAnsi="Arial"/>
                <w:color w:val="555555"/>
                <w:sz w:val="19"/>
                <w:szCs w:val="19"/>
              </w:rPr>
              <w:t xml:space="preserve">Google Certified Educator</w:t>
            </w:r>
          </w:p>
        </w:tc>
        <w:tc>
          <w:tcPr>
            <w:tcW w:type="dxa" w:w="4680"/>
            <w:tcBorders>
              <w:top w:val="none"/>
              <w:left w:val="none"/>
              <w:bottom w:val="none"/>
              <w:right w:val="none"/>
            </w:tcBorders>
            <w:tcMar>
              <w:top w:type="dxa" w:w="40"/>
              <w:left w:type="dxa" w:w="60"/>
              <w:bottom w:type="dxa" w:w="40"/>
              <w:right w:type="dxa" w:w="0"/>
            </w:tcMar>
          </w:tcPr>
          <w:p>
            <w:r>
              <w:rPr>
                <w:rFonts w:ascii="Arial" w:cs="Arial" w:eastAsia="Arial" w:hAnsi="Arial"/>
                <w:color w:val="555555"/>
                <w:sz w:val="19"/>
                <w:szCs w:val="19"/>
              </w:rPr>
              <w:t xml:space="preserve">Gemini Certified Educator &amp; Faculty — Google</w:t>
            </w:r>
          </w:p>
        </w:tc>
      </w:tr>
      <w:tr>
        <w:tc>
          <w:tcPr>
            <w:tcW w:type="dxa" w:w="4680"/>
            <w:tcBorders>
              <w:top w:val="none"/>
              <w:left w:val="none"/>
              <w:bottom w:val="none"/>
              <w:right w:val="none"/>
            </w:tcBorders>
            <w:tcMar>
              <w:top w:type="dxa" w:w="40"/>
              <w:left w:type="dxa" w:w="0"/>
              <w:bottom w:type="dxa" w:w="40"/>
              <w:right w:type="dxa" w:w="60"/>
            </w:tcMar>
          </w:tcPr>
          <w:p>
            <w:r>
              <w:rPr>
                <w:rFonts w:ascii="Arial" w:cs="Arial" w:eastAsia="Arial" w:hAnsi="Arial"/>
                <w:color w:val="555555"/>
                <w:sz w:val="19"/>
                <w:szCs w:val="19"/>
              </w:rPr>
              <w:t xml:space="preserve">Introduction to Prompt Engineering for Generative AI — LinkedIn Learning</w:t>
            </w:r>
          </w:p>
        </w:tc>
        <w:tc>
          <w:tcPr>
            <w:tcW w:type="dxa" w:w="4680"/>
            <w:tcBorders>
              <w:top w:val="none"/>
              <w:left w:val="none"/>
              <w:bottom w:val="none"/>
              <w:right w:val="none"/>
            </w:tcBorders>
            <w:tcMar>
              <w:top w:type="dxa" w:w="40"/>
              <w:left w:type="dxa" w:w="60"/>
              <w:bottom w:type="dxa" w:w="40"/>
              <w:right w:type="dxa" w:w="0"/>
            </w:tcMar>
          </w:tcPr>
          <w:p>
            <w:r>
              <w:rPr>
                <w:rFonts w:ascii="Arial" w:cs="Arial" w:eastAsia="Arial" w:hAnsi="Arial"/>
                <w:color w:val="555555"/>
                <w:sz w:val="19"/>
                <w:szCs w:val="19"/>
              </w:rPr>
              <w:t xml:space="preserve">Oracle 11g SQL &amp; PL/SQL Fundamentals — Oracle</w:t>
            </w:r>
          </w:p>
        </w:tc>
      </w:tr>
      <w:tr>
        <w:tc>
          <w:tcPr>
            <w:tcW w:type="dxa" w:w="4680"/>
            <w:tcBorders>
              <w:top w:val="none"/>
              <w:left w:val="none"/>
              <w:bottom w:val="none"/>
              <w:right w:val="none"/>
            </w:tcBorders>
            <w:tcMar>
              <w:top w:type="dxa" w:w="40"/>
              <w:left w:type="dxa" w:w="0"/>
              <w:bottom w:type="dxa" w:w="40"/>
              <w:right w:type="dxa" w:w="60"/>
            </w:tcMar>
          </w:tcPr>
          <w:p>
            <w:r>
              <w:rPr>
                <w:rFonts w:ascii="Arial" w:cs="Arial" w:eastAsia="Arial" w:hAnsi="Arial"/>
                <w:color w:val="555555"/>
                <w:sz w:val="19"/>
                <w:szCs w:val="19"/>
              </w:rPr>
              <w:t xml:space="preserve">Problem-Solving Techniques — LinkedIn Learning</w:t>
            </w:r>
          </w:p>
        </w:tc>
        <w:tc>
          <w:tcPr>
            <w:tcW w:type="dxa" w:w="4680"/>
            <w:tcBorders>
              <w:top w:val="none"/>
              <w:left w:val="none"/>
              <w:bottom w:val="none"/>
              <w:right w:val="none"/>
            </w:tcBorders>
            <w:tcMar>
              <w:top w:type="dxa" w:w="40"/>
              <w:left w:type="dxa" w:w="60"/>
              <w:bottom w:type="dxa" w:w="40"/>
              <w:right w:type="dxa" w:w="0"/>
            </w:tcMar>
          </w:tcPr>
          <w:p>
            <w:r>
              <w:rPr>
                <w:rFonts w:ascii="Arial" w:cs="Arial" w:eastAsia="Arial" w:hAnsi="Arial"/>
                <w:color w:val="555555"/>
                <w:sz w:val="19"/>
                <w:szCs w:val="19"/>
              </w:rPr>
              <w:t xml:space="preserve">Entrepreneurship Foundations — LinkedIn Learning</w:t>
            </w:r>
          </w:p>
        </w:tc>
      </w:tr>
    </w:tbl>
    <w:p>
      <w:pPr>
        <w:spacing w:after="160" w:before="0"/>
      </w:pPr>
      <w:r>
        <w:t xml:space="preserve"/>
      </w:r>
    </w:p>
    <w:p>
      <w:pPr>
        <w:pBdr>
          <w:bottom w:val="single" w:color="2E5FA3" w:sz="8" w:space="4"/>
        </w:pBdr>
        <w:spacing w:after="40" w:before="180"/>
      </w:pPr>
      <w:r>
        <w:rPr>
          <w:rFonts w:ascii="Arial" w:cs="Arial" w:eastAsia="Arial" w:hAnsi="Arial"/>
          <w:b/>
          <w:bCs/>
          <w:color w:val="1B3A6B"/>
          <w:sz w:val="20"/>
          <w:szCs w:val="20"/>
        </w:rPr>
        <w:t xml:space="preserve">LANGUAGES</w:t>
      </w:r>
    </w:p>
    <w:p>
      <w:pPr>
        <w:spacing w:after="60" w:before="80"/>
      </w:pPr>
      <w:r>
        <w:rPr>
          <w:rFonts w:ascii="Arial" w:cs="Arial" w:eastAsia="Arial" w:hAnsi="Arial"/>
          <w:b/>
          <w:bCs/>
          <w:color w:val="111111"/>
          <w:sz w:val="20"/>
          <w:szCs w:val="20"/>
        </w:rPr>
        <w:t xml:space="preserve">English</w:t>
      </w:r>
      <w:r>
        <w:rPr>
          <w:rFonts w:ascii="Arial" w:cs="Arial" w:eastAsia="Arial" w:hAnsi="Arial"/>
          <w:color w:val="555555"/>
          <w:sz w:val="20"/>
          <w:szCs w:val="20"/>
        </w:rPr>
        <w:t xml:space="preserve"> (Professional Working)   </w:t>
      </w:r>
      <w:r>
        <w:rPr>
          <w:rFonts w:ascii="Arial" w:cs="Arial" w:eastAsia="Arial" w:hAnsi="Arial"/>
          <w:b/>
          <w:bCs/>
          <w:color w:val="111111"/>
          <w:sz w:val="20"/>
          <w:szCs w:val="20"/>
        </w:rPr>
        <w:t xml:space="preserve">Hindi</w:t>
      </w:r>
      <w:r>
        <w:rPr>
          <w:rFonts w:ascii="Arial" w:cs="Arial" w:eastAsia="Arial" w:hAnsi="Arial"/>
          <w:color w:val="555555"/>
          <w:sz w:val="20"/>
          <w:szCs w:val="20"/>
        </w:rPr>
        <w:t xml:space="preserve"> (Professional Working)   </w:t>
      </w:r>
      <w:r>
        <w:rPr>
          <w:rFonts w:ascii="Arial" w:cs="Arial" w:eastAsia="Arial" w:hAnsi="Arial"/>
          <w:b/>
          <w:bCs/>
          <w:color w:val="111111"/>
          <w:sz w:val="20"/>
          <w:szCs w:val="20"/>
        </w:rPr>
        <w:t xml:space="preserve">Telugu</w:t>
      </w:r>
      <w:r>
        <w:rPr>
          <w:rFonts w:ascii="Arial" w:cs="Arial" w:eastAsia="Arial" w:hAnsi="Arial"/>
          <w:color w:val="555555"/>
          <w:sz w:val="20"/>
          <w:szCs w:val="20"/>
        </w:rPr>
        <w:t xml:space="preserve"> (Limited Working)</w:t>
      </w:r>
    </w:p>
    <w:p>
      <w:pPr>
        <w:spacing w:after="160" w:before="0"/>
      </w:pPr>
      <w:r>
        <w:t xml:space="preserve"/>
      </w:r>
    </w:p>
    <w:p>
      <w:pPr>
        <w:pBdr>
          <w:top w:val="single" w:color="D0D8E8" w:sz="4" w:space="8"/>
        </w:pBdr>
        <w:spacing w:after="0" w:before="80"/>
        <w:jc w:val="center"/>
      </w:pPr>
      <w:r>
        <w:rPr>
          <w:rFonts w:ascii="Arial" w:cs="Arial" w:eastAsia="Arial" w:hAnsi="Arial"/>
          <w:color w:val="555555"/>
          <w:sz w:val="17"/>
          <w:szCs w:val="17"/>
        </w:rPr>
        <w:t xml:space="preserve">Expected CTC: INR 11–14 LPA  |  Notice Period: Immediate  |  References 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2026-06-03T17:36:09.336Z</dcterms:created>
  <dcterms:modified xsi:type="dcterms:W3CDTF">2026-06-03T17:36:09.351Z</dcterms:modified>
</cp:coreProperties>
</file>

<file path=docProps/custom.xml><?xml version="1.0" encoding="utf-8"?>
<Properties xmlns="http://schemas.openxmlformats.org/officeDocument/2006/custom-properties" xmlns:vt="http://schemas.openxmlformats.org/officeDocument/2006/docPropsVTypes"/>
</file>