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efe5ea9694ee8a4693457c4c5994ad3366731a4e.png"/>
            <a:graphic>
              <a:graphicData uri="http://schemas.openxmlformats.org/drawingml/2006/picture">
                <pic:pic>
                  <pic:nvPicPr>
                    <pic:cNvPr id="1" name="image-efe5ea9694ee8a4693457c4c5994ad3366731a4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bookmarkStart w:id="0" w:name="https_github_com_abhishek_kraj_da_28b200"/>
      <w:hyperlink r:id="rId6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https://github.com/Abhishek-Kraj/Dataplex-Universal-Catalog/tree/feature/iss-foundation</w:t>
        </w:r>
      </w:hyperlink>
      <w:r>
        <w:rPr>
          <w:rFonts w:eastAsia="inter" w:cs="inter" w:ascii="inter" w:hAnsi="inter"/>
          <w:b/>
          <w:color w:val="000000"/>
          <w:sz w:val="39"/>
        </w:rPr>
        <w:t xml:space="preserve"> this my repo</w:t>
      </w:r>
      <w:bookmarkEnd w:id="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the attached image showing Dataplex Universal Catalog's use cases and features, and referencing your GitHub repository, I can see you're building a comprehensive Terraform solution for Dataplex Universal Catalog implementation. Let me provide recommendations to enhance your repository structure and implementation.</w:t>
      </w:r>
      <w:bookmarkStart w:id="1" w:name="fnref1"/>
      <w:bookmarkEnd w:id="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2" w:name="fnref2"/>
      <w:bookmarkEnd w:id="2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bookmarkStart w:id="4" w:name="repository_structure_recommendations"/>
      <w:r>
        <w:rPr>
          <w:rFonts w:eastAsia="inter" w:cs="inter" w:ascii="inter" w:hAnsi="inter"/>
          <w:b/>
          <w:color w:val="000000"/>
          <w:sz w:val="24"/>
        </w:rPr>
        <w:t xml:space="preserve">Repository Structure Recommendations</w:t>
      </w:r>
      <w:bookmarkEnd w:id="4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repository should follow Terraform best practices with a modular structure similar to Google's recommended approach:</w:t>
      </w:r>
      <w:bookmarkStart w:id="5" w:name="fnref3_1"/>
      <w:bookmarkEnd w:id="5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6" w:name="fnref4"/>
      <w:bookmarkEnd w:id="6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7" w:name="fnref5"/>
      <w:bookmarkEnd w:id="7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Dataplex-Universal-Catalog/</w:t>
        <w:br/>
        <w:t xml:space="preserve">├── modules/</w:t>
        <w:br/>
        <w:t xml:space="preserve">│   ├── entry-group/</w:t>
        <w:br/>
        <w:t xml:space="preserve">│   │   ├── main.tf</w:t>
        <w:br/>
        <w:t xml:space="preserve">│   │   ├── variables.tf</w:t>
        <w:br/>
        <w:t xml:space="preserve">│   │   ├── outputs.tf</w:t>
        <w:br/>
        <w:t xml:space="preserve">│   │   └── versions.tf</w:t>
        <w:br/>
        <w:t xml:space="preserve">│   ├── aspect-type/</w:t>
        <w:br/>
        <w:t xml:space="preserve">│   ├── entry-type/</w:t>
        <w:br/>
        <w:t xml:space="preserve">│   ├── catalog-entry/</w:t>
        <w:br/>
        <w:t xml:space="preserve">│   ├── data-quality-scan/</w:t>
        <w:br/>
        <w:t xml:space="preserve">│   ├── data-profiling-scan/</w:t>
        <w:br/>
        <w:t xml:space="preserve">│   └── business-glossary/</w:t>
        <w:br/>
        <w:t xml:space="preserve">├── environments/</w:t>
        <w:br/>
        <w:t xml:space="preserve">│   ├── dev/</w:t>
        <w:br/>
        <w:t xml:space="preserve">│   │   ├── terraform.tfvars</w:t>
        <w:br/>
        <w:t xml:space="preserve">│   │   ├── backend.tf</w:t>
        <w:br/>
        <w:t xml:space="preserve">│   │   └── main.tf</w:t>
        <w:br/>
        <w:t xml:space="preserve">│   └── prod/</w:t>
        <w:br/>
        <w:t xml:space="preserve">│       ├── terraform.tfvars</w:t>
        <w:br/>
        <w:t xml:space="preserve">│       ├── backend.tf</w:t>
        <w:br/>
        <w:t xml:space="preserve">│       └── main.tf</w:t>
        <w:br/>
        <w:t xml:space="preserve">├── examples/</w:t>
        <w:br/>
        <w:t xml:space="preserve">│   ├── basic-catalog/</w:t>
        <w:br/>
        <w:t xml:space="preserve">│   ├── custom-metadata/</w:t>
        <w:br/>
        <w:t xml:space="preserve">│   ├── data-quality-rules/</w:t>
        <w:br/>
        <w:t xml:space="preserve">│   └── bigquery-discovery/</w:t>
        <w:br/>
        <w:t xml:space="preserve">├── rules/</w:t>
        <w:br/>
        <w:t xml:space="preserve">│   └── yaml/</w:t>
        <w:br/>
        <w:t xml:space="preserve">│       └── data-quality-rules.yaml</w:t>
        <w:br/>
        <w:t xml:space="preserve">├── schemas/</w:t>
        <w:br/>
        <w:t xml:space="preserve">│   └── table-schemas/</w:t>
        <w:br/>
        <w:t xml:space="preserve">├── docs/</w:t>
        <w:br/>
        <w:t xml:space="preserve">│   ├── architecture.md</w:t>
        <w:br/>
        <w:t xml:space="preserve">│   └── deployment-guide.md</w:t>
        <w:br/>
        <w:t xml:space="preserve">└── README.md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8" w:name="key_features_to_implement"/>
      <w:r>
        <w:rPr>
          <w:rFonts w:eastAsia="inter" w:cs="inter" w:ascii="inter" w:hAnsi="inter"/>
          <w:b/>
          <w:color w:val="000000"/>
          <w:sz w:val="24"/>
        </w:rPr>
        <w:t xml:space="preserve">Key Features to Implement</w:t>
      </w:r>
      <w:bookmarkEnd w:id="8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the image, your implementation should cover these Dataplex Universal Catalog features:</w:t>
      </w:r>
      <w:bookmarkStart w:id="9" w:name="fnref2_1"/>
      <w:bookmarkEnd w:id="9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10" w:name="fnref6"/>
      <w:bookmarkEnd w:id="10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11" w:name="fnref1_1"/>
      <w:bookmarkEnd w:id="1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12" w:name="metadata_cataloging"/>
      <w:r>
        <w:rPr>
          <w:rFonts w:eastAsia="inter" w:cs="inter" w:ascii="inter" w:hAnsi="inter"/>
          <w:b/>
          <w:color w:val="000000"/>
          <w:sz w:val="24"/>
        </w:rPr>
        <w:t xml:space="preserve">Metadata Cataloging</w:t>
      </w:r>
      <w:bookmarkEnd w:id="12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Automatic metadata retrieval from BigQuery, Cloud SQL, Spanner, Vertex AI, Pub/Sub, Dataform, and Dataproc Metastore. Implement discovery modules for each source type.</w:t>
      </w:r>
      <w:bookmarkStart w:id="13" w:name="fnref7"/>
      <w:bookmarkEnd w:id="13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14" w:name="fnref1_2"/>
      <w:bookmarkEnd w:id="14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15" w:name="data_discovery"/>
      <w:r>
        <w:rPr>
          <w:rFonts w:eastAsia="inter" w:cs="inter" w:ascii="inter" w:hAnsi="inter"/>
          <w:b/>
          <w:color w:val="000000"/>
          <w:sz w:val="24"/>
        </w:rPr>
        <w:t xml:space="preserve">Data Discovery</w:t>
      </w:r>
      <w:bookmarkEnd w:id="15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Scan Cloud Storage buckets for structured and unstructured data to extract metadata. Create modules for automatic discovery configuration.</w:t>
      </w:r>
      <w:bookmarkStart w:id="16" w:name="fnref1_3"/>
      <w:bookmarkEnd w:id="16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17" w:name="data_insights"/>
      <w:r>
        <w:rPr>
          <w:rFonts w:eastAsia="inter" w:cs="inter" w:ascii="inter" w:hAnsi="inter"/>
          <w:b/>
          <w:color w:val="000000"/>
          <w:sz w:val="24"/>
        </w:rPr>
        <w:t xml:space="preserve">Data Insights</w:t>
      </w:r>
      <w:bookmarkEnd w:id="17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Integrate AI-powered capabilities to generate natural language questions about data and perform statistical analyses.</w:t>
      </w:r>
      <w:bookmarkStart w:id="18" w:name="fnref6_1"/>
      <w:bookmarkEnd w:id="18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19" w:name="fnref1_4"/>
      <w:bookmarkEnd w:id="1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20" w:name="data_profiling"/>
      <w:r>
        <w:rPr>
          <w:rFonts w:eastAsia="inter" w:cs="inter" w:ascii="inter" w:hAnsi="inter"/>
          <w:b/>
          <w:color w:val="000000"/>
          <w:sz w:val="24"/>
        </w:rPr>
        <w:t xml:space="preserve">Data Profiling</w:t>
      </w:r>
      <w:bookmarkEnd w:id="2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Create reusable modules for profiling BigQuery tables to identify common characteristics of column data.</w:t>
      </w:r>
      <w:bookmarkStart w:id="21" w:name="fnref1_5"/>
      <w:bookmarkEnd w:id="2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22" w:name="data_quality"/>
      <w:r>
        <w:rPr>
          <w:rFonts w:eastAsia="inter" w:cs="inter" w:ascii="inter" w:hAnsi="inter"/>
          <w:b/>
          <w:color w:val="000000"/>
          <w:sz w:val="24"/>
        </w:rPr>
        <w:t xml:space="preserve">Data Quality</w:t>
      </w:r>
      <w:bookmarkEnd w:id="22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Implement Terraform modules managing data quality rules as code using YAML configuration files. This follows the best practice of version-controlling data quality rules.</w:t>
      </w:r>
      <w:bookmarkStart w:id="23" w:name="fnref8"/>
      <w:bookmarkEnd w:id="23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24" w:name="fnref9"/>
      <w:bookmarkEnd w:id="24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bookmarkStart w:id="25" w:name="fnref1_6"/>
      <w:bookmarkEnd w:id="2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26" w:name="business_glossary"/>
      <w:r>
        <w:rPr>
          <w:rFonts w:eastAsia="inter" w:cs="inter" w:ascii="inter" w:hAnsi="inter"/>
          <w:b/>
          <w:color w:val="000000"/>
          <w:sz w:val="24"/>
        </w:rPr>
        <w:t xml:space="preserve">Business Glossary</w:t>
      </w:r>
      <w:bookmarkEnd w:id="26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Build modules for managing business terminology and attaching terms to table columns for consistent data usage understanding.</w:t>
      </w:r>
      <w:bookmarkStart w:id="27" w:name="fnref2_2"/>
      <w:bookmarkEnd w:id="27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8" w:name="fnref1_7"/>
      <w:bookmarkEnd w:id="28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29" w:name="data_lineage"/>
      <w:r>
        <w:rPr>
          <w:rFonts w:eastAsia="inter" w:cs="inter" w:ascii="inter" w:hAnsi="inter"/>
          <w:b/>
          <w:color w:val="000000"/>
          <w:sz w:val="24"/>
        </w:rPr>
        <w:t xml:space="preserve">Data Lineage</w:t>
      </w:r>
      <w:bookmarkEnd w:id="29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Enable tracking of data movement through systems with source, destination, and transformation metadata.</w:t>
      </w:r>
      <w:bookmarkStart w:id="30" w:name="fnref2_3"/>
      <w:bookmarkEnd w:id="3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31" w:name="fnref1_8"/>
      <w:bookmarkEnd w:id="3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32" w:name="terraform_module_implementation_examples"/>
      <w:r>
        <w:rPr>
          <w:rFonts w:eastAsia="inter" w:cs="inter" w:ascii="inter" w:hAnsi="inter"/>
          <w:b/>
          <w:color w:val="000000"/>
          <w:sz w:val="24"/>
        </w:rPr>
        <w:t xml:space="preserve">Terraform Module Implementation Examples</w:t>
      </w:r>
      <w:bookmarkEnd w:id="32"/>
    </w:p>
    <w:p>
      <w:pPr>
        <w:spacing w:line="360" w:before="315" w:after="105" w:lineRule="auto"/>
        <w:ind w:left="-30"/>
        <w:jc w:val="left"/>
      </w:pPr>
      <w:bookmarkStart w:id="33" w:name="entry_group_module"/>
      <w:r>
        <w:rPr>
          <w:rFonts w:eastAsia="inter" w:cs="inter" w:ascii="inter" w:hAnsi="inter"/>
          <w:b/>
          <w:color w:val="000000"/>
          <w:sz w:val="24"/>
        </w:rPr>
        <w:t xml:space="preserve">Entry Group Module</w:t>
      </w:r>
      <w:bookmarkEnd w:id="33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modules/entry-group/main.tf</w:t>
        <w:br/>
        <w:t xml:space="preserve">resource "google_dataplex_entry_group" "this" {</w:t>
        <w:br/>
        <w:t xml:space="preserve">  entry_group_id = var.entry_group_id</w:t>
        <w:br/>
        <w:t xml:space="preserve">  project        = var.project_id</w:t>
        <w:br/>
        <w:t xml:space="preserve">  location       = var.region</w:t>
        <w:br/>
        <w:t xml:space="preserve">  </w:t>
        <w:br/>
        <w:t xml:space="preserve">  description = var.description</w:t>
        <w:br/>
        <w:t xml:space="preserve">  display_name = var.display_name</w:t>
        <w:br/>
        <w:t xml:space="preserve">  </w:t>
        <w:br/>
        <w:t xml:space="preserve">  labels = var.labels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34" w:name="data_quality_scan_module"/>
      <w:r>
        <w:rPr>
          <w:rFonts w:eastAsia="inter" w:cs="inter" w:ascii="inter" w:hAnsi="inter"/>
          <w:b/>
          <w:color w:val="000000"/>
          <w:sz w:val="24"/>
        </w:rPr>
        <w:t xml:space="preserve">Data Quality Scan Module</w:t>
      </w:r>
      <w:bookmarkEnd w:id="34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Following Google's recommended approach for managing data quality rules as code:</w:t>
      </w:r>
      <w:bookmarkStart w:id="35" w:name="fnref8_1"/>
      <w:bookmarkEnd w:id="35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modules/data-quality-scan/main.tf</w:t>
        <w:br/>
        <w:t xml:space="preserve">locals {</w:t>
        <w:br/>
        <w:t xml:space="preserve">  rules = yamldecode(file(var.rules_file_path))</w:t>
        <w:br/>
        <w:t xml:space="preserve">}</w:t>
        <w:br/>
        <w:t xml:space="preserve"/>
        <w:br/>
        <w:t xml:space="preserve">resource "google_dataplex_datascan" "data_quality" {</w:t>
        <w:br/>
        <w:t xml:space="preserve">  data_scan_id = var.scan_id</w:t>
        <w:br/>
        <w:t xml:space="preserve">  project      = var.project_id</w:t>
        <w:br/>
        <w:t xml:space="preserve">  location     = var.region</w:t>
        <w:br/>
        <w:t xml:space="preserve">  </w:t>
        <w:br/>
        <w:t xml:space="preserve">  data {</w:t>
        <w:br/>
        <w:t xml:space="preserve">    resource = var.bigquery_table_resource</w:t>
        <w:br/>
        <w:t xml:space="preserve">  }</w:t>
        <w:br/>
        <w:t xml:space="preserve">  </w:t>
        <w:br/>
        <w:t xml:space="preserve">  data_quality_spec {</w:t>
        <w:br/>
        <w:t xml:space="preserve">    dynamic "rules" {</w:t>
        <w:br/>
        <w:t xml:space="preserve">      for_each = local.rules.rules</w:t>
        <w:br/>
        <w:t xml:space="preserve">      content {</w:t>
        <w:br/>
        <w:t xml:space="preserve">        dimension        = rules.value.dimension</w:t>
        <w:br/>
        <w:t xml:space="preserve">        threshold        = lookup(rules.value, "threshold", null)</w:t>
        <w:br/>
        <w:t xml:space="preserve">        </w:t>
        <w:br/>
        <w:t xml:space="preserve">        dynamic "non_null_expectation" {</w:t>
        <w:br/>
        <w:t xml:space="preserve">          for_each = lookup(rules.value, "non_null_expectation", null) != null ? [^1] : []</w:t>
        <w:br/>
        <w:t xml:space="preserve">          content {</w:t>
        <w:br/>
        <w:t xml:space="preserve">            column = rules.value.non_null_expectation.column</w:t>
        <w:br/>
        <w:t xml:space="preserve">          }</w:t>
        <w:br/>
        <w:t xml:space="preserve">        }</w:t>
        <w:br/>
        <w:t xml:space="preserve">        </w:t>
        <w:br/>
        <w:t xml:space="preserve">        dynamic "range_expectation" {</w:t>
        <w:br/>
        <w:t xml:space="preserve">          for_each = lookup(rules.value, "range_expectation", null) != null ? [^1] : []</w:t>
        <w:br/>
        <w:t xml:space="preserve">          content {</w:t>
        <w:br/>
        <w:t xml:space="preserve">            column     = rules.value.range_expectation.column</w:t>
        <w:br/>
        <w:t xml:space="preserve">            min_value  = lookup(rules.value.range_expectation, "min_value", null)</w:t>
        <w:br/>
        <w:t xml:space="preserve">            max_value  = lookup(rules.value.range_expectation, "max_value", null)</w:t>
        <w:br/>
        <w:t xml:space="preserve">          }</w:t>
        <w:br/>
        <w:t xml:space="preserve">        }</w:t>
        <w:br/>
        <w:t xml:space="preserve">        </w:t>
        <w:br/>
        <w:t xml:space="preserve">        dynamic "uniqueness_expectation" {</w:t>
        <w:br/>
        <w:t xml:space="preserve">          for_each = lookup(rules.value, "uniqueness_expectation", null) != null ? [^1] : []</w:t>
        <w:br/>
        <w:t xml:space="preserve">          content {</w:t>
        <w:br/>
        <w:t xml:space="preserve">            column = rules.value.uniqueness_expectation.column</w:t>
        <w:br/>
        <w:t xml:space="preserve">          }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 xml:space="preserve">  </w:t>
        <w:br/>
        <w:t xml:space="preserve">  execution_spec {</w:t>
        <w:br/>
        <w:t xml:space="preserve">    trigger {</w:t>
        <w:br/>
        <w:t xml:space="preserve">      schedule {</w:t>
        <w:br/>
        <w:t xml:space="preserve">        cron = var.scan_schedule</w:t>
        <w:br/>
        <w:t xml:space="preserve">      }</w:t>
        <w:br/>
        <w:t xml:space="preserve">    }</w:t>
        <w:br/>
        <w:t xml:space="preserve">  }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36" w:name="yaml_rules_configuration"/>
      <w:r>
        <w:rPr>
          <w:rFonts w:eastAsia="inter" w:cs="inter" w:ascii="inter" w:hAnsi="inter"/>
          <w:b/>
          <w:color w:val="000000"/>
          <w:sz w:val="24"/>
        </w:rPr>
        <w:t xml:space="preserve">YAML Rules Configuration</w:t>
      </w:r>
      <w:bookmarkEnd w:id="36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rules/yaml/customer-table-quality.yaml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rules: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dimension: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"COMPLETENESS"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non_null_expectation: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column: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"customer_id"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threshold: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0.99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dimension: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"VALIDITY"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regex_expectation: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column: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"email"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regex: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"^[a-zA-Z0-9+_.-]+@[a-zA-Z0-9.-]+$"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threshold: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0.95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dimension: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"UNIQUENESS"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uniqueness_expectation: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column: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"customer_id"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threshold: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dimension: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"ACCURACY"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range_expectation: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column: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"age"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min_value: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max_value: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"120"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37" w:name="best_practices_for_your_repository"/>
      <w:r>
        <w:rPr>
          <w:rFonts w:eastAsia="inter" w:cs="inter" w:ascii="inter" w:hAnsi="inter"/>
          <w:b/>
          <w:color w:val="000000"/>
          <w:sz w:val="24"/>
        </w:rPr>
        <w:t xml:space="preserve">Best Practices for Your Repository</w:t>
      </w:r>
      <w:bookmarkEnd w:id="37"/>
    </w:p>
    <w:p>
      <w:pPr>
        <w:spacing w:line="360" w:before="315" w:after="105" w:lineRule="auto"/>
        <w:ind w:left="-30"/>
        <w:jc w:val="left"/>
      </w:pPr>
      <w:bookmarkStart w:id="38" w:name="service_account_permissions"/>
      <w:r>
        <w:rPr>
          <w:rFonts w:eastAsia="inter" w:cs="inter" w:ascii="inter" w:hAnsi="inter"/>
          <w:b/>
          <w:color w:val="000000"/>
          <w:sz w:val="24"/>
        </w:rPr>
        <w:t xml:space="preserve">Service Account Permissions</w:t>
      </w:r>
      <w:bookmarkEnd w:id="38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Use least-privilege service accounts for Terraform deployments. Create dedicated service accounts with only necessary Dataplex permissions.</w:t>
      </w:r>
      <w:bookmarkStart w:id="39" w:name="fnref4_1"/>
      <w:bookmarkEnd w:id="39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bookmarkStart w:id="40" w:name="state_management"/>
      <w:r>
        <w:rPr>
          <w:rFonts w:eastAsia="inter" w:cs="inter" w:ascii="inter" w:hAnsi="inter"/>
          <w:b/>
          <w:color w:val="000000"/>
          <w:sz w:val="24"/>
        </w:rPr>
        <w:t xml:space="preserve">State Management</w:t>
      </w:r>
      <w:bookmarkEnd w:id="4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Store Terraform state in Google Cloud Storage with versioning and encryption enabled. Implement state locking for concurrent operations.</w:t>
      </w:r>
      <w:bookmarkStart w:id="41" w:name="fnref3_2"/>
      <w:bookmarkEnd w:id="4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42" w:name="fnref4_2"/>
      <w:bookmarkEnd w:id="42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bookmarkStart w:id="43" w:name="environment_separation"/>
      <w:r>
        <w:rPr>
          <w:rFonts w:eastAsia="inter" w:cs="inter" w:ascii="inter" w:hAnsi="inter"/>
          <w:b/>
          <w:color w:val="000000"/>
          <w:sz w:val="24"/>
        </w:rPr>
        <w:t xml:space="preserve">Environment Separation</w:t>
      </w:r>
      <w:bookmarkEnd w:id="43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Maintain separate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dev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prod</w:t>
      </w:r>
      <w:r>
        <w:rPr>
          <w:rFonts w:eastAsia="inter" w:cs="inter" w:ascii="inter" w:hAnsi="inter"/>
          <w:color w:val="000000"/>
        </w:rPr>
        <w:t xml:space="preserve"> environments with distinct tfvars files. Use workspace-based or directory-based separation.</w:t>
      </w:r>
      <w:bookmarkStart w:id="44" w:name="fnref4_3"/>
      <w:bookmarkEnd w:id="44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45" w:name="fnref8_2"/>
      <w:bookmarkEnd w:id="45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</w:p>
    <w:p>
      <w:pPr>
        <w:spacing w:line="360" w:before="315" w:after="105" w:lineRule="auto"/>
        <w:ind w:left="-30"/>
        <w:jc w:val="left"/>
      </w:pPr>
      <w:bookmarkStart w:id="46" w:name="ci_cd_integration"/>
      <w:r>
        <w:rPr>
          <w:rFonts w:eastAsia="inter" w:cs="inter" w:ascii="inter" w:hAnsi="inter"/>
          <w:b/>
          <w:color w:val="000000"/>
          <w:sz w:val="24"/>
        </w:rPr>
        <w:t xml:space="preserve">CI/CD Integration</w:t>
      </w:r>
      <w:bookmarkEnd w:id="46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Implement Cloud Build triggers for automated Terraform deployments. Configure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terraform plan</w:t>
      </w:r>
      <w:r>
        <w:rPr>
          <w:rFonts w:eastAsia="inter" w:cs="inter" w:ascii="inter" w:hAnsi="inter"/>
          <w:color w:val="000000"/>
        </w:rPr>
        <w:t xml:space="preserve"> for feature branches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terraform apply</w:t>
      </w:r>
      <w:r>
        <w:rPr>
          <w:rFonts w:eastAsia="inter" w:cs="inter" w:ascii="inter" w:hAnsi="inter"/>
          <w:color w:val="000000"/>
        </w:rPr>
        <w:t xml:space="preserve"> for protected branches.</w:t>
      </w:r>
      <w:bookmarkStart w:id="47" w:name="fnref8_3"/>
      <w:bookmarkEnd w:id="47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</w:p>
    <w:p>
      <w:pPr>
        <w:spacing w:line="360" w:before="315" w:after="105" w:lineRule="auto"/>
        <w:ind w:left="-30"/>
        <w:jc w:val="left"/>
      </w:pPr>
      <w:bookmarkStart w:id="48" w:name="module_versioning"/>
      <w:r>
        <w:rPr>
          <w:rFonts w:eastAsia="inter" w:cs="inter" w:ascii="inter" w:hAnsi="inter"/>
          <w:b/>
          <w:color w:val="000000"/>
          <w:sz w:val="24"/>
        </w:rPr>
        <w:t xml:space="preserve">Module Versioning</w:t>
      </w:r>
      <w:bookmarkEnd w:id="48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Tag module releases consistently and document changes. Store modules in separate repositories if shared across multiple projects.</w:t>
      </w:r>
      <w:bookmarkStart w:id="49" w:name="fnref4_4"/>
      <w:bookmarkEnd w:id="49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bookmarkStart w:id="50" w:name="cmek_implementation"/>
      <w:r>
        <w:rPr>
          <w:rFonts w:eastAsia="inter" w:cs="inter" w:ascii="inter" w:hAnsi="inter"/>
          <w:b/>
          <w:color w:val="000000"/>
          <w:sz w:val="24"/>
        </w:rPr>
        <w:t xml:space="preserve">CMEK Implementation</w:t>
      </w:r>
      <w:bookmarkEnd w:id="5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Enable Customer-Managed Encryption Keys for Dataplex resources with HSM protection level. Ensure key regions match Dataplex resource regions.</w:t>
      </w:r>
      <w:bookmarkStart w:id="51" w:name="fnref1_9"/>
      <w:bookmarkEnd w:id="5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52" w:name="documentation"/>
      <w:r>
        <w:rPr>
          <w:rFonts w:eastAsia="inter" w:cs="inter" w:ascii="inter" w:hAnsi="inter"/>
          <w:b/>
          <w:color w:val="000000"/>
          <w:sz w:val="24"/>
        </w:rPr>
        <w:t xml:space="preserve">Documentation</w:t>
      </w:r>
      <w:bookmarkEnd w:id="52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Include comprehensive README files for each module with usage examples, input/output descriptions, and architecture diagrams.</w:t>
      </w:r>
      <w:bookmarkStart w:id="53" w:name="fnref5_1"/>
      <w:bookmarkEnd w:id="53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bookmarkStart w:id="54" w:name="integration_architecture"/>
      <w:r>
        <w:rPr>
          <w:rFonts w:eastAsia="inter" w:cs="inter" w:ascii="inter" w:hAnsi="inter"/>
          <w:b/>
          <w:color w:val="000000"/>
          <w:sz w:val="24"/>
        </w:rPr>
        <w:t xml:space="preserve">Integration Architecture</w:t>
      </w:r>
      <w:bookmarkEnd w:id="54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the unified data management architecture shown in the image, your implementation should support:</w:t>
      </w:r>
      <w:bookmarkStart w:id="55" w:name="fnref1_10"/>
      <w:bookmarkEnd w:id="5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Integrated Analytics Experience</w:t>
      </w:r>
      <w:r>
        <w:rPr>
          <w:rFonts w:eastAsia="inter" w:cs="inter" w:ascii="inter" w:hAnsi="inter"/>
          <w:color w:val="000000"/>
        </w:rPr>
        <w:t xml:space="preserve">: Connect catalog to Data Warehouses, Data Lakes, and Data Marts for unified governance.</w:t>
      </w:r>
      <w:bookmarkStart w:id="56" w:name="fnref1_11"/>
      <w:bookmarkEnd w:id="56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Unified Data Management</w:t>
      </w:r>
      <w:r>
        <w:rPr>
          <w:rFonts w:eastAsia="inter" w:cs="inter" w:ascii="inter" w:hAnsi="inter"/>
          <w:color w:val="000000"/>
        </w:rPr>
        <w:t xml:space="preserve">: Implement metadata, intelligence, lifecycle, governance, and security layers across all data sources.</w:t>
      </w:r>
      <w:bookmarkStart w:id="57" w:name="fnref1_12"/>
      <w:bookmarkEnd w:id="57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approach enables end-to-end data lifecycle management from distributed discovery to business insights with comprehensive governance through BigQuery integration.</w:t>
      </w:r>
      <w:bookmarkStart w:id="58" w:name="fnref6_2"/>
      <w:bookmarkEnd w:id="58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59" w:name="fnref2_4"/>
      <w:bookmarkEnd w:id="59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60" w:name="fnref1_13"/>
      <w:bookmarkEnd w:id="6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61" w:name="fn1"/>
    <w:bookmarkEnd w:id="61"/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image.jpg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2" w:name="fn2"/>
    <w:bookmarkEnd w:id="62"/>
    <w:p>
      <w:pPr>
        <w:numPr>
          <w:ilvl w:val="0"/>
          <w:numId w:val="2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https://cloud.google.com/dataplex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3" w:name="fn3"/>
    <w:bookmarkEnd w:id="63"/>
    <w:p>
      <w:pPr>
        <w:numPr>
          <w:ilvl w:val="0"/>
          <w:numId w:val="2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https://cloud.google.com/dataplex/docs/terraform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4" w:name="fn4"/>
    <w:bookmarkEnd w:id="64"/>
    <w:p>
      <w:pPr>
        <w:numPr>
          <w:ilvl w:val="0"/>
          <w:numId w:val="2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https://controlmonkey.io/terraform-gcp-provider-best-practices/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5" w:name="fn5"/>
    <w:bookmarkEnd w:id="65"/>
    <w:p>
      <w:pPr>
        <w:numPr>
          <w:ilvl w:val="0"/>
          <w:numId w:val="2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https://www.env0.com/blog/terraform-modules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6" w:name="fn6"/>
    <w:bookmarkEnd w:id="66"/>
    <w:p>
      <w:pPr>
        <w:numPr>
          <w:ilvl w:val="0"/>
          <w:numId w:val="2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https://cloud.google.com/dataplex/docs/introduction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7" w:name="fn7"/>
    <w:bookmarkEnd w:id="67"/>
    <w:p>
      <w:pPr>
        <w:numPr>
          <w:ilvl w:val="0"/>
          <w:numId w:val="2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https://cloud.google.com/dataplex/docs/catalog-overview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8" w:name="fn8"/>
    <w:bookmarkEnd w:id="68"/>
    <w:p>
      <w:pPr>
        <w:numPr>
          <w:ilvl w:val="0"/>
          <w:numId w:val="2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https://cloud.google.com/dataplex/docs/manage-data-quality-rules-as-code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9" w:name="fn9"/>
    <w:bookmarkEnd w:id="69"/>
    <w:p>
      <w:pPr>
        <w:numPr>
          <w:ilvl w:val="0"/>
          <w:numId w:val="2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https://discuss.google.dev/t/dataplex-dq-rules-as-code-with-terraform/168404/2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0" w:name="fn10"/>
    <w:bookmarkEnd w:id="70"/>
    <w:p>
      <w:pPr>
        <w:numPr>
          <w:ilvl w:val="0"/>
          <w:numId w:val="2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https://github.com/GoogleCloudPlatform/dataplex-catalog-transfer-tooling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1" w:name="fn11"/>
    <w:bookmarkEnd w:id="71"/>
    <w:p>
      <w:pPr>
        <w:numPr>
          <w:ilvl w:val="0"/>
          <w:numId w:val="2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https://github.com/abhishek-ch/around-dataengineering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2" w:name="fn12"/>
    <w:bookmarkEnd w:id="72"/>
    <w:p>
      <w:pPr>
        <w:numPr>
          <w:ilvl w:val="0"/>
          <w:numId w:val="2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https://cloud.google.com/dataplex/docs/samples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3" w:name="fn13"/>
    <w:bookmarkEnd w:id="73"/>
    <w:p>
      <w:pPr>
        <w:numPr>
          <w:ilvl w:val="0"/>
          <w:numId w:val="2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https://googleapis.github.io/genai-toolbox/resources/sources/dataplex/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4" w:name="fn14"/>
    <w:bookmarkEnd w:id="74"/>
    <w:p>
      <w:pPr>
        <w:numPr>
          <w:ilvl w:val="0"/>
          <w:numId w:val="2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https://github.com/pradhan-abhishek/gcp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5" w:name="fn15"/>
    <w:bookmarkEnd w:id="75"/>
    <w:p>
      <w:pPr>
        <w:numPr>
          <w:ilvl w:val="0"/>
          <w:numId w:val="2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https://dev.to/ipt/data-governance-with-dbt-terraform-and-dataplex-a-practical-guide-to-bigquery-policy-tags-5f7d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6" w:name="fn16"/>
    <w:bookmarkEnd w:id="76"/>
    <w:p>
      <w:pPr>
        <w:numPr>
          <w:ilvl w:val="0"/>
          <w:numId w:val="2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https://www.coursera.org/learn/data-governance-with-dataplex-universal-catalog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7" w:name="fn17"/>
    <w:bookmarkEnd w:id="77"/>
    <w:p>
      <w:pPr>
        <w:numPr>
          <w:ilvl w:val="0"/>
          <w:numId w:val="2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https://dev.to/devopsfundamentals/gcp-fundamentals-cloud-dataplex-api-53mj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8" w:name="fn18"/>
    <w:bookmarkEnd w:id="78"/>
    <w:p>
      <w:pPr>
        <w:numPr>
          <w:ilvl w:val="0"/>
          <w:numId w:val="2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https://discuss.google.dev/t/subject-unable-to-programmatically-access-dataplex-universal-catalog-term-to-column-links-and-aspects-tags-via-api/255636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9" w:name="fn19"/>
    <w:bookmarkEnd w:id="79"/>
    <w:p>
      <w:pPr>
        <w:numPr>
          <w:ilvl w:val="0"/>
          <w:numId w:val="2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https://registry.terraform.io/modules/drandell/dataplex/google/latest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0" w:name="fn20"/>
    <w:bookmarkEnd w:id="80"/>
    <w:p>
      <w:pPr>
        <w:numPr>
          <w:ilvl w:val="0"/>
          <w:numId w:val="2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https://www.youtube.com/watch?v=t-rQ7tduYcY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1" w:name="fn21"/>
    <w:bookmarkEnd w:id="81"/>
    <w:p>
      <w:pPr>
        <w:numPr>
          <w:ilvl w:val="0"/>
          <w:numId w:val="2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https://www.cloudskillsboost.google/course_templates/1410/video/575422?locale=zh_TW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2" w:name="fn22"/>
    <w:bookmarkEnd w:id="82"/>
    <w:p>
      <w:pPr>
        <w:numPr>
          <w:ilvl w:val="0"/>
          <w:numId w:val="2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https://registry.terraform.io/providers/hashicorp/google/latest/docs/guides/provider_reference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3" w:name="fn23"/>
    <w:bookmarkEnd w:id="83"/>
    <w:p>
      <w:pPr>
        <w:numPr>
          <w:ilvl w:val="0"/>
          <w:numId w:val="2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https://registry.terraform.io/providers/hashicorp/google/latest/docs/resources/data_catalog_entry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efe5ea9694ee8a4693457c4c5994ad3366731a4e.png" TargetMode="Internal"/><Relationship Id="rId6" Type="http://schemas.openxmlformats.org/officeDocument/2006/relationships/hyperlink" Target="https://github.com/Abhishek-Kraj/Dataplex-Universal-Catalog/tree/feature/iss-foundation" TargetMode="External"/><Relationship Id="rId7" Type="http://schemas.openxmlformats.org/officeDocument/2006/relationships/hyperlink" Target="https://cloud.google.com/dataplex" TargetMode="External"/><Relationship Id="rId8" Type="http://schemas.openxmlformats.org/officeDocument/2006/relationships/hyperlink" Target="https://cloud.google.com/dataplex/docs/terraform" TargetMode="External"/><Relationship Id="rId9" Type="http://schemas.openxmlformats.org/officeDocument/2006/relationships/hyperlink" Target="https://controlmonkey.io/terraform-gcp-provider-best-practices/" TargetMode="External"/><Relationship Id="rId10" Type="http://schemas.openxmlformats.org/officeDocument/2006/relationships/hyperlink" Target="https://www.env0.com/blog/terraform-modules" TargetMode="External"/><Relationship Id="rId11" Type="http://schemas.openxmlformats.org/officeDocument/2006/relationships/hyperlink" Target="https://cloud.google.com/dataplex/docs/introduction" TargetMode="External"/><Relationship Id="rId12" Type="http://schemas.openxmlformats.org/officeDocument/2006/relationships/hyperlink" Target="https://cloud.google.com/dataplex/docs/catalog-overview" TargetMode="External"/><Relationship Id="rId13" Type="http://schemas.openxmlformats.org/officeDocument/2006/relationships/hyperlink" Target="https://cloud.google.com/dataplex/docs/manage-data-quality-rules-as-code" TargetMode="External"/><Relationship Id="rId14" Type="http://schemas.openxmlformats.org/officeDocument/2006/relationships/hyperlink" Target="https://discuss.google.dev/t/dataplex-dq-rules-as-code-with-terraform/168404/2" TargetMode="External"/><Relationship Id="rId15" Type="http://schemas.openxmlformats.org/officeDocument/2006/relationships/hyperlink" Target="https://github.com/GoogleCloudPlatform/dataplex-catalog-transfer-tooling" TargetMode="External"/><Relationship Id="rId16" Type="http://schemas.openxmlformats.org/officeDocument/2006/relationships/hyperlink" Target="https://github.com/abhishek-ch/around-dataengineering" TargetMode="External"/><Relationship Id="rId17" Type="http://schemas.openxmlformats.org/officeDocument/2006/relationships/hyperlink" Target="https://cloud.google.com/dataplex/docs/samples" TargetMode="External"/><Relationship Id="rId18" Type="http://schemas.openxmlformats.org/officeDocument/2006/relationships/hyperlink" Target="https://googleapis.github.io/genai-toolbox/resources/sources/dataplex/" TargetMode="External"/><Relationship Id="rId19" Type="http://schemas.openxmlformats.org/officeDocument/2006/relationships/hyperlink" Target="https://github.com/pradhan-abhishek/gcp" TargetMode="External"/><Relationship Id="rId20" Type="http://schemas.openxmlformats.org/officeDocument/2006/relationships/hyperlink" Target="https://dev.to/ipt/data-governance-with-dbt-terraform-and-dataplex-a-practical-guide-to-bigquery-policy-tags-5f7d" TargetMode="External"/><Relationship Id="rId21" Type="http://schemas.openxmlformats.org/officeDocument/2006/relationships/hyperlink" Target="https://www.coursera.org/learn/data-governance-with-dataplex-universal-catalog" TargetMode="External"/><Relationship Id="rId22" Type="http://schemas.openxmlformats.org/officeDocument/2006/relationships/hyperlink" Target="https://dev.to/devopsfundamentals/gcp-fundamentals-cloud-dataplex-api-53mj" TargetMode="External"/><Relationship Id="rId23" Type="http://schemas.openxmlformats.org/officeDocument/2006/relationships/hyperlink" Target="https://discuss.google.dev/t/subject-unable-to-programmatically-access-dataplex-universal-catalog-term-to-column-links-and-aspects-tags-via-api/255636" TargetMode="External"/><Relationship Id="rId24" Type="http://schemas.openxmlformats.org/officeDocument/2006/relationships/hyperlink" Target="https://registry.terraform.io/modules/drandell/dataplex/google/latest" TargetMode="External"/><Relationship Id="rId25" Type="http://schemas.openxmlformats.org/officeDocument/2006/relationships/hyperlink" Target="https://www.youtube.com/watch?v=t-rQ7tduYcY" TargetMode="External"/><Relationship Id="rId26" Type="http://schemas.openxmlformats.org/officeDocument/2006/relationships/hyperlink" Target="https://www.cloudskillsboost.google/course_templates/1410/video/575422?locale=zh_TW" TargetMode="External"/><Relationship Id="rId27" Type="http://schemas.openxmlformats.org/officeDocument/2006/relationships/hyperlink" Target="https://registry.terraform.io/providers/hashicorp/google/latest/docs/guides/provider_reference" TargetMode="External"/><Relationship Id="rId28" Type="http://schemas.openxmlformats.org/officeDocument/2006/relationships/hyperlink" Target="https://registry.terraform.io/providers/hashicorp/google/latest/docs/resources/data_catalog_entry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2025-10-09T03:01:19.823Z</dcterms:created>
  <dcterms:modified xsi:type="dcterms:W3CDTF">2025-10-09T03:01:19.823Z</dcterms:modified>
</cp:coreProperties>
</file>