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2A47"/>
          <w:sz w:val="52"/>
          <w:szCs w:val="52"/>
        </w:rPr>
        <w:t xml:space="preserve">TBE Workbench</w:t>
      </w:r>
    </w:p>
    <w:p>
      <w:pPr>
        <w:spacing w:after="40"/>
      </w:pPr>
      <w:r>
        <w:rPr>
          <w:b/>
          <w:bCs/>
          <w:color w:val="C9A227"/>
          <w:sz w:val="32"/>
          <w:szCs w:val="32"/>
        </w:rPr>
        <w:t xml:space="preserve">API Usage &amp; Cost Analysis</w:t>
      </w:r>
    </w:p>
    <w:p>
      <w:pPr>
        <w:spacing w:after="300"/>
      </w:pPr>
      <w:r>
        <w:rPr>
          <w:color w:val="595959"/>
          <w:sz w:val="22"/>
          <w:szCs w:val="22"/>
        </w:rPr>
        <w:t xml:space="preserve">Free Pooled Keys (3) vs. Single Paid API Key — Gemini 3.1 Flash-Lite</w:t>
      </w:r>
    </w:p>
    <w:p>
      <w:pPr>
        <w:pBdr>
          <w:bottom w:val="single" w:color="C9A227" w:sz="6" w:space="1"/>
        </w:pBdr>
        <w:spacing w:after="300"/>
      </w:pPr>
    </w:p>
    <w:p>
      <w:pPr>
        <w:spacing w:after="160"/>
      </w:pPr>
      <w:r>
        <w:rPr>
          <w:color w:val="595959"/>
          <w:sz w:val="20"/>
          <w:szCs w:val="20"/>
        </w:rPr>
        <w:t xml:space="preserve">Prepared for: TBE Workbench project owner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Scope: Analysis of current Gemini API usage, behavior and cost after switching from 3 pooled free-tier keys to a single billed (paid-tier) key.</w:t>
      </w:r>
    </w:p>
    <w:p>
      <w:pPr>
        <w:spacing w:after="160"/>
      </w:pPr>
      <w:r>
        <w:rPr>
          <w:color w:val="595959"/>
          <w:sz w:val="20"/>
          <w:szCs w:val="20"/>
        </w:rPr>
        <w:t xml:space="preserve">Basis: Direct inspection of ai/client.py, ai/verifier.py, ai/extractor.py and .env in the project repository, plus current published Gemini API pricing and rate-limit references.</w:t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/>
      </w:pPr>
      <w:r>
        <w:t xml:space="preserve">The TBE Workbench currently pools 3 free-tier Google AI Studio API keys to work around the free tier's low per-minute/per-day rate limits, as evidenced directly in code comments and retry logic inside ai/verifier.py (references to a "15 RPM burst limit" and multi-key failover on HTTP 429 errors).</w:t>
      </w:r>
    </w:p>
    <w:p>
      <w:pPr>
        <w:spacing w:after="160"/>
      </w:pPr>
      <w:r>
        <w:t xml:space="preserve">Switching to a single billed (paid-tier) Gemini key requires no architecture or code changes beyond trimming .env to one GEMINI_API_KEY entry. The paid tier removes the free-tier rate ceiling almost entirely, improves Google's data-use terms (prompts on billed projects are not used for model training), and costs an estimated $1–$25 per month depending on usage volume — a minor cost relative to the confidentiality and reliability benefit.</w:t>
      </w:r>
    </w:p>
    <w:p>
      <w:pPr>
        <w:pStyle w:val="Heading1"/>
        <w:spacing w:after="160" w:before="360"/>
      </w:pPr>
      <w:r>
        <w:t xml:space="preserve">2. How the Project Uses the Gemini API Today</w:t>
      </w:r>
    </w:p>
    <w:p>
      <w:pPr>
        <w:spacing w:after="160"/>
      </w:pPr>
      <w:r>
        <w:t xml:space="preserve">All LLM calls in the codebase are centralized in ai/client.py, as required by the project's own developer guide ("put every LLM call in one file"). Three call sites consume it: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rPr>
          <w:tblHeader/>
        </w:trPr>
        <w:tc>
          <w:tcPr>
            <w:tcW w:type="dxa" w:w="32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Function</w:t>
            </w:r>
          </w:p>
        </w:tc>
        <w:tc>
          <w:tcPr>
            <w:tcW w:type="dxa" w:w="34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 pattern (from code)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 / bidder OCR (scanned pages)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ai/client.py → extract_text_from_image(s)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Vision call per scanned page, batched 4–5 images per call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Specification extraction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ai/extractor.py → extract_requirements_from_page()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call per specification page (e.g. 7-page spec → 7 calls), run 3 pages in parallel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Bidder verification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ai/verifier.py → verify_requirements_batch_for_bidder()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batched 12 per call; a 24-clause baseline needs ~2 calls per bidder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Why 3 keys exist: get_all_clients() in ai/client.py builds a round-robin pool from every GEMINI_API_KEY* variable found in .env, and both verification functions explicitly catch 429 RESOURCE_EXHAUSTED errors, fail over to the next key, and apply a 1.5-second pacing delay with the in-code comment "Brief pacing delay to stay safely under Gemini 15 RPM per-minute burst limit". This confirms the pooling exists specifically to absorb free-tier rate-limit pressure during batch verification.</w:t>
      </w:r>
    </w:p>
    <w:p>
      <w:pPr>
        <w:pBdr>
          <w:left w:val="single" w:color="C9A227" w:sz="12" w:space="8"/>
        </w:pBdr>
        <w:spacing w:after="160"/>
        <w:ind w:left="200"/>
      </w:pPr>
      <w:r>
        <w:rPr>
          <w:i/>
          <w:iCs/>
          <w:color w:val="595959"/>
          <w:sz w:val="20"/>
          <w:szCs w:val="20"/>
        </w:rPr>
        <w:t xml:space="preserve">Caveat: several independent sources note that multiple API keys created under the same Google Cloud project do not multiply the account's quota — pooling only helps if the 3 keys genuinely belong to separate projects/accounts. This should be confirmed in Google AI Studio before assuming the current 3x pooling provides a real 3x throughput gain.</w:t>
      </w:r>
    </w:p>
    <w:p>
      <w:pPr>
        <w:pStyle w:val="Heading1"/>
        <w:spacing w:after="160" w:before="360"/>
      </w:pPr>
      <w:r>
        <w:t xml:space="preserve">3. What Changes After Switching to 1 Paid Key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00"/>
      </w:tblGrid>
      <w:tr>
        <w:trPr>
          <w:tblHeader/>
        </w:trPr>
        <w:tc>
          <w:tcPr>
            <w:tcW w:type="dxa" w:w="26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Now — 3 free keys</w:t>
            </w:r>
          </w:p>
        </w:tc>
        <w:tc>
          <w:tcPr>
            <w:tcW w:type="dxa" w:w="38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— 1 paid key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changes required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None. Trim .env to a single GEMINI_API_KEY entry; get_all_clients() already handles a pool of any size, including 1.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ceiling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RPM / ~500–1,500 requests per day (free tier, sources vary)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~150,000 requests per day reported for Tier 1 billed accounts — current retry/pacing logic becomes rarely-triggered insurance rather than load-bearing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Processing speed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model; occasional 429-retry delays during bursts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model, same latency; fewer/no retry stalls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Data-use / confidentiality terms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Weaker — free-tier prompts may be used to improve Google's products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Stronger — billed projects are not used for model training per Google's standard terms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Failover resilience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3-way failover across pooled keys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key — no failover, but paid tier is far less likely to hit 429 in the first place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Recommendation: enable billing on one of the three existing keys' projects and keep only that key in .env. If usage later scales up significantly, the other two keys can be billing-enabled and added back with zero additional code changes, since the pooling logic auto-detects however many GEMINI_API_KEY* variables are present.</w:t>
      </w:r>
    </w:p>
    <w:p>
      <w:pPr>
        <w:pStyle w:val="Heading1"/>
        <w:spacing w:after="160" w:before="360"/>
      </w:pPr>
      <w:r>
        <w:t xml:space="preserve">4. Cost Analysis</w:t>
      </w:r>
    </w:p>
    <w:p>
      <w:pPr>
        <w:pStyle w:val="Heading2"/>
        <w:spacing w:after="120" w:before="280"/>
      </w:pPr>
      <w:r>
        <w:t xml:space="preserve">4.1 Published Pricing — Gemini 3.1 Flash-Lite</w:t>
      </w:r>
    </w:p>
    <w:p>
      <w:pPr>
        <w:spacing w:after="160"/>
      </w:pPr>
      <w:r>
        <w:t xml:space="preserve">Cross-referenced across multiple current pricing trackers: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tokens: $0.25 per 1,000,000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 tokens: $1.50 per 1,000,000 tokens</w:t>
      </w:r>
    </w:p>
    <w:p>
      <w:pPr>
        <w:pBdr>
          <w:left w:val="single" w:color="C9A227" w:sz="12" w:space="8"/>
        </w:pBdr>
        <w:spacing w:after="160"/>
        <w:ind w:left="200"/>
      </w:pPr>
      <w:r>
        <w:rPr>
          <w:i/>
          <w:iCs/>
          <w:color w:val="595959"/>
          <w:sz w:val="20"/>
          <w:szCs w:val="20"/>
        </w:rPr>
        <w:t xml:space="preserve">Figures vary slightly by source (e.g. one tracker shows $0.125 / $0.75 as a lower outlier, another $0.313 / $1.875 as a reseller markup). The $0.25 / $1.50 figures are the most consistently repeated across independent pricing pages and are used for this estimate.</w:t>
      </w:r>
    </w:p>
    <w:p>
      <w:pPr>
        <w:pStyle w:val="Heading2"/>
        <w:spacing w:after="120" w:before="280"/>
      </w:pPr>
      <w:r>
        <w:t xml:space="preserve">4.2 Estimated Token Usage per Tender</w:t>
      </w:r>
    </w:p>
    <w:p>
      <w:pPr>
        <w:spacing w:after="160"/>
      </w:pPr>
      <w:r>
        <w:t xml:space="preserve">Based on the call pattern above and the project's actual prompt templates (ai/prompts.py), for a typical tender: ~24 requirements, 3–5 bidders, a ~7-page specification, and ~50–150 pages of bidder documents per bidder.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900"/>
        <w:gridCol w:w="2900"/>
      </w:tblGrid>
      <w:tr>
        <w:trPr>
          <w:tblHeader/>
        </w:trPr>
        <w:tc>
          <w:tcPr>
            <w:tcW w:type="dxa" w:w="36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 type</w:t>
            </w:r>
          </w:p>
        </w:tc>
        <w:tc>
          <w:tcPr>
            <w:tcW w:type="dxa" w:w="26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calls / tender</w:t>
            </w:r>
          </w:p>
        </w:tc>
        <w:tc>
          <w:tcPr>
            <w:tcW w:type="dxa" w:w="29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input tokens / call</w:t>
            </w:r>
          </w:p>
        </w:tc>
        <w:tc>
          <w:tcPr>
            <w:tcW w:type="dxa" w:w="29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output tokens / call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 extraction (7 pages)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~1,500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Bidder verification (batched)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(2 per bidder × 4 bidders)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~4,000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~800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Scanned-page OCR (varies by scan ratio)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~10–30 batched calls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~1,000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~600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Rough total per tender: ~150,000–300,000 input tokens and ~25,000–40,000 output tokens.</w:t>
      </w:r>
    </w:p>
    <w:p>
      <w:pPr>
        <w:pStyle w:val="Heading2"/>
        <w:spacing w:after="120" w:before="280"/>
      </w:pPr>
      <w:r>
        <w:t xml:space="preserve">4.3 Cost per Tender</w:t>
      </w:r>
    </w:p>
    <w:p>
      <w:pPr>
        <w:spacing w:after="160"/>
      </w:pPr>
      <w:r>
        <w:rPr>
          <w:b/>
          <w:bCs/>
        </w:rPr>
        <w:t xml:space="preserve">(0.2M input tokens × $0.25) + (0.035M output tokens × $1.50) ≈ $0.05 + $0.05 ≈ $0.10–$0.20 per complete tender evaluation.</w:t>
      </w:r>
    </w:p>
    <w:p>
      <w:pPr>
        <w:pStyle w:val="Heading2"/>
        <w:spacing w:after="120" w:before="280"/>
      </w:pPr>
      <w:r>
        <w:t xml:space="preserve">4.4 Monthly Cost Projection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3000"/>
      </w:tblGrid>
      <w:tr>
        <w:trPr>
          <w:tblHeader/>
        </w:trPr>
        <w:tc>
          <w:tcPr>
            <w:tcW w:type="dxa" w:w="42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 level</w:t>
            </w:r>
          </w:p>
        </w:tc>
        <w:tc>
          <w:tcPr>
            <w:tcW w:type="dxa" w:w="28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Tenders / month</w:t>
            </w:r>
          </w:p>
        </w:tc>
        <w:tc>
          <w:tcPr>
            <w:tcW w:type="dxa" w:w="30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(pilot / demo phase)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5–10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~$1–$2</w:t>
            </w:r>
          </w:p>
        </w:tc>
      </w:tr>
      <w:tr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20–30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~$3–$6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Heavy / production (incl. 50-bidder benchmark runs)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~$10–$25+</w:t>
            </w:r>
          </w:p>
        </w:tc>
      </w:tr>
    </w:tbl>
    <w:p>
      <w:pPr>
        <w:spacing w:after="200"/>
      </w:pPr>
    </w:p>
    <w:p>
      <w:pPr>
        <w:pBdr>
          <w:left w:val="single" w:color="C9A227" w:sz="12" w:space="8"/>
        </w:pBdr>
        <w:spacing w:after="160"/>
        <w:ind w:left="200"/>
      </w:pPr>
      <w:r>
        <w:rPr>
          <w:i/>
          <w:iCs/>
          <w:color w:val="595959"/>
          <w:sz w:val="20"/>
          <w:szCs w:val="20"/>
        </w:rPr>
        <w:t xml:space="preserve">These are directional estimates built from code structure and prompt sizes, not measured usage. The exact figure can be obtained in under 2 minutes from the Google AI Studio project's Billing / Usage dashboard, which records real historical token consumption even while still on the free tier — that number should be used for any final budget decision in place of this estimate.</w:t>
      </w:r>
    </w:p>
    <w:p>
      <w:pPr>
        <w:pStyle w:val="Heading1"/>
        <w:spacing w:after="160" w:before="360"/>
      </w:pPr>
      <w:r>
        <w:t xml:space="preserve">5.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rPr>
          <w:tblHeader/>
        </w:trPr>
        <w:tc>
          <w:tcPr>
            <w:tcW w:type="dxa" w:w="32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4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Now (3 free keys)</w:t>
            </w:r>
          </w:p>
        </w:tc>
        <w:tc>
          <w:tcPr>
            <w:tcW w:type="dxa" w:w="3400"/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(1 paid key)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changes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(.env trim only)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ceiling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RPM / ~500–1,500 RPD (worked around via pooling)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~150,000 RPD — pooling becomes largely unnecessary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model; occasional 429-retry delays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model; fewer/no retry delays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Data-use / confidentiality terms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Weaker (free tier)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Stronger (billed tier)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Estimated monthly cost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~$1–$25/month depending on volume</w:t>
            </w:r>
          </w:p>
        </w:tc>
      </w:tr>
    </w:tbl>
    <w:p>
      <w:pPr>
        <w:spacing w:after="300"/>
      </w:pPr>
    </w:p>
    <w:p>
      <w:pPr>
        <w:pStyle w:val="Heading1"/>
        <w:spacing w:after="160" w:before="360"/>
      </w:pPr>
      <w:r>
        <w:t xml:space="preserve">6.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billing on one Google Cloud project tied to an existing API key; keep only that key in .env.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actual historical token usage via the AI Studio Billing/Usage dashboard to replace the estimates in Section 4 with real figures before finalizing a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Re-introduce the other 2 keys (billing-enabled) only if usage scales up enough to approach paid-tier rate limits — no code change required either way.</w:t>
      </w:r>
    </w:p>
    <w:p>
      <w:pPr>
        <w:spacing w:before="400"/>
      </w:pPr>
    </w:p>
    <w:p>
      <w:pPr>
        <w:pBdr>
          <w:top w:val="single" w:color="BFBFBF" w:sz="4" w:space="4"/>
        </w:pBdr>
      </w:pPr>
      <w:r>
        <w:rPr>
          <w:i/>
          <w:iCs/>
          <w:color w:val="595959"/>
          <w:sz w:val="18"/>
          <w:szCs w:val="18"/>
        </w:rPr>
        <w:t xml:space="preserve">Prepared from direct source-code inspection of the TBE Workbench repository and current public Gemini API pricing/rate-limit references.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2026-10-29T12:51:23.327Z</dcterms:created>
  <dcterms:modified xsi:type="dcterms:W3CDTF">2026-10-29T12:51:23.328Z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