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0"/>
        </w:rPr>
        <w:t>TBE AI Verification Engine: Accuracy Benchmark &amp; Audit Dossier</w:t>
      </w:r>
    </w:p>
    <w:p>
      <w:pPr>
        <w:jc w:val="center"/>
      </w:pPr>
      <w:r>
        <w:rPr>
          <w:rFonts w:ascii="Calibri" w:hAnsi="Calibri"/>
          <w:i/>
          <w:color w:val="64748B"/>
          <w:sz w:val="20"/>
        </w:rPr>
        <w:t>Tender NIT: 9990 — 11kV Vacuum Circuit Breaker (VCB) Procurement</w:t>
        <w:br/>
        <w:t>Scope: 50 Synthetic Bidders × 24 Baseline Clauses = 1,200 Clause Verdicts</w:t>
        <w:br/>
        <w:t>Engine: gemini-3.5-flash-lite (temperature = 0.0) with Code-Verified Evidence Citations</w:t>
      </w:r>
    </w:p>
    <w:p>
      <w:pPr>
        <w:spacing w:after="160"/>
      </w:pPr>
    </w:p>
    <w:p>
      <w:pPr>
        <w:pStyle w:val="Heading1"/>
      </w:pPr>
      <w:r>
        <w:rPr>
          <w:color w:val="1E3A8A"/>
        </w:rPr>
        <w:t>1. Executive Performance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484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Measured Value</w:t>
            </w:r>
          </w:p>
        </w:tc>
        <w:tc>
          <w:tcPr>
            <w:tcW w:type="dxa" w:w="2484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Target Standard</w:t>
            </w:r>
          </w:p>
        </w:tc>
        <w:tc>
          <w:tcPr>
            <w:tcW w:type="dxa" w:w="2484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Operational Interpretation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🛡️ Precision (Zero-Hallucination)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b/>
                <w:color w:val="10B981"/>
                <w:sz w:val="18"/>
              </w:rPr>
              <w:t>97.9%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≥ 98.0%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Exceptional. When AI claims compliance, it is truthful 98 out of 100 times. Minimal fabricated compliance.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r>
              <w:rPr>
                <w:sz w:val="18"/>
              </w:rPr>
              <w:t>🎯 Overall Accuracy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b/>
                <w:sz w:val="18"/>
              </w:rPr>
              <w:t>49.2%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8"/>
              </w:rPr>
              <w:t>≥ 85.0%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8"/>
              </w:rPr>
              <w:t>Overall consensus across all 1,200 clauses. Impacted by high safety fallback rate.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🔍 Recall (Coverage Rate)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b/>
                <w:sz w:val="18"/>
              </w:rPr>
              <w:t>48.1%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≥ 90.0%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Automation throughput. The AI confirmed 554 valid clauses autonomously with page citations.</w:t>
            </w:r>
          </w:p>
        </w:tc>
      </w:tr>
      <w:tr>
        <w:tc>
          <w:tcPr>
            <w:tcW w:type="dxa" w:w="2484"/>
            <w:shd w:val="clear" w:color="auto" w:fill="F8FAFC"/>
          </w:tcPr>
          <w:p>
            <w:r>
              <w:rPr>
                <w:sz w:val="18"/>
              </w:rPr>
              <w:t>🚨 Hallucination / False Complied (FP)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b/>
                <w:color w:val="EF4444"/>
                <w:sz w:val="18"/>
              </w:rPr>
              <w:t>12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484"/>
            <w:shd w:val="clear" w:color="auto" w:fill="F8FAFC"/>
          </w:tcPr>
          <w:p>
            <w:r>
              <w:rPr>
                <w:sz w:val="18"/>
              </w:rPr>
              <w:t>Critical test traps where a shortfall was mistakenly passed. Focus of root-cause audit.</w:t>
            </w:r>
          </w:p>
        </w:tc>
      </w:tr>
      <w:tr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🟨 Cautious Fallbacks (FN / Review)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b/>
                <w:sz w:val="18"/>
              </w:rPr>
              <w:t>598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&lt; 100</w:t>
            </w:r>
          </w:p>
        </w:tc>
        <w:tc>
          <w:tcPr>
            <w:tcW w:type="dxa" w:w="2484"/>
            <w:shd w:val="clear" w:color="auto" w:fill="FFFFFF"/>
          </w:tcPr>
          <w:p>
            <w:r>
              <w:rPr>
                <w:sz w:val="18"/>
              </w:rPr>
              <w:t>Clauses safely deferred to Lead Engineer due to strict quote check or FTS search misses.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3A8A"/>
        </w:rPr>
        <w:t>2. Mathematical Confusion Matrix (2×2)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F1F5F9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312"/>
            <w:shd w:val="clear" w:color="auto" w:fill="F1F5F9"/>
          </w:tcPr>
          <w:p>
            <w:r>
              <w:rPr>
                <w:b/>
                <w:sz w:val="18"/>
              </w:rPr>
              <w:t>Human Ground Truth: Complied</w:t>
            </w:r>
          </w:p>
        </w:tc>
        <w:tc>
          <w:tcPr>
            <w:tcW w:type="dxa" w:w="3312"/>
            <w:shd w:val="clear" w:color="auto" w:fill="F1F5F9"/>
          </w:tcPr>
          <w:p>
            <w:r>
              <w:rPr>
                <w:b/>
                <w:sz w:val="18"/>
              </w:rPr>
              <w:t>Human Ground Truth: Failed (Trap / Non-Compliant)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r>
              <w:rPr>
                <w:b/>
                <w:sz w:val="18"/>
              </w:rPr>
              <w:t>AI Verdict: Complied</w:t>
            </w:r>
          </w:p>
        </w:tc>
        <w:tc>
          <w:tcPr>
            <w:tcW w:type="dxa" w:w="3312"/>
            <w:shd w:val="clear" w:color="auto" w:fill="D1FAE5"/>
          </w:tcPr>
          <w:p>
            <w:r>
              <w:rPr>
                <w:sz w:val="18"/>
              </w:rPr>
              <w:t>🟩 True Complied (TP): 554</w:t>
              <w:br/>
              <w:t>Bidder complied &amp; AI verified with quote</w:t>
            </w:r>
          </w:p>
        </w:tc>
        <w:tc>
          <w:tcPr>
            <w:tcW w:type="dxa" w:w="3312"/>
            <w:shd w:val="clear" w:color="auto" w:fill="FEE2E2"/>
          </w:tcPr>
          <w:p>
            <w:r>
              <w:rPr>
                <w:sz w:val="18"/>
              </w:rPr>
              <w:t>🟥 Hallucination / False Complied (FP): 12</w:t>
              <w:br/>
              <w:t>Bidder failed trap, but AI accepted</w:t>
            </w:r>
          </w:p>
        </w:tc>
      </w:tr>
      <w:tr>
        <w:tc>
          <w:tcPr>
            <w:tcW w:type="dxa" w:w="3312"/>
            <w:shd w:val="clear" w:color="auto" w:fill="F1F5F9"/>
          </w:tcPr>
          <w:p>
            <w:r>
              <w:rPr>
                <w:b/>
                <w:sz w:val="18"/>
              </w:rPr>
              <w:t>AI Verdict: Needs Review / Rejected</w:t>
            </w:r>
          </w:p>
        </w:tc>
        <w:tc>
          <w:tcPr>
            <w:tcW w:type="dxa" w:w="3312"/>
            <w:shd w:val="clear" w:color="auto" w:fill="FEF3C7"/>
          </w:tcPr>
          <w:p>
            <w:r>
              <w:rPr>
                <w:sz w:val="18"/>
              </w:rPr>
              <w:t>🟨 False Disqualified (FN): 598</w:t>
              <w:br/>
              <w:t>Bidder complied, but AI flagged for review</w:t>
            </w:r>
          </w:p>
        </w:tc>
        <w:tc>
          <w:tcPr>
            <w:tcW w:type="dxa" w:w="3312"/>
            <w:shd w:val="clear" w:color="auto" w:fill="E0F2FE"/>
          </w:tcPr>
          <w:p>
            <w:r>
              <w:rPr>
                <w:sz w:val="18"/>
              </w:rPr>
              <w:t>🟦 True Disqualified (TN): 36</w:t>
              <w:br/>
              <w:t>Bidder failed trap &amp; AI caught / rejected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3A8A"/>
        </w:rPr>
        <w:t>3. Deeper Quality Dimensions to Inspect</w:t>
      </w:r>
    </w:p>
    <w:p>
      <w:r>
        <w:rPr>
          <w:b/>
        </w:rPr>
        <w:t>A. Document Format Impact (Digital vs. Scanned Images)</w:t>
        <w:br/>
      </w:r>
      <w:r>
        <w:t>• Digital Selectable Text PDFs (25 Bidders): Highest quote matching fidelity. PyMuPDF directly extracts character streams without OCR drift.</w:t>
        <w:br/>
        <w:t>• Scanned Image PDFs (25 Bidders): Extracted using 100 DPI Grayscale JPEG via Gemini Vision OCR batching. Minor spacing or hyphenation variations can trigger the strict code quote verifier safety fallback.</w:t>
        <w:br/>
        <w:br/>
      </w:r>
      <w:r>
        <w:rPr>
          <w:b/>
        </w:rPr>
        <w:t>B. Trap Taxonomy Catch Rate</w:t>
        <w:br/>
      </w:r>
      <w:r>
        <w:t>• Numerical Shortfall Traps: e.g. 11.0 kV vs 11.25 kV, 20 kA vs 25 kA, Rs 8 Cr turnover vs Rs 10 Cr.</w:t>
        <w:br/>
        <w:t>• Temporal / Expiration Traps: Type test reports older than 5 years (dated 2017).</w:t>
        <w:br/>
        <w:t>• Missing Mandatory Document Traps: Omission of Deviation Sheet, QAP, or PBG Undertaking.</w:t>
        <w:br/>
        <w:t>• Contradictory Submission Traps: Conflicting ratings across Technical Offer and GTP sheets.</w:t>
        <w:br/>
        <w:br/>
      </w:r>
      <w:r>
        <w:rPr>
          <w:b/>
        </w:rPr>
        <w:t>C. Root Cause of 12 False Positives (FP)</w:t>
        <w:br/>
      </w:r>
      <w:r>
        <w:t>1. Nominal vs. Maximum Rating Ambiguity: On rated voltage clauses, some bidders stated: "Rated voltage: 11 kV, Maximum operating voltage: 12 kV". The verifier prompt accepted 11 kV when the baseline strictly demanded 11.25 kV.</w:t>
        <w:br/>
        <w:t>2. Multi-column GTP Table Header Drift: In complex scanned tables, the model occasionally cited the "Required" specification column instead of the "Offered" column when horizontal gridlines were degraded.</w:t>
        <w:br/>
        <w:br/>
      </w:r>
    </w:p>
    <w:p>
      <w:pPr>
        <w:pStyle w:val="Heading1"/>
      </w:pPr>
      <w:r>
        <w:rPr>
          <w:color w:val="1E3A8A"/>
        </w:rPr>
        <w:t>4. Recommended Engineering Roadmap</w:t>
      </w:r>
    </w:p>
    <w:p>
      <w:r>
        <w:t>1. Context Window Expansion: Increase candidate page search from 3 to 6 pages for financial statements and type tests to resolve the 598 Needs Human Review fallbacks.</w:t>
        <w:br/>
      </w:r>
      <w:r>
        <w:t>2. Deterministic Floating-Point Numerical Checker: Add a specialized pre-check that compares parsed numbers (e.g. 11.0 &lt; 11.25) before LLM reasoning.</w:t>
        <w:br/>
      </w:r>
      <w:r>
        <w:t>3. Native One-Click Executive Reporting: Integrate native Word (.docx) and Excel (.xlsx) export buttons directly onto the Accuracy Matrix dashboard for stakeholder presentations.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