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4C0E8" w14:textId="77777777" w:rsidR="00FF2FFE" w:rsidRDefault="00000000">
      <w:pPr>
        <w:spacing w:after="40"/>
      </w:pPr>
      <w:r>
        <w:rPr>
          <w:rFonts w:ascii="Arial" w:hAnsi="Arial"/>
          <w:b/>
          <w:color w:val="1B365D"/>
          <w:sz w:val="44"/>
        </w:rPr>
        <w:t>Demographic Transition &amp; Policy Analytics:</w:t>
      </w:r>
      <w:r>
        <w:rPr>
          <w:rFonts w:ascii="Arial" w:hAnsi="Arial"/>
          <w:b/>
          <w:color w:val="1B365D"/>
          <w:sz w:val="44"/>
        </w:rPr>
        <w:br/>
        <w:t>A Comprehensive Indian Population Study</w:t>
      </w:r>
    </w:p>
    <w:p w14:paraId="0E780DC5" w14:textId="1015E6C4" w:rsidR="00FF2FFE" w:rsidRDefault="00000000" w:rsidP="005B56A8">
      <w:pPr>
        <w:spacing w:after="360"/>
      </w:pPr>
      <w:r>
        <w:rPr>
          <w:rFonts w:ascii="Arial" w:hAnsi="Arial"/>
          <w:i/>
          <w:color w:val="787878"/>
        </w:rPr>
        <w:t>Project Research Report | Prepared for Demographic &amp; Policy Planning Analysis</w:t>
      </w:r>
    </w:p>
    <w:p w14:paraId="2EB4E78E" w14:textId="77777777" w:rsidR="00FF2FFE" w:rsidRDefault="00000000">
      <w:pPr>
        <w:keepNext/>
        <w:spacing w:before="320" w:after="120"/>
      </w:pPr>
      <w:r>
        <w:rPr>
          <w:rFonts w:ascii="Arial" w:hAnsi="Arial"/>
          <w:b/>
          <w:color w:val="1B365D"/>
          <w:sz w:val="32"/>
        </w:rPr>
        <w:t>1. Executive Summary</w:t>
      </w:r>
    </w:p>
    <w:p w14:paraId="6D23F3C5" w14:textId="77777777" w:rsidR="00FF2FFE" w:rsidRDefault="00000000">
      <w:pPr>
        <w:spacing w:after="120"/>
      </w:pPr>
      <w:r>
        <w:rPr>
          <w:rFonts w:ascii="Arial" w:hAnsi="Arial"/>
          <w:color w:val="222222"/>
          <w:sz w:val="21"/>
        </w:rPr>
        <w:t>India stands at a pivotal junction in its demographic trajectory. Having officially overtaken China to become the world's most populous nation with approximately 1.44 billion citizens, India accounts for nearly 17.8% of the global population residing on just 2.4% of the world's land surface. However, aggregate population counts mask a sophisticated demographic transition marked by rapidly declining total fertility rates (TFR), expanding working-age population shares, and significant North-South regional divergences.</w:t>
      </w:r>
    </w:p>
    <w:tbl>
      <w:tblPr>
        <w:tblW w:w="0" w:type="auto"/>
        <w:jc w:val="center"/>
        <w:tblLook w:val="04A0" w:firstRow="1" w:lastRow="0" w:firstColumn="1" w:lastColumn="0" w:noHBand="0" w:noVBand="1"/>
      </w:tblPr>
      <w:tblGrid>
        <w:gridCol w:w="9315"/>
      </w:tblGrid>
      <w:tr w:rsidR="00FF2FFE" w14:paraId="5223B180" w14:textId="77777777">
        <w:trPr>
          <w:jc w:val="center"/>
        </w:trPr>
        <w:tc>
          <w:tcPr>
            <w:tcW w:w="9360" w:type="dxa"/>
            <w:tcBorders>
              <w:left w:val="single" w:sz="36" w:space="0" w:color="1B365D"/>
            </w:tcBorders>
            <w:shd w:val="clear" w:color="auto" w:fill="F4F6F9"/>
            <w:tcMar>
              <w:top w:w="140" w:type="dxa"/>
              <w:left w:w="200" w:type="dxa"/>
              <w:bottom w:w="140" w:type="dxa"/>
              <w:right w:w="200" w:type="dxa"/>
            </w:tcMar>
          </w:tcPr>
          <w:p w14:paraId="174BCDD2" w14:textId="77777777" w:rsidR="00FF2FFE" w:rsidRDefault="00000000">
            <w:pPr>
              <w:spacing w:after="40"/>
            </w:pPr>
            <w:r>
              <w:rPr>
                <w:rFonts w:ascii="Arial" w:hAnsi="Arial"/>
                <w:b/>
                <w:color w:val="1B365D"/>
                <w:sz w:val="20"/>
              </w:rPr>
              <w:t>■ EXECUTIVE TAKEAWAY</w:t>
            </w:r>
            <w:r>
              <w:rPr>
                <w:rFonts w:ascii="Arial" w:hAnsi="Arial"/>
                <w:b/>
                <w:color w:val="1B365D"/>
                <w:sz w:val="20"/>
              </w:rPr>
              <w:br/>
            </w:r>
            <w:r>
              <w:rPr>
                <w:rFonts w:ascii="Arial" w:hAnsi="Arial"/>
                <w:i/>
                <w:color w:val="323232"/>
                <w:sz w:val="20"/>
              </w:rPr>
              <w:t>India's Total Fertility Rate (TFR) has dropped to 1.9 nationally—below the replacement threshold of 2.1. Growth is now fueled entirely by demographic momentum rather than high reproduction, creating a finite 20-year window to leverage the demographic dividend.</w:t>
            </w:r>
          </w:p>
        </w:tc>
      </w:tr>
    </w:tbl>
    <w:p w14:paraId="2173F02E" w14:textId="77777777" w:rsidR="00FF2FFE" w:rsidRDefault="00000000">
      <w:pPr>
        <w:keepNext/>
        <w:spacing w:before="320" w:after="120"/>
      </w:pPr>
      <w:r>
        <w:rPr>
          <w:rFonts w:ascii="Arial" w:hAnsi="Arial"/>
          <w:b/>
          <w:color w:val="1B365D"/>
          <w:sz w:val="32"/>
        </w:rPr>
        <w:t>2. Core Macro Demographic Metrics</w:t>
      </w:r>
    </w:p>
    <w:p w14:paraId="77D1D5E5" w14:textId="77777777" w:rsidR="00FF2FFE" w:rsidRDefault="00000000">
      <w:pPr>
        <w:spacing w:after="120"/>
      </w:pPr>
      <w:r>
        <w:rPr>
          <w:rFonts w:ascii="Arial" w:hAnsi="Arial"/>
          <w:color w:val="222222"/>
          <w:sz w:val="21"/>
        </w:rPr>
        <w:t>The table below summarizes key structural indicators derived from recent Census estimates, National Family Health Surveys (NFHS-5), and UN Population Division data:</w:t>
      </w:r>
    </w:p>
    <w:tbl>
      <w:tblPr>
        <w:tblW w:w="0" w:type="auto"/>
        <w:jc w:val="center"/>
        <w:tblLook w:val="04A0" w:firstRow="1" w:lastRow="0" w:firstColumn="1" w:lastColumn="0" w:noHBand="0" w:noVBand="1"/>
      </w:tblPr>
      <w:tblGrid>
        <w:gridCol w:w="2592"/>
        <w:gridCol w:w="1728"/>
        <w:gridCol w:w="5040"/>
      </w:tblGrid>
      <w:tr w:rsidR="00FF2FFE" w14:paraId="23646C4E" w14:textId="77777777">
        <w:trPr>
          <w:jc w:val="center"/>
        </w:trPr>
        <w:tc>
          <w:tcPr>
            <w:tcW w:w="2592" w:type="dxa"/>
            <w:shd w:val="clear" w:color="auto" w:fill="1B365D"/>
            <w:tcMar>
              <w:top w:w="120" w:type="dxa"/>
              <w:left w:w="120" w:type="dxa"/>
              <w:bottom w:w="120" w:type="dxa"/>
              <w:right w:w="120" w:type="dxa"/>
            </w:tcMar>
          </w:tcPr>
          <w:p w14:paraId="4807B371" w14:textId="77777777" w:rsidR="00FF2FFE" w:rsidRDefault="00000000">
            <w:r>
              <w:rPr>
                <w:rFonts w:ascii="Arial" w:hAnsi="Arial"/>
                <w:b/>
                <w:color w:val="FFFFFF"/>
                <w:sz w:val="19"/>
              </w:rPr>
              <w:t>Demographic Metric</w:t>
            </w:r>
          </w:p>
        </w:tc>
        <w:tc>
          <w:tcPr>
            <w:tcW w:w="1728" w:type="dxa"/>
            <w:shd w:val="clear" w:color="auto" w:fill="1B365D"/>
            <w:tcMar>
              <w:top w:w="120" w:type="dxa"/>
              <w:left w:w="120" w:type="dxa"/>
              <w:bottom w:w="120" w:type="dxa"/>
              <w:right w:w="120" w:type="dxa"/>
            </w:tcMar>
          </w:tcPr>
          <w:p w14:paraId="6A7BDCA0" w14:textId="77777777" w:rsidR="00FF2FFE" w:rsidRDefault="00000000">
            <w:r>
              <w:rPr>
                <w:rFonts w:ascii="Arial" w:hAnsi="Arial"/>
                <w:b/>
                <w:color w:val="FFFFFF"/>
                <w:sz w:val="19"/>
              </w:rPr>
              <w:t>National Value</w:t>
            </w:r>
          </w:p>
        </w:tc>
        <w:tc>
          <w:tcPr>
            <w:tcW w:w="5040" w:type="dxa"/>
            <w:shd w:val="clear" w:color="auto" w:fill="1B365D"/>
            <w:tcMar>
              <w:top w:w="120" w:type="dxa"/>
              <w:left w:w="120" w:type="dxa"/>
              <w:bottom w:w="120" w:type="dxa"/>
              <w:right w:w="120" w:type="dxa"/>
            </w:tcMar>
          </w:tcPr>
          <w:p w14:paraId="2CCBD984" w14:textId="77777777" w:rsidR="00FF2FFE" w:rsidRDefault="00000000">
            <w:r>
              <w:rPr>
                <w:rFonts w:ascii="Arial" w:hAnsi="Arial"/>
                <w:b/>
                <w:color w:val="FFFFFF"/>
                <w:sz w:val="19"/>
              </w:rPr>
              <w:t>Analytical &amp; Policy Context</w:t>
            </w:r>
          </w:p>
        </w:tc>
      </w:tr>
      <w:tr w:rsidR="00FF2FFE" w14:paraId="180F2FC6" w14:textId="77777777">
        <w:trPr>
          <w:jc w:val="center"/>
        </w:trPr>
        <w:tc>
          <w:tcPr>
            <w:tcW w:w="2592" w:type="dxa"/>
            <w:shd w:val="clear" w:color="auto" w:fill="FFFFFF"/>
            <w:tcMar>
              <w:top w:w="100" w:type="dxa"/>
              <w:left w:w="120" w:type="dxa"/>
              <w:bottom w:w="100" w:type="dxa"/>
              <w:right w:w="120" w:type="dxa"/>
            </w:tcMar>
          </w:tcPr>
          <w:p w14:paraId="5E9BAD86" w14:textId="77777777" w:rsidR="00FF2FFE" w:rsidRDefault="00000000">
            <w:r>
              <w:rPr>
                <w:rFonts w:ascii="Arial" w:hAnsi="Arial"/>
                <w:color w:val="222222"/>
                <w:sz w:val="18"/>
              </w:rPr>
              <w:t>Total Population</w:t>
            </w:r>
          </w:p>
        </w:tc>
        <w:tc>
          <w:tcPr>
            <w:tcW w:w="1728" w:type="dxa"/>
            <w:shd w:val="clear" w:color="auto" w:fill="FFFFFF"/>
            <w:tcMar>
              <w:top w:w="100" w:type="dxa"/>
              <w:left w:w="120" w:type="dxa"/>
              <w:bottom w:w="100" w:type="dxa"/>
              <w:right w:w="120" w:type="dxa"/>
            </w:tcMar>
          </w:tcPr>
          <w:p w14:paraId="155CC892" w14:textId="77777777" w:rsidR="00FF2FFE" w:rsidRDefault="00000000">
            <w:r>
              <w:rPr>
                <w:rFonts w:ascii="Arial" w:hAnsi="Arial"/>
                <w:color w:val="222222"/>
                <w:sz w:val="18"/>
              </w:rPr>
              <w:t>~1.44 Billion</w:t>
            </w:r>
          </w:p>
        </w:tc>
        <w:tc>
          <w:tcPr>
            <w:tcW w:w="5040" w:type="dxa"/>
            <w:shd w:val="clear" w:color="auto" w:fill="FFFFFF"/>
            <w:tcMar>
              <w:top w:w="100" w:type="dxa"/>
              <w:left w:w="120" w:type="dxa"/>
              <w:bottom w:w="100" w:type="dxa"/>
              <w:right w:w="120" w:type="dxa"/>
            </w:tcMar>
          </w:tcPr>
          <w:p w14:paraId="2387492E" w14:textId="77777777" w:rsidR="00FF2FFE" w:rsidRDefault="00000000">
            <w:r>
              <w:rPr>
                <w:rFonts w:ascii="Arial" w:hAnsi="Arial"/>
                <w:color w:val="222222"/>
                <w:sz w:val="18"/>
              </w:rPr>
              <w:t>World's highest; projected peak at ~1.70B in 2062.</w:t>
            </w:r>
          </w:p>
        </w:tc>
      </w:tr>
      <w:tr w:rsidR="00FF2FFE" w14:paraId="033A1666" w14:textId="77777777">
        <w:trPr>
          <w:jc w:val="center"/>
        </w:trPr>
        <w:tc>
          <w:tcPr>
            <w:tcW w:w="2592" w:type="dxa"/>
            <w:shd w:val="clear" w:color="auto" w:fill="F4F6F9"/>
            <w:tcMar>
              <w:top w:w="100" w:type="dxa"/>
              <w:left w:w="120" w:type="dxa"/>
              <w:bottom w:w="100" w:type="dxa"/>
              <w:right w:w="120" w:type="dxa"/>
            </w:tcMar>
          </w:tcPr>
          <w:p w14:paraId="19A86C0A" w14:textId="77777777" w:rsidR="00FF2FFE" w:rsidRDefault="00000000">
            <w:r>
              <w:rPr>
                <w:rFonts w:ascii="Arial" w:hAnsi="Arial"/>
                <w:color w:val="222222"/>
                <w:sz w:val="18"/>
              </w:rPr>
              <w:t>Annual Growth Rate</w:t>
            </w:r>
          </w:p>
        </w:tc>
        <w:tc>
          <w:tcPr>
            <w:tcW w:w="1728" w:type="dxa"/>
            <w:shd w:val="clear" w:color="auto" w:fill="F4F6F9"/>
            <w:tcMar>
              <w:top w:w="100" w:type="dxa"/>
              <w:left w:w="120" w:type="dxa"/>
              <w:bottom w:w="100" w:type="dxa"/>
              <w:right w:w="120" w:type="dxa"/>
            </w:tcMar>
          </w:tcPr>
          <w:p w14:paraId="6D457C71" w14:textId="77777777" w:rsidR="00FF2FFE" w:rsidRDefault="00000000">
            <w:r>
              <w:rPr>
                <w:rFonts w:ascii="Arial" w:hAnsi="Arial"/>
                <w:color w:val="222222"/>
                <w:sz w:val="18"/>
              </w:rPr>
              <w:t>0.86%</w:t>
            </w:r>
          </w:p>
        </w:tc>
        <w:tc>
          <w:tcPr>
            <w:tcW w:w="5040" w:type="dxa"/>
            <w:shd w:val="clear" w:color="auto" w:fill="F4F6F9"/>
            <w:tcMar>
              <w:top w:w="100" w:type="dxa"/>
              <w:left w:w="120" w:type="dxa"/>
              <w:bottom w:w="100" w:type="dxa"/>
              <w:right w:w="120" w:type="dxa"/>
            </w:tcMar>
          </w:tcPr>
          <w:p w14:paraId="1DC3FFD3" w14:textId="77777777" w:rsidR="00FF2FFE" w:rsidRDefault="00000000">
            <w:r>
              <w:rPr>
                <w:rFonts w:ascii="Arial" w:hAnsi="Arial"/>
                <w:color w:val="222222"/>
                <w:sz w:val="18"/>
              </w:rPr>
              <w:t>Decelerated from historical high of 2.41% in 1961.</w:t>
            </w:r>
          </w:p>
        </w:tc>
      </w:tr>
      <w:tr w:rsidR="00FF2FFE" w14:paraId="634DB5D8" w14:textId="77777777">
        <w:trPr>
          <w:jc w:val="center"/>
        </w:trPr>
        <w:tc>
          <w:tcPr>
            <w:tcW w:w="2592" w:type="dxa"/>
            <w:shd w:val="clear" w:color="auto" w:fill="FFFFFF"/>
            <w:tcMar>
              <w:top w:w="100" w:type="dxa"/>
              <w:left w:w="120" w:type="dxa"/>
              <w:bottom w:w="100" w:type="dxa"/>
              <w:right w:w="120" w:type="dxa"/>
            </w:tcMar>
          </w:tcPr>
          <w:p w14:paraId="667A0B3D" w14:textId="77777777" w:rsidR="00FF2FFE" w:rsidRDefault="00000000">
            <w:r>
              <w:rPr>
                <w:rFonts w:ascii="Arial" w:hAnsi="Arial"/>
                <w:color w:val="222222"/>
                <w:sz w:val="18"/>
              </w:rPr>
              <w:t>Total Fertility Rate (TFR)</w:t>
            </w:r>
          </w:p>
        </w:tc>
        <w:tc>
          <w:tcPr>
            <w:tcW w:w="1728" w:type="dxa"/>
            <w:shd w:val="clear" w:color="auto" w:fill="FFFFFF"/>
            <w:tcMar>
              <w:top w:w="100" w:type="dxa"/>
              <w:left w:w="120" w:type="dxa"/>
              <w:bottom w:w="100" w:type="dxa"/>
              <w:right w:w="120" w:type="dxa"/>
            </w:tcMar>
          </w:tcPr>
          <w:p w14:paraId="730E083D" w14:textId="77777777" w:rsidR="00FF2FFE" w:rsidRDefault="00000000">
            <w:r>
              <w:rPr>
                <w:rFonts w:ascii="Arial" w:hAnsi="Arial"/>
                <w:color w:val="222222"/>
                <w:sz w:val="18"/>
              </w:rPr>
              <w:t>1.90</w:t>
            </w:r>
          </w:p>
        </w:tc>
        <w:tc>
          <w:tcPr>
            <w:tcW w:w="5040" w:type="dxa"/>
            <w:shd w:val="clear" w:color="auto" w:fill="FFFFFF"/>
            <w:tcMar>
              <w:top w:w="100" w:type="dxa"/>
              <w:left w:w="120" w:type="dxa"/>
              <w:bottom w:w="100" w:type="dxa"/>
              <w:right w:w="120" w:type="dxa"/>
            </w:tcMar>
          </w:tcPr>
          <w:p w14:paraId="7C5EFE46" w14:textId="77777777" w:rsidR="00FF2FFE" w:rsidRDefault="00000000">
            <w:r>
              <w:rPr>
                <w:rFonts w:ascii="Arial" w:hAnsi="Arial"/>
                <w:color w:val="222222"/>
                <w:sz w:val="18"/>
              </w:rPr>
              <w:t>Below replacement level (2.1); sub-replacement across 28 states/UTs.</w:t>
            </w:r>
          </w:p>
        </w:tc>
      </w:tr>
      <w:tr w:rsidR="00FF2FFE" w14:paraId="3178B844" w14:textId="77777777">
        <w:trPr>
          <w:jc w:val="center"/>
        </w:trPr>
        <w:tc>
          <w:tcPr>
            <w:tcW w:w="2592" w:type="dxa"/>
            <w:shd w:val="clear" w:color="auto" w:fill="F4F6F9"/>
            <w:tcMar>
              <w:top w:w="100" w:type="dxa"/>
              <w:left w:w="120" w:type="dxa"/>
              <w:bottom w:w="100" w:type="dxa"/>
              <w:right w:w="120" w:type="dxa"/>
            </w:tcMar>
          </w:tcPr>
          <w:p w14:paraId="37460765" w14:textId="77777777" w:rsidR="00FF2FFE" w:rsidRDefault="00000000">
            <w:r>
              <w:rPr>
                <w:rFonts w:ascii="Arial" w:hAnsi="Arial"/>
                <w:color w:val="222222"/>
                <w:sz w:val="18"/>
              </w:rPr>
              <w:t>Median Age</w:t>
            </w:r>
          </w:p>
        </w:tc>
        <w:tc>
          <w:tcPr>
            <w:tcW w:w="1728" w:type="dxa"/>
            <w:shd w:val="clear" w:color="auto" w:fill="F4F6F9"/>
            <w:tcMar>
              <w:top w:w="100" w:type="dxa"/>
              <w:left w:w="120" w:type="dxa"/>
              <w:bottom w:w="100" w:type="dxa"/>
              <w:right w:w="120" w:type="dxa"/>
            </w:tcMar>
          </w:tcPr>
          <w:p w14:paraId="14968510" w14:textId="77777777" w:rsidR="00FF2FFE" w:rsidRDefault="00000000">
            <w:r>
              <w:rPr>
                <w:rFonts w:ascii="Arial" w:hAnsi="Arial"/>
                <w:color w:val="222222"/>
                <w:sz w:val="18"/>
              </w:rPr>
              <w:t>28.7 Years</w:t>
            </w:r>
          </w:p>
        </w:tc>
        <w:tc>
          <w:tcPr>
            <w:tcW w:w="5040" w:type="dxa"/>
            <w:shd w:val="clear" w:color="auto" w:fill="F4F6F9"/>
            <w:tcMar>
              <w:top w:w="100" w:type="dxa"/>
              <w:left w:w="120" w:type="dxa"/>
              <w:bottom w:w="100" w:type="dxa"/>
              <w:right w:w="120" w:type="dxa"/>
            </w:tcMar>
          </w:tcPr>
          <w:p w14:paraId="6D7B6258" w14:textId="77777777" w:rsidR="00FF2FFE" w:rsidRDefault="00000000">
            <w:r>
              <w:rPr>
                <w:rFonts w:ascii="Arial" w:hAnsi="Arial"/>
                <w:color w:val="222222"/>
                <w:sz w:val="18"/>
              </w:rPr>
              <w:t>Young labor force relative to China (39.0) and US (38.5).</w:t>
            </w:r>
          </w:p>
        </w:tc>
      </w:tr>
      <w:tr w:rsidR="00FF2FFE" w14:paraId="68A5BF2B" w14:textId="77777777">
        <w:trPr>
          <w:jc w:val="center"/>
        </w:trPr>
        <w:tc>
          <w:tcPr>
            <w:tcW w:w="2592" w:type="dxa"/>
            <w:shd w:val="clear" w:color="auto" w:fill="FFFFFF"/>
            <w:tcMar>
              <w:top w:w="100" w:type="dxa"/>
              <w:left w:w="120" w:type="dxa"/>
              <w:bottom w:w="100" w:type="dxa"/>
              <w:right w:w="120" w:type="dxa"/>
            </w:tcMar>
          </w:tcPr>
          <w:p w14:paraId="7F41CA90" w14:textId="77777777" w:rsidR="00FF2FFE" w:rsidRDefault="00000000">
            <w:r>
              <w:rPr>
                <w:rFonts w:ascii="Arial" w:hAnsi="Arial"/>
                <w:color w:val="222222"/>
                <w:sz w:val="18"/>
              </w:rPr>
              <w:t>Working-Age Share (15–64)</w:t>
            </w:r>
          </w:p>
        </w:tc>
        <w:tc>
          <w:tcPr>
            <w:tcW w:w="1728" w:type="dxa"/>
            <w:shd w:val="clear" w:color="auto" w:fill="FFFFFF"/>
            <w:tcMar>
              <w:top w:w="100" w:type="dxa"/>
              <w:left w:w="120" w:type="dxa"/>
              <w:bottom w:w="100" w:type="dxa"/>
              <w:right w:w="120" w:type="dxa"/>
            </w:tcMar>
          </w:tcPr>
          <w:p w14:paraId="1A04E98E" w14:textId="77777777" w:rsidR="00FF2FFE" w:rsidRDefault="00000000">
            <w:r>
              <w:rPr>
                <w:rFonts w:ascii="Arial" w:hAnsi="Arial"/>
                <w:color w:val="222222"/>
                <w:sz w:val="18"/>
              </w:rPr>
              <w:t>68.2%</w:t>
            </w:r>
          </w:p>
        </w:tc>
        <w:tc>
          <w:tcPr>
            <w:tcW w:w="5040" w:type="dxa"/>
            <w:shd w:val="clear" w:color="auto" w:fill="FFFFFF"/>
            <w:tcMar>
              <w:top w:w="100" w:type="dxa"/>
              <w:left w:w="120" w:type="dxa"/>
              <w:bottom w:w="100" w:type="dxa"/>
              <w:right w:w="120" w:type="dxa"/>
            </w:tcMar>
          </w:tcPr>
          <w:p w14:paraId="4980AE26" w14:textId="77777777" w:rsidR="00FF2FFE" w:rsidRDefault="00000000">
            <w:r>
              <w:rPr>
                <w:rFonts w:ascii="Arial" w:hAnsi="Arial"/>
                <w:color w:val="222222"/>
                <w:sz w:val="18"/>
              </w:rPr>
              <w:t>Core demographic dividend window peaking between 2035–2045.</w:t>
            </w:r>
          </w:p>
        </w:tc>
      </w:tr>
      <w:tr w:rsidR="00FF2FFE" w14:paraId="64F5063A" w14:textId="77777777">
        <w:trPr>
          <w:jc w:val="center"/>
        </w:trPr>
        <w:tc>
          <w:tcPr>
            <w:tcW w:w="2592" w:type="dxa"/>
            <w:shd w:val="clear" w:color="auto" w:fill="F4F6F9"/>
            <w:tcMar>
              <w:top w:w="100" w:type="dxa"/>
              <w:left w:w="120" w:type="dxa"/>
              <w:bottom w:w="100" w:type="dxa"/>
              <w:right w:w="120" w:type="dxa"/>
            </w:tcMar>
          </w:tcPr>
          <w:p w14:paraId="39A3CCE2" w14:textId="77777777" w:rsidR="00FF2FFE" w:rsidRDefault="00000000">
            <w:r>
              <w:rPr>
                <w:rFonts w:ascii="Arial" w:hAnsi="Arial"/>
                <w:color w:val="222222"/>
                <w:sz w:val="18"/>
              </w:rPr>
              <w:t>Urbanization Rate</w:t>
            </w:r>
          </w:p>
        </w:tc>
        <w:tc>
          <w:tcPr>
            <w:tcW w:w="1728" w:type="dxa"/>
            <w:shd w:val="clear" w:color="auto" w:fill="F4F6F9"/>
            <w:tcMar>
              <w:top w:w="100" w:type="dxa"/>
              <w:left w:w="120" w:type="dxa"/>
              <w:bottom w:w="100" w:type="dxa"/>
              <w:right w:w="120" w:type="dxa"/>
            </w:tcMar>
          </w:tcPr>
          <w:p w14:paraId="5BF7C208" w14:textId="77777777" w:rsidR="00FF2FFE" w:rsidRDefault="00000000">
            <w:r>
              <w:rPr>
                <w:rFonts w:ascii="Arial" w:hAnsi="Arial"/>
                <w:color w:val="222222"/>
                <w:sz w:val="18"/>
              </w:rPr>
              <w:t>36.4%</w:t>
            </w:r>
          </w:p>
        </w:tc>
        <w:tc>
          <w:tcPr>
            <w:tcW w:w="5040" w:type="dxa"/>
            <w:shd w:val="clear" w:color="auto" w:fill="F4F6F9"/>
            <w:tcMar>
              <w:top w:w="100" w:type="dxa"/>
              <w:left w:w="120" w:type="dxa"/>
              <w:bottom w:w="100" w:type="dxa"/>
              <w:right w:w="120" w:type="dxa"/>
            </w:tcMar>
          </w:tcPr>
          <w:p w14:paraId="4ADB9522" w14:textId="77777777" w:rsidR="00FF2FFE" w:rsidRDefault="00000000">
            <w:r>
              <w:rPr>
                <w:rFonts w:ascii="Arial" w:hAnsi="Arial"/>
                <w:color w:val="222222"/>
                <w:sz w:val="18"/>
              </w:rPr>
              <w:t>Accelerating rural-to-urban shift; projected &gt;40% by 2030.</w:t>
            </w:r>
          </w:p>
        </w:tc>
      </w:tr>
    </w:tbl>
    <w:p w14:paraId="26FCC6D9" w14:textId="77777777" w:rsidR="00FF2FFE" w:rsidRDefault="00FF2FFE">
      <w:pPr>
        <w:spacing w:after="120"/>
      </w:pPr>
    </w:p>
    <w:p w14:paraId="4A653C43" w14:textId="77777777" w:rsidR="00FF2FFE" w:rsidRDefault="00000000">
      <w:pPr>
        <w:keepNext/>
        <w:spacing w:before="320" w:after="120"/>
      </w:pPr>
      <w:r>
        <w:rPr>
          <w:rFonts w:ascii="Arial" w:hAnsi="Arial"/>
          <w:b/>
          <w:color w:val="1B365D"/>
          <w:sz w:val="32"/>
        </w:rPr>
        <w:lastRenderedPageBreak/>
        <w:t>3. Age Structure &amp; The Demographic Dividend Window</w:t>
      </w:r>
    </w:p>
    <w:p w14:paraId="28C5B07B" w14:textId="77777777" w:rsidR="00FF2FFE" w:rsidRDefault="00000000">
      <w:pPr>
        <w:spacing w:after="120"/>
      </w:pPr>
      <w:r>
        <w:rPr>
          <w:rFonts w:ascii="Arial" w:hAnsi="Arial"/>
          <w:color w:val="222222"/>
          <w:sz w:val="21"/>
        </w:rPr>
        <w:t>India is currently benefitting from a expansion in its working-age cohort. Unlike Western and East Asian economies experiencing acute workforce contraction, India's working-age ratio provides a powerful economic engine.</w:t>
      </w:r>
    </w:p>
    <w:p w14:paraId="431025DE" w14:textId="77777777" w:rsidR="00FF2FFE" w:rsidRDefault="00000000">
      <w:pPr>
        <w:pStyle w:val="ListBullet"/>
        <w:spacing w:after="80"/>
      </w:pPr>
      <w:r>
        <w:rPr>
          <w:rFonts w:ascii="Arial" w:hAnsi="Arial"/>
          <w:b/>
          <w:color w:val="222222"/>
          <w:sz w:val="21"/>
        </w:rPr>
        <w:t xml:space="preserve">Youth Cohort (0–14 years): </w:t>
      </w:r>
      <w:r>
        <w:rPr>
          <w:rFonts w:ascii="Arial" w:hAnsi="Arial"/>
          <w:color w:val="222222"/>
          <w:sz w:val="21"/>
        </w:rPr>
        <w:t>Comprises ~24% of the population. Absolute youth numbers peaked in 2011 and are actively shrinking, reducing dependency pressure on school infrastructure.</w:t>
      </w:r>
    </w:p>
    <w:p w14:paraId="5D897E8D" w14:textId="77777777" w:rsidR="00FF2FFE" w:rsidRDefault="00000000">
      <w:pPr>
        <w:pStyle w:val="ListBullet"/>
        <w:spacing w:after="80"/>
      </w:pPr>
      <w:r>
        <w:rPr>
          <w:rFonts w:ascii="Arial" w:hAnsi="Arial"/>
          <w:b/>
          <w:color w:val="222222"/>
          <w:sz w:val="21"/>
        </w:rPr>
        <w:t xml:space="preserve">Working-Age Cohort (15–64 years): </w:t>
      </w:r>
      <w:r>
        <w:rPr>
          <w:rFonts w:ascii="Arial" w:hAnsi="Arial"/>
          <w:color w:val="222222"/>
          <w:sz w:val="21"/>
        </w:rPr>
        <w:t>Comprises ~68% of the population (approx. 980 million individuals). This workforce pool provides massive labor market potential across service, manufacturing, and technology sectors.</w:t>
      </w:r>
    </w:p>
    <w:p w14:paraId="7EC8DD4E" w14:textId="77777777" w:rsidR="00FF2FFE" w:rsidRDefault="00000000">
      <w:pPr>
        <w:pStyle w:val="ListBullet"/>
        <w:spacing w:after="80"/>
      </w:pPr>
      <w:r>
        <w:rPr>
          <w:rFonts w:ascii="Arial" w:hAnsi="Arial"/>
          <w:b/>
          <w:color w:val="222222"/>
          <w:sz w:val="21"/>
        </w:rPr>
        <w:t xml:space="preserve">Elderly Cohort (65+ years): </w:t>
      </w:r>
      <w:r>
        <w:rPr>
          <w:rFonts w:ascii="Arial" w:hAnsi="Arial"/>
          <w:color w:val="222222"/>
          <w:sz w:val="21"/>
        </w:rPr>
        <w:t>Comprises ~8% of the population. While currently low, this segment is growing at the fastest rate (+3.1% annually) and will double by 2045, requiring urgent geriatric healthcare planning.</w:t>
      </w:r>
    </w:p>
    <w:p w14:paraId="7ADF03BA" w14:textId="77777777" w:rsidR="00FF2FFE" w:rsidRDefault="00000000">
      <w:pPr>
        <w:spacing w:before="160" w:after="80"/>
        <w:jc w:val="center"/>
      </w:pPr>
      <w:r>
        <w:rPr>
          <w:noProof/>
        </w:rPr>
        <w:drawing>
          <wp:inline distT="0" distB="0" distL="0" distR="0" wp14:anchorId="39EDFA02" wp14:editId="799CDF29">
            <wp:extent cx="5486400" cy="2954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2954215"/>
                    </a:xfrm>
                    <a:prstGeom prst="rect">
                      <a:avLst/>
                    </a:prstGeom>
                  </pic:spPr>
                </pic:pic>
              </a:graphicData>
            </a:graphic>
          </wp:inline>
        </w:drawing>
      </w:r>
    </w:p>
    <w:p w14:paraId="589EE34A" w14:textId="77777777" w:rsidR="00FF2FFE" w:rsidRDefault="00FF2FFE">
      <w:pPr>
        <w:spacing w:after="0"/>
      </w:pPr>
    </w:p>
    <w:p w14:paraId="62827D4D" w14:textId="77777777" w:rsidR="00FF2FFE" w:rsidRDefault="00000000">
      <w:pPr>
        <w:spacing w:after="240"/>
        <w:jc w:val="center"/>
      </w:pPr>
      <w:r>
        <w:rPr>
          <w:rFonts w:ascii="Arial" w:hAnsi="Arial"/>
          <w:i/>
          <w:color w:val="646464"/>
          <w:sz w:val="17"/>
        </w:rPr>
        <w:t>Figure 1: Historical India Population Growth &amp; Projected Peak Trajectory (UN Data)</w:t>
      </w:r>
    </w:p>
    <w:p w14:paraId="4AA3B235" w14:textId="77777777" w:rsidR="005B56A8" w:rsidRDefault="005B56A8">
      <w:pPr>
        <w:keepNext/>
        <w:spacing w:before="320" w:after="120"/>
        <w:rPr>
          <w:rFonts w:ascii="Arial" w:hAnsi="Arial"/>
          <w:b/>
          <w:color w:val="1B365D"/>
          <w:sz w:val="32"/>
        </w:rPr>
      </w:pPr>
    </w:p>
    <w:p w14:paraId="4A46902D" w14:textId="77777777" w:rsidR="005B56A8" w:rsidRDefault="005B56A8">
      <w:pPr>
        <w:keepNext/>
        <w:spacing w:before="320" w:after="120"/>
        <w:rPr>
          <w:rFonts w:ascii="Arial" w:hAnsi="Arial"/>
          <w:b/>
          <w:color w:val="1B365D"/>
          <w:sz w:val="32"/>
        </w:rPr>
      </w:pPr>
    </w:p>
    <w:p w14:paraId="57B74673" w14:textId="77777777" w:rsidR="00607F7D" w:rsidRDefault="00607F7D">
      <w:pPr>
        <w:keepNext/>
        <w:spacing w:before="320" w:after="120"/>
        <w:rPr>
          <w:rFonts w:ascii="Arial" w:hAnsi="Arial"/>
          <w:b/>
          <w:color w:val="1B365D"/>
          <w:sz w:val="32"/>
        </w:rPr>
      </w:pPr>
    </w:p>
    <w:p w14:paraId="430DD0A2" w14:textId="065721C5" w:rsidR="00FF2FFE" w:rsidRDefault="00000000">
      <w:pPr>
        <w:keepNext/>
        <w:spacing w:before="320" w:after="120"/>
      </w:pPr>
      <w:r>
        <w:rPr>
          <w:rFonts w:ascii="Arial" w:hAnsi="Arial"/>
          <w:b/>
          <w:color w:val="1B365D"/>
          <w:sz w:val="32"/>
        </w:rPr>
        <w:t>4. The North-South Regional Demographic Divide</w:t>
      </w:r>
    </w:p>
    <w:p w14:paraId="0409B2A5" w14:textId="77777777" w:rsidR="00FF2FFE" w:rsidRDefault="00000000">
      <w:pPr>
        <w:spacing w:after="120"/>
      </w:pPr>
      <w:r>
        <w:rPr>
          <w:rFonts w:ascii="Arial" w:hAnsi="Arial"/>
          <w:color w:val="222222"/>
          <w:sz w:val="21"/>
        </w:rPr>
        <w:t>A critical finding of this analysis is the sharp geographical polarization in fertility and demographic transition between India's northern/eastern states and southern/western states:</w:t>
      </w:r>
    </w:p>
    <w:p w14:paraId="0317049D" w14:textId="77777777" w:rsidR="00FF2FFE" w:rsidRDefault="00000000">
      <w:pPr>
        <w:keepNext/>
        <w:spacing w:before="240" w:after="80"/>
      </w:pPr>
      <w:r>
        <w:rPr>
          <w:rFonts w:ascii="Arial" w:hAnsi="Arial"/>
          <w:b/>
          <w:color w:val="4A607A"/>
          <w:sz w:val="26"/>
        </w:rPr>
        <w:t>Southern &amp; Western States (Advanced Transition)</w:t>
      </w:r>
    </w:p>
    <w:p w14:paraId="2518B601" w14:textId="77777777" w:rsidR="00FF2FFE" w:rsidRDefault="00000000">
      <w:pPr>
        <w:spacing w:after="120"/>
      </w:pPr>
      <w:r>
        <w:rPr>
          <w:rFonts w:ascii="Arial" w:hAnsi="Arial"/>
          <w:color w:val="222222"/>
          <w:sz w:val="21"/>
        </w:rPr>
        <w:t>States like Kerala (TFR 1.7), Tamil Nadu (1.8), Karnataka (1.7), and Maharashtra (1.7) completed their fertility transitions early. High female literacy, urban investment, and effective social welfare programs driven by state governance led to sub-replacement fertility. These states face impending workforce shortages, school closures, and an aging population profile.</w:t>
      </w:r>
    </w:p>
    <w:p w14:paraId="400B1C55" w14:textId="77777777" w:rsidR="00FF2FFE" w:rsidRDefault="00000000">
      <w:pPr>
        <w:keepNext/>
        <w:spacing w:before="240" w:after="80"/>
      </w:pPr>
      <w:r>
        <w:rPr>
          <w:rFonts w:ascii="Arial" w:hAnsi="Arial"/>
          <w:b/>
          <w:color w:val="4A607A"/>
          <w:sz w:val="26"/>
        </w:rPr>
        <w:t>Northern &amp; Eastern States (Delayed Transition)</w:t>
      </w:r>
    </w:p>
    <w:p w14:paraId="054ABCCD" w14:textId="77777777" w:rsidR="00FF2FFE" w:rsidRDefault="00000000">
      <w:pPr>
        <w:spacing w:after="120"/>
      </w:pPr>
      <w:r>
        <w:rPr>
          <w:rFonts w:ascii="Arial" w:hAnsi="Arial"/>
          <w:color w:val="222222"/>
          <w:sz w:val="21"/>
        </w:rPr>
        <w:t>States such as Bihar (TFR 2.98), Uttar Pradesh (2.35), Madhya Pradesh (2.30), and Rajasthan (2.40) maintain fertility rates near or above replacement. Higher poverty rates, lower female educational attainment, and rural concentration account for sustained population expansion. These states possess a young workforce but face deficits in human capital investment.</w:t>
      </w:r>
    </w:p>
    <w:p w14:paraId="1F39C8BC" w14:textId="77777777" w:rsidR="00FF2FFE" w:rsidRDefault="00000000">
      <w:pPr>
        <w:spacing w:before="160" w:after="80"/>
        <w:jc w:val="center"/>
      </w:pPr>
      <w:r>
        <w:rPr>
          <w:noProof/>
        </w:rPr>
        <w:drawing>
          <wp:inline distT="0" distB="0" distL="0" distR="0" wp14:anchorId="122A3031" wp14:editId="77878ADC">
            <wp:extent cx="5486400" cy="3207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207434"/>
                    </a:xfrm>
                    <a:prstGeom prst="rect">
                      <a:avLst/>
                    </a:prstGeom>
                  </pic:spPr>
                </pic:pic>
              </a:graphicData>
            </a:graphic>
          </wp:inline>
        </w:drawing>
      </w:r>
    </w:p>
    <w:p w14:paraId="06D699FC" w14:textId="77777777" w:rsidR="00FF2FFE" w:rsidRDefault="00000000">
      <w:pPr>
        <w:spacing w:after="240"/>
        <w:jc w:val="center"/>
      </w:pPr>
      <w:r>
        <w:rPr>
          <w:rFonts w:ascii="Arial" w:hAnsi="Arial"/>
          <w:i/>
          <w:color w:val="646464"/>
          <w:sz w:val="17"/>
        </w:rPr>
        <w:t>Figure 2: Empirical Correlation Between Female Literacy Rates and Total Fertility Rates (TFR)</w:t>
      </w:r>
    </w:p>
    <w:p w14:paraId="71DE092C" w14:textId="77777777" w:rsidR="00FF2FFE" w:rsidRDefault="00000000">
      <w:pPr>
        <w:keepNext/>
        <w:spacing w:before="320" w:after="120"/>
      </w:pPr>
      <w:r>
        <w:rPr>
          <w:rFonts w:ascii="Arial" w:hAnsi="Arial"/>
          <w:b/>
          <w:color w:val="1B365D"/>
          <w:sz w:val="32"/>
        </w:rPr>
        <w:lastRenderedPageBreak/>
        <w:t>5. Strategic Policy &amp; Socio-Economic Implications</w:t>
      </w:r>
    </w:p>
    <w:p w14:paraId="6E12D8C3" w14:textId="77777777" w:rsidR="00FF2FFE" w:rsidRDefault="00000000">
      <w:pPr>
        <w:pStyle w:val="ListBullet"/>
        <w:spacing w:after="80"/>
      </w:pPr>
      <w:r>
        <w:rPr>
          <w:rFonts w:ascii="Arial" w:hAnsi="Arial"/>
          <w:b/>
          <w:color w:val="222222"/>
          <w:sz w:val="21"/>
        </w:rPr>
        <w:t xml:space="preserve">Internal Labor Migration Flows: </w:t>
      </w:r>
      <w:r>
        <w:rPr>
          <w:rFonts w:ascii="Arial" w:hAnsi="Arial"/>
          <w:color w:val="222222"/>
          <w:sz w:val="21"/>
        </w:rPr>
        <w:t>As southern states experience labor deficits and northern states experience youth surpluses, inter-state labor migration will surge. Policy must focus on portable social security, urban housing, and labor protections.</w:t>
      </w:r>
    </w:p>
    <w:p w14:paraId="6412B3BD" w14:textId="77777777" w:rsidR="00FF2FFE" w:rsidRDefault="00000000">
      <w:pPr>
        <w:pStyle w:val="ListBullet"/>
        <w:spacing w:after="80"/>
      </w:pPr>
      <w:r>
        <w:rPr>
          <w:rFonts w:ascii="Arial" w:hAnsi="Arial"/>
          <w:b/>
          <w:color w:val="222222"/>
          <w:sz w:val="21"/>
        </w:rPr>
        <w:t xml:space="preserve">Female Labor Force Participation (FLFP): </w:t>
      </w:r>
      <w:r>
        <w:rPr>
          <w:rFonts w:ascii="Arial" w:hAnsi="Arial"/>
          <w:color w:val="222222"/>
          <w:sz w:val="21"/>
        </w:rPr>
        <w:t>Despite dropping fertility, female labor participation remains low (~32%). Unlocking economic growth requires skilling women and establishing formal caregiving infrastructure.</w:t>
      </w:r>
    </w:p>
    <w:p w14:paraId="3C864016" w14:textId="77777777" w:rsidR="00FF2FFE" w:rsidRDefault="00000000">
      <w:pPr>
        <w:pStyle w:val="ListBullet"/>
        <w:spacing w:after="80"/>
      </w:pPr>
      <w:r>
        <w:rPr>
          <w:rFonts w:ascii="Arial" w:hAnsi="Arial"/>
          <w:b/>
          <w:color w:val="222222"/>
          <w:sz w:val="21"/>
        </w:rPr>
        <w:t xml:space="preserve">Eldercare Infrastructure Realignment: </w:t>
      </w:r>
      <w:r>
        <w:rPr>
          <w:rFonts w:ascii="Arial" w:hAnsi="Arial"/>
          <w:color w:val="222222"/>
          <w:sz w:val="21"/>
        </w:rPr>
        <w:t>Healthcare systems must shift from maternal-child health toward non-communicable disease management, geriatric care, and sustainable pension frameworks over the next 15 years.</w:t>
      </w:r>
    </w:p>
    <w:p w14:paraId="05557173" w14:textId="77777777" w:rsidR="00FF2FFE" w:rsidRPr="00607F7D" w:rsidRDefault="00000000">
      <w:pPr>
        <w:pStyle w:val="ListBullet"/>
        <w:spacing w:after="80"/>
      </w:pPr>
      <w:r>
        <w:rPr>
          <w:rFonts w:ascii="Arial" w:hAnsi="Arial"/>
          <w:b/>
          <w:color w:val="222222"/>
          <w:sz w:val="21"/>
        </w:rPr>
        <w:t xml:space="preserve">Political Representation &amp; Delimitation: </w:t>
      </w:r>
      <w:r>
        <w:rPr>
          <w:rFonts w:ascii="Arial" w:hAnsi="Arial"/>
          <w:color w:val="222222"/>
          <w:sz w:val="21"/>
        </w:rPr>
        <w:t>Demographic disparities pose federal political questions regarding parliament seat re-allocation (delimitation), balancing northern population expansion against southern demographic stabilization success.</w:t>
      </w:r>
    </w:p>
    <w:p w14:paraId="59FCE0EA" w14:textId="77777777" w:rsidR="00607F7D" w:rsidRDefault="00607F7D" w:rsidP="00607F7D">
      <w:pPr>
        <w:pStyle w:val="ListBullet"/>
        <w:numPr>
          <w:ilvl w:val="0"/>
          <w:numId w:val="0"/>
        </w:numPr>
        <w:spacing w:after="80"/>
        <w:ind w:left="360"/>
        <w:rPr>
          <w:rFonts w:ascii="Arial" w:hAnsi="Arial"/>
          <w:b/>
          <w:color w:val="222222"/>
          <w:sz w:val="21"/>
        </w:rPr>
      </w:pPr>
    </w:p>
    <w:p w14:paraId="154AE9D2" w14:textId="77777777" w:rsidR="00607F7D" w:rsidRDefault="00607F7D" w:rsidP="00607F7D">
      <w:pPr>
        <w:pStyle w:val="ListBullet"/>
        <w:numPr>
          <w:ilvl w:val="0"/>
          <w:numId w:val="0"/>
        </w:numPr>
        <w:spacing w:after="80"/>
        <w:ind w:left="360"/>
        <w:rPr>
          <w:rFonts w:ascii="Arial" w:hAnsi="Arial"/>
          <w:b/>
          <w:color w:val="222222"/>
          <w:sz w:val="21"/>
        </w:rPr>
      </w:pPr>
    </w:p>
    <w:p w14:paraId="66A15309" w14:textId="599AC350" w:rsidR="00607F7D" w:rsidRDefault="00607F7D" w:rsidP="00607F7D">
      <w:pPr>
        <w:pStyle w:val="ListBullet"/>
        <w:numPr>
          <w:ilvl w:val="0"/>
          <w:numId w:val="0"/>
        </w:numPr>
        <w:spacing w:after="80"/>
        <w:ind w:left="360"/>
        <w:rPr>
          <w:rFonts w:ascii="Arial" w:hAnsi="Arial"/>
          <w:b/>
          <w:color w:val="17365D" w:themeColor="text2" w:themeShade="BF"/>
          <w:sz w:val="32"/>
          <w:szCs w:val="36"/>
        </w:rPr>
      </w:pPr>
      <w:r w:rsidRPr="00607F7D">
        <w:rPr>
          <w:rFonts w:ascii="Arial" w:hAnsi="Arial"/>
          <w:b/>
          <w:color w:val="17365D" w:themeColor="text2" w:themeShade="BF"/>
          <w:sz w:val="32"/>
          <w:szCs w:val="36"/>
        </w:rPr>
        <w:t>6.References</w:t>
      </w:r>
    </w:p>
    <w:p w14:paraId="778F6767" w14:textId="77777777" w:rsidR="00607F7D" w:rsidRPr="00607F7D" w:rsidRDefault="00607F7D" w:rsidP="00607F7D">
      <w:pPr>
        <w:pStyle w:val="ListBullet"/>
        <w:spacing w:after="80"/>
        <w:rPr>
          <w:rFonts w:ascii="Arial" w:hAnsi="Arial" w:cs="Arial"/>
          <w:b/>
          <w:bCs/>
          <w:color w:val="17365D" w:themeColor="text2" w:themeShade="BF"/>
          <w:sz w:val="20"/>
          <w:szCs w:val="20"/>
          <w:lang w:val="en-IN"/>
        </w:rPr>
      </w:pPr>
      <w:r w:rsidRPr="00607F7D">
        <w:rPr>
          <w:rFonts w:ascii="Arial" w:hAnsi="Arial" w:cs="Arial"/>
          <w:b/>
          <w:bCs/>
          <w:color w:val="17365D" w:themeColor="text2" w:themeShade="BF"/>
          <w:sz w:val="20"/>
          <w:szCs w:val="20"/>
          <w:lang w:val="en-IN"/>
        </w:rPr>
        <w:t>Data Sources</w:t>
      </w:r>
    </w:p>
    <w:p w14:paraId="537EC796" w14:textId="77777777" w:rsidR="00607F7D" w:rsidRPr="00607F7D" w:rsidRDefault="00607F7D" w:rsidP="00607F7D">
      <w:pPr>
        <w:pStyle w:val="ListBullet"/>
        <w:numPr>
          <w:ilvl w:val="0"/>
          <w:numId w:val="10"/>
        </w:numPr>
        <w:spacing w:after="80"/>
        <w:rPr>
          <w:rFonts w:ascii="Arial" w:hAnsi="Arial" w:cs="Arial"/>
          <w:color w:val="17365D" w:themeColor="text2" w:themeShade="BF"/>
          <w:sz w:val="20"/>
          <w:szCs w:val="20"/>
          <w:lang w:val="en-IN"/>
        </w:rPr>
      </w:pPr>
      <w:r w:rsidRPr="00607F7D">
        <w:rPr>
          <w:rFonts w:ascii="Arial" w:hAnsi="Arial" w:cs="Arial"/>
          <w:b/>
          <w:bCs/>
          <w:color w:val="17365D" w:themeColor="text2" w:themeShade="BF"/>
          <w:sz w:val="20"/>
          <w:szCs w:val="20"/>
          <w:lang w:val="en-IN"/>
        </w:rPr>
        <w:t>Census of India:</w:t>
      </w:r>
      <w:r w:rsidRPr="00607F7D">
        <w:rPr>
          <w:rFonts w:ascii="Arial" w:hAnsi="Arial" w:cs="Arial"/>
          <w:color w:val="17365D" w:themeColor="text2" w:themeShade="BF"/>
          <w:sz w:val="20"/>
          <w:szCs w:val="20"/>
          <w:lang w:val="en-IN"/>
        </w:rPr>
        <w:t xml:space="preserve"> </w:t>
      </w:r>
      <w:hyperlink r:id="rId8" w:history="1">
        <w:r w:rsidRPr="00607F7D">
          <w:rPr>
            <w:rStyle w:val="Hyperlink"/>
            <w:rFonts w:ascii="Arial" w:hAnsi="Arial" w:cs="Arial"/>
            <w:color w:val="0000BF" w:themeColor="hyperlink" w:themeShade="BF"/>
            <w:sz w:val="20"/>
            <w:szCs w:val="20"/>
            <w:lang w:val="en-IN"/>
          </w:rPr>
          <w:t>https://censusindia.gov.in/</w:t>
        </w:r>
      </w:hyperlink>
    </w:p>
    <w:p w14:paraId="41BBB85C" w14:textId="77777777" w:rsidR="00607F7D" w:rsidRPr="00607F7D" w:rsidRDefault="00607F7D" w:rsidP="00607F7D">
      <w:pPr>
        <w:pStyle w:val="ListBullet"/>
        <w:numPr>
          <w:ilvl w:val="0"/>
          <w:numId w:val="10"/>
        </w:numPr>
        <w:spacing w:after="80"/>
        <w:rPr>
          <w:rFonts w:ascii="Arial" w:hAnsi="Arial" w:cs="Arial"/>
          <w:color w:val="17365D" w:themeColor="text2" w:themeShade="BF"/>
          <w:sz w:val="20"/>
          <w:szCs w:val="20"/>
          <w:lang w:val="en-IN"/>
        </w:rPr>
      </w:pPr>
      <w:r w:rsidRPr="00607F7D">
        <w:rPr>
          <w:rFonts w:ascii="Arial" w:hAnsi="Arial" w:cs="Arial"/>
          <w:b/>
          <w:bCs/>
          <w:color w:val="17365D" w:themeColor="text2" w:themeShade="BF"/>
          <w:sz w:val="20"/>
          <w:szCs w:val="20"/>
          <w:lang w:val="en-IN"/>
        </w:rPr>
        <w:t>NFHS-5:</w:t>
      </w:r>
      <w:r w:rsidRPr="00607F7D">
        <w:rPr>
          <w:rFonts w:ascii="Arial" w:hAnsi="Arial" w:cs="Arial"/>
          <w:color w:val="17365D" w:themeColor="text2" w:themeShade="BF"/>
          <w:sz w:val="20"/>
          <w:szCs w:val="20"/>
          <w:lang w:val="en-IN"/>
        </w:rPr>
        <w:t xml:space="preserve"> </w:t>
      </w:r>
      <w:hyperlink r:id="rId9" w:history="1">
        <w:r w:rsidRPr="00607F7D">
          <w:rPr>
            <w:rStyle w:val="Hyperlink"/>
            <w:rFonts w:ascii="Arial" w:hAnsi="Arial" w:cs="Arial"/>
            <w:color w:val="0000BF" w:themeColor="hyperlink" w:themeShade="BF"/>
            <w:sz w:val="20"/>
            <w:szCs w:val="20"/>
            <w:lang w:val="en-IN"/>
          </w:rPr>
          <w:t>http://rchiips.org/</w:t>
        </w:r>
      </w:hyperlink>
    </w:p>
    <w:p w14:paraId="599C665B" w14:textId="77777777" w:rsidR="00607F7D" w:rsidRPr="00607F7D" w:rsidRDefault="00607F7D" w:rsidP="00607F7D">
      <w:pPr>
        <w:pStyle w:val="ListBullet"/>
        <w:numPr>
          <w:ilvl w:val="0"/>
          <w:numId w:val="10"/>
        </w:numPr>
        <w:spacing w:after="80"/>
        <w:rPr>
          <w:rFonts w:ascii="Arial" w:hAnsi="Arial" w:cs="Arial"/>
          <w:color w:val="17365D" w:themeColor="text2" w:themeShade="BF"/>
          <w:sz w:val="20"/>
          <w:szCs w:val="20"/>
          <w:lang w:val="en-IN"/>
        </w:rPr>
      </w:pPr>
      <w:r w:rsidRPr="00607F7D">
        <w:rPr>
          <w:rFonts w:ascii="Arial" w:hAnsi="Arial" w:cs="Arial"/>
          <w:b/>
          <w:bCs/>
          <w:color w:val="17365D" w:themeColor="text2" w:themeShade="BF"/>
          <w:sz w:val="20"/>
          <w:szCs w:val="20"/>
          <w:lang w:val="en-IN"/>
        </w:rPr>
        <w:t>UN Population:</w:t>
      </w:r>
      <w:r w:rsidRPr="00607F7D">
        <w:rPr>
          <w:rFonts w:ascii="Arial" w:hAnsi="Arial" w:cs="Arial"/>
          <w:color w:val="17365D" w:themeColor="text2" w:themeShade="BF"/>
          <w:sz w:val="20"/>
          <w:szCs w:val="20"/>
          <w:lang w:val="en-IN"/>
        </w:rPr>
        <w:t xml:space="preserve"> </w:t>
      </w:r>
      <w:hyperlink r:id="rId10" w:history="1">
        <w:r w:rsidRPr="00607F7D">
          <w:rPr>
            <w:rStyle w:val="Hyperlink"/>
            <w:rFonts w:ascii="Arial" w:hAnsi="Arial" w:cs="Arial"/>
            <w:color w:val="0000BF" w:themeColor="hyperlink" w:themeShade="BF"/>
            <w:sz w:val="20"/>
            <w:szCs w:val="20"/>
            <w:lang w:val="en-IN"/>
          </w:rPr>
          <w:t>https://population.un.org/</w:t>
        </w:r>
      </w:hyperlink>
    </w:p>
    <w:p w14:paraId="600F8F18" w14:textId="77777777" w:rsidR="00607F7D" w:rsidRPr="00607F7D" w:rsidRDefault="00607F7D" w:rsidP="00607F7D">
      <w:pPr>
        <w:pStyle w:val="ListBullet"/>
        <w:numPr>
          <w:ilvl w:val="0"/>
          <w:numId w:val="10"/>
        </w:numPr>
        <w:spacing w:after="80"/>
        <w:rPr>
          <w:rFonts w:ascii="Arial" w:hAnsi="Arial" w:cs="Arial"/>
          <w:color w:val="17365D" w:themeColor="text2" w:themeShade="BF"/>
          <w:sz w:val="20"/>
          <w:szCs w:val="20"/>
          <w:lang w:val="en-IN"/>
        </w:rPr>
      </w:pPr>
      <w:r w:rsidRPr="00607F7D">
        <w:rPr>
          <w:rFonts w:ascii="Arial" w:hAnsi="Arial" w:cs="Arial"/>
          <w:b/>
          <w:bCs/>
          <w:color w:val="17365D" w:themeColor="text2" w:themeShade="BF"/>
          <w:sz w:val="20"/>
          <w:szCs w:val="20"/>
          <w:lang w:val="en-IN"/>
        </w:rPr>
        <w:t>World Bank:</w:t>
      </w:r>
      <w:r w:rsidRPr="00607F7D">
        <w:rPr>
          <w:rFonts w:ascii="Arial" w:hAnsi="Arial" w:cs="Arial"/>
          <w:color w:val="17365D" w:themeColor="text2" w:themeShade="BF"/>
          <w:sz w:val="20"/>
          <w:szCs w:val="20"/>
          <w:lang w:val="en-IN"/>
        </w:rPr>
        <w:t xml:space="preserve"> </w:t>
      </w:r>
      <w:hyperlink r:id="rId11" w:history="1">
        <w:r w:rsidRPr="00607F7D">
          <w:rPr>
            <w:rStyle w:val="Hyperlink"/>
            <w:rFonts w:ascii="Arial" w:hAnsi="Arial" w:cs="Arial"/>
            <w:color w:val="0000BF" w:themeColor="hyperlink" w:themeShade="BF"/>
            <w:sz w:val="20"/>
            <w:szCs w:val="20"/>
            <w:lang w:val="en-IN"/>
          </w:rPr>
          <w:t>https://data.worldbank.org/</w:t>
        </w:r>
      </w:hyperlink>
    </w:p>
    <w:p w14:paraId="4FF163FC" w14:textId="77777777" w:rsidR="00607F7D" w:rsidRPr="00607F7D" w:rsidRDefault="00607F7D" w:rsidP="00607F7D">
      <w:pPr>
        <w:pStyle w:val="ListBullet"/>
        <w:spacing w:after="80"/>
        <w:rPr>
          <w:rFonts w:ascii="Arial" w:hAnsi="Arial" w:cs="Arial"/>
          <w:b/>
          <w:bCs/>
          <w:color w:val="17365D" w:themeColor="text2" w:themeShade="BF"/>
          <w:sz w:val="20"/>
          <w:szCs w:val="20"/>
          <w:lang w:val="en-IN"/>
        </w:rPr>
      </w:pPr>
      <w:r w:rsidRPr="00607F7D">
        <w:rPr>
          <w:rFonts w:ascii="Arial" w:hAnsi="Arial" w:cs="Arial"/>
          <w:b/>
          <w:bCs/>
          <w:color w:val="17365D" w:themeColor="text2" w:themeShade="BF"/>
          <w:sz w:val="20"/>
          <w:szCs w:val="20"/>
          <w:lang w:val="en-IN"/>
        </w:rPr>
        <w:t>Python Documentation</w:t>
      </w:r>
    </w:p>
    <w:p w14:paraId="7A959355" w14:textId="77777777" w:rsidR="00607F7D" w:rsidRPr="00607F7D" w:rsidRDefault="00607F7D" w:rsidP="00607F7D">
      <w:pPr>
        <w:pStyle w:val="ListBullet"/>
        <w:numPr>
          <w:ilvl w:val="0"/>
          <w:numId w:val="11"/>
        </w:numPr>
        <w:spacing w:after="80"/>
        <w:rPr>
          <w:rFonts w:ascii="Arial" w:hAnsi="Arial" w:cs="Arial"/>
          <w:color w:val="17365D" w:themeColor="text2" w:themeShade="BF"/>
          <w:sz w:val="20"/>
          <w:szCs w:val="20"/>
          <w:lang w:val="en-IN"/>
        </w:rPr>
      </w:pPr>
      <w:r w:rsidRPr="00607F7D">
        <w:rPr>
          <w:rFonts w:ascii="Arial" w:hAnsi="Arial" w:cs="Arial"/>
          <w:b/>
          <w:bCs/>
          <w:color w:val="17365D" w:themeColor="text2" w:themeShade="BF"/>
          <w:sz w:val="20"/>
          <w:szCs w:val="20"/>
          <w:lang w:val="en-IN"/>
        </w:rPr>
        <w:t>Pandas:</w:t>
      </w:r>
      <w:r w:rsidRPr="00607F7D">
        <w:rPr>
          <w:rFonts w:ascii="Arial" w:hAnsi="Arial" w:cs="Arial"/>
          <w:color w:val="17365D" w:themeColor="text2" w:themeShade="BF"/>
          <w:sz w:val="20"/>
          <w:szCs w:val="20"/>
          <w:lang w:val="en-IN"/>
        </w:rPr>
        <w:t xml:space="preserve"> </w:t>
      </w:r>
      <w:hyperlink r:id="rId12" w:history="1">
        <w:r w:rsidRPr="00607F7D">
          <w:rPr>
            <w:rStyle w:val="Hyperlink"/>
            <w:rFonts w:ascii="Arial" w:hAnsi="Arial" w:cs="Arial"/>
            <w:color w:val="0000BF" w:themeColor="hyperlink" w:themeShade="BF"/>
            <w:sz w:val="20"/>
            <w:szCs w:val="20"/>
            <w:lang w:val="en-IN"/>
          </w:rPr>
          <w:t>https://pandas.pydata.org/</w:t>
        </w:r>
      </w:hyperlink>
    </w:p>
    <w:p w14:paraId="57422D72" w14:textId="77777777" w:rsidR="00607F7D" w:rsidRPr="00607F7D" w:rsidRDefault="00607F7D" w:rsidP="00607F7D">
      <w:pPr>
        <w:pStyle w:val="ListBullet"/>
        <w:numPr>
          <w:ilvl w:val="0"/>
          <w:numId w:val="11"/>
        </w:numPr>
        <w:spacing w:after="80"/>
        <w:rPr>
          <w:rFonts w:ascii="Arial" w:hAnsi="Arial" w:cs="Arial"/>
          <w:color w:val="17365D" w:themeColor="text2" w:themeShade="BF"/>
          <w:sz w:val="20"/>
          <w:szCs w:val="20"/>
          <w:lang w:val="en-IN"/>
        </w:rPr>
      </w:pPr>
      <w:r w:rsidRPr="00607F7D">
        <w:rPr>
          <w:rFonts w:ascii="Arial" w:hAnsi="Arial" w:cs="Arial"/>
          <w:b/>
          <w:bCs/>
          <w:color w:val="17365D" w:themeColor="text2" w:themeShade="BF"/>
          <w:sz w:val="20"/>
          <w:szCs w:val="20"/>
          <w:lang w:val="en-IN"/>
        </w:rPr>
        <w:t>Matplotlib:</w:t>
      </w:r>
      <w:r w:rsidRPr="00607F7D">
        <w:rPr>
          <w:rFonts w:ascii="Arial" w:hAnsi="Arial" w:cs="Arial"/>
          <w:color w:val="17365D" w:themeColor="text2" w:themeShade="BF"/>
          <w:sz w:val="20"/>
          <w:szCs w:val="20"/>
          <w:lang w:val="en-IN"/>
        </w:rPr>
        <w:t xml:space="preserve"> </w:t>
      </w:r>
      <w:hyperlink r:id="rId13" w:history="1">
        <w:r w:rsidRPr="00607F7D">
          <w:rPr>
            <w:rStyle w:val="Hyperlink"/>
            <w:rFonts w:ascii="Arial" w:hAnsi="Arial" w:cs="Arial"/>
            <w:color w:val="0000BF" w:themeColor="hyperlink" w:themeShade="BF"/>
            <w:sz w:val="20"/>
            <w:szCs w:val="20"/>
            <w:lang w:val="en-IN"/>
          </w:rPr>
          <w:t>https://matplotlib.org/</w:t>
        </w:r>
      </w:hyperlink>
    </w:p>
    <w:p w14:paraId="20D65B23" w14:textId="77777777" w:rsidR="00607F7D" w:rsidRPr="00607F7D" w:rsidRDefault="00607F7D" w:rsidP="00607F7D">
      <w:pPr>
        <w:pStyle w:val="ListBullet"/>
        <w:numPr>
          <w:ilvl w:val="0"/>
          <w:numId w:val="11"/>
        </w:numPr>
        <w:spacing w:after="80"/>
        <w:rPr>
          <w:rFonts w:ascii="Arial" w:hAnsi="Arial" w:cs="Arial"/>
          <w:color w:val="17365D" w:themeColor="text2" w:themeShade="BF"/>
          <w:sz w:val="20"/>
          <w:szCs w:val="20"/>
          <w:lang w:val="en-IN"/>
        </w:rPr>
      </w:pPr>
      <w:proofErr w:type="spellStart"/>
      <w:r w:rsidRPr="00607F7D">
        <w:rPr>
          <w:rFonts w:ascii="Arial" w:hAnsi="Arial" w:cs="Arial"/>
          <w:b/>
          <w:bCs/>
          <w:color w:val="17365D" w:themeColor="text2" w:themeShade="BF"/>
          <w:sz w:val="20"/>
          <w:szCs w:val="20"/>
          <w:lang w:val="en-IN"/>
        </w:rPr>
        <w:t>Jupyter</w:t>
      </w:r>
      <w:proofErr w:type="spellEnd"/>
      <w:r w:rsidRPr="00607F7D">
        <w:rPr>
          <w:rFonts w:ascii="Arial" w:hAnsi="Arial" w:cs="Arial"/>
          <w:b/>
          <w:bCs/>
          <w:color w:val="17365D" w:themeColor="text2" w:themeShade="BF"/>
          <w:sz w:val="20"/>
          <w:szCs w:val="20"/>
          <w:lang w:val="en-IN"/>
        </w:rPr>
        <w:t>:</w:t>
      </w:r>
      <w:r w:rsidRPr="00607F7D">
        <w:rPr>
          <w:rFonts w:ascii="Arial" w:hAnsi="Arial" w:cs="Arial"/>
          <w:color w:val="17365D" w:themeColor="text2" w:themeShade="BF"/>
          <w:sz w:val="20"/>
          <w:szCs w:val="20"/>
          <w:lang w:val="en-IN"/>
        </w:rPr>
        <w:t xml:space="preserve"> </w:t>
      </w:r>
      <w:hyperlink r:id="rId14" w:history="1">
        <w:r w:rsidRPr="00607F7D">
          <w:rPr>
            <w:rStyle w:val="Hyperlink"/>
            <w:rFonts w:ascii="Arial" w:hAnsi="Arial" w:cs="Arial"/>
            <w:color w:val="0000BF" w:themeColor="hyperlink" w:themeShade="BF"/>
            <w:sz w:val="20"/>
            <w:szCs w:val="20"/>
            <w:lang w:val="en-IN"/>
          </w:rPr>
          <w:t>https://jupyter.org/</w:t>
        </w:r>
      </w:hyperlink>
    </w:p>
    <w:p w14:paraId="1DAE954F" w14:textId="77777777" w:rsidR="00607F7D" w:rsidRPr="00607F7D" w:rsidRDefault="00607F7D" w:rsidP="00607F7D">
      <w:pPr>
        <w:pStyle w:val="ListBullet"/>
        <w:numPr>
          <w:ilvl w:val="0"/>
          <w:numId w:val="0"/>
        </w:numPr>
        <w:spacing w:after="80"/>
        <w:ind w:left="360"/>
        <w:rPr>
          <w:rFonts w:ascii="Arial" w:hAnsi="Arial" w:cs="Arial"/>
          <w:color w:val="17365D" w:themeColor="text2" w:themeShade="BF"/>
          <w:sz w:val="32"/>
          <w:szCs w:val="32"/>
        </w:rPr>
      </w:pPr>
    </w:p>
    <w:sectPr w:rsidR="00607F7D" w:rsidRPr="00607F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33C06BA"/>
    <w:lvl w:ilvl="0">
      <w:start w:val="1"/>
      <w:numFmt w:val="bullet"/>
      <w:pStyle w:val="ListBullet"/>
      <w:lvlText w:val=""/>
      <w:lvlJc w:val="left"/>
      <w:pPr>
        <w:tabs>
          <w:tab w:val="num" w:pos="5038"/>
        </w:tabs>
        <w:ind w:left="5038" w:hanging="360"/>
      </w:pPr>
      <w:rPr>
        <w:rFonts w:ascii="Symbol" w:hAnsi="Symbol" w:hint="default"/>
      </w:rPr>
    </w:lvl>
  </w:abstractNum>
  <w:abstractNum w:abstractNumId="9" w15:restartNumberingAfterBreak="0">
    <w:nsid w:val="29753817"/>
    <w:multiLevelType w:val="multilevel"/>
    <w:tmpl w:val="004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315C4"/>
    <w:multiLevelType w:val="multilevel"/>
    <w:tmpl w:val="584A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667487">
    <w:abstractNumId w:val="8"/>
  </w:num>
  <w:num w:numId="2" w16cid:durableId="1760104331">
    <w:abstractNumId w:val="6"/>
  </w:num>
  <w:num w:numId="3" w16cid:durableId="287441951">
    <w:abstractNumId w:val="5"/>
  </w:num>
  <w:num w:numId="4" w16cid:durableId="301466511">
    <w:abstractNumId w:val="4"/>
  </w:num>
  <w:num w:numId="5" w16cid:durableId="188835961">
    <w:abstractNumId w:val="7"/>
  </w:num>
  <w:num w:numId="6" w16cid:durableId="19936253">
    <w:abstractNumId w:val="3"/>
  </w:num>
  <w:num w:numId="7" w16cid:durableId="1525436735">
    <w:abstractNumId w:val="2"/>
  </w:num>
  <w:num w:numId="8" w16cid:durableId="2006935436">
    <w:abstractNumId w:val="1"/>
  </w:num>
  <w:num w:numId="9" w16cid:durableId="439184862">
    <w:abstractNumId w:val="0"/>
  </w:num>
  <w:num w:numId="10" w16cid:durableId="1715812895">
    <w:abstractNumId w:val="9"/>
  </w:num>
  <w:num w:numId="11" w16cid:durableId="13679472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A3C"/>
    <w:rsid w:val="0029639D"/>
    <w:rsid w:val="00326F90"/>
    <w:rsid w:val="004B5824"/>
    <w:rsid w:val="005B56A8"/>
    <w:rsid w:val="00607F7D"/>
    <w:rsid w:val="00977C52"/>
    <w:rsid w:val="00A97015"/>
    <w:rsid w:val="00AA1D8D"/>
    <w:rsid w:val="00B47730"/>
    <w:rsid w:val="00CB0664"/>
    <w:rsid w:val="00F96990"/>
    <w:rsid w:val="00FC693F"/>
    <w:rsid w:val="00FF2F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8910C"/>
  <w14:defaultImageDpi w14:val="300"/>
  <w15:docId w15:val="{562B5270-7EC5-4D09-9943-22509D6D0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5038"/>
        <w:tab w:val="num" w:pos="360"/>
      </w:tabs>
      <w:ind w:left="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07F7D"/>
    <w:rPr>
      <w:color w:val="0000FF" w:themeColor="hyperlink"/>
      <w:u w:val="single"/>
    </w:rPr>
  </w:style>
  <w:style w:type="character" w:styleId="UnresolvedMention">
    <w:name w:val="Unresolved Mention"/>
    <w:basedOn w:val="DefaultParagraphFont"/>
    <w:uiPriority w:val="99"/>
    <w:semiHidden/>
    <w:unhideWhenUsed/>
    <w:rsid w:val="00607F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890052">
      <w:bodyDiv w:val="1"/>
      <w:marLeft w:val="0"/>
      <w:marRight w:val="0"/>
      <w:marTop w:val="0"/>
      <w:marBottom w:val="0"/>
      <w:divBdr>
        <w:top w:val="none" w:sz="0" w:space="0" w:color="auto"/>
        <w:left w:val="none" w:sz="0" w:space="0" w:color="auto"/>
        <w:bottom w:val="none" w:sz="0" w:space="0" w:color="auto"/>
        <w:right w:val="none" w:sz="0" w:space="0" w:color="auto"/>
      </w:divBdr>
    </w:div>
    <w:div w:id="20393814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susindia.gov.in/" TargetMode="External"/><Relationship Id="rId13" Type="http://schemas.openxmlformats.org/officeDocument/2006/relationships/hyperlink" Target="https://matplotlib.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ata.worldbank.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opulation.un.org/" TargetMode="External"/><Relationship Id="rId4" Type="http://schemas.openxmlformats.org/officeDocument/2006/relationships/settings" Target="settings.xml"/><Relationship Id="rId9" Type="http://schemas.openxmlformats.org/officeDocument/2006/relationships/hyperlink" Target="http://rchiips.org/" TargetMode="External"/><Relationship Id="rId14" Type="http://schemas.openxmlformats.org/officeDocument/2006/relationships/hyperlink" Target="https://jupyt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harikrishna patel</cp:lastModifiedBy>
  <cp:revision>2</cp:revision>
  <dcterms:created xsi:type="dcterms:W3CDTF">2026-09-24T12:00:00Z</dcterms:created>
  <dcterms:modified xsi:type="dcterms:W3CDTF">2026-09-24T12:00:00Z</dcterms:modified>
  <cp:category/>
</cp:coreProperties>
</file>