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B5A"/>
          <w:sz w:val="54"/>
        </w:rPr>
        <w:t>URBANLEAF STARTUP</w:t>
      </w:r>
    </w:p>
    <w:p>
      <w:pPr>
        <w:jc w:val="center"/>
      </w:pPr>
      <w:r>
        <w:rPr>
          <w:color w:val="415F6E"/>
          <w:sz w:val="34"/>
        </w:rPr>
        <w:t>Sales &amp; Customer Analytics Report</w:t>
      </w:r>
    </w:p>
    <w:p>
      <w:pPr>
        <w:jc w:val="center"/>
      </w:pPr>
      <w:r>
        <w:rPr>
          <w:i/>
        </w:rPr>
        <w:t>Prepared by: Data Analyst | 18 October 2026</w:t>
        <w:br/>
        <w:t>Client case: Fictional small Indian D2C startup</w:t>
      </w:r>
    </w:p>
    <w:p>
      <w:pPr>
        <w:jc w:val="center"/>
      </w:pPr>
      <w:r>
        <w:rPr>
          <w:b/>
        </w:rPr>
        <w:t>CLIENT-READY ANALYTICS REPORT</w:t>
      </w:r>
    </w:p>
    <w:p>
      <w:r>
        <w:br w:type="page"/>
      </w:r>
    </w:p>
    <w:p>
      <w:pPr>
        <w:pStyle w:val="Heading1"/>
      </w:pPr>
      <w:r>
        <w:t>1. Executive Summary</w:t>
      </w:r>
    </w:p>
    <w:p>
      <w:r>
        <w:t>UrbanLeaf's dashboard indicates approximately ₹702.79K in revenue across 1.50K orders, with reported AOV of ₹468.53. May was the strongest month (~₹71K) and April the weakest (~₹45K). UPI was the leading payment method (~₹290.97K), while Website was the leading sales channel (~₹263K). Jaipur led city sales (~₹134K). Steel Lunch Box led product revenue (~₹121K), followed by Reusable Water Bottle (~₹81K); Yoga Strap was lowest (~₹31K). Friday was the strongest reported weekday for revenue and orders. These findings support actions around channel conversion, retention, product planning, and customer experience, but metric definitions and source totals should be reconciled before business decisions.</w:t>
      </w:r>
    </w:p>
    <w:p>
      <w:pPr>
        <w:pStyle w:val="Heading1"/>
      </w:pPr>
      <w:r>
        <w:t>2. KPI Snapshot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44B5A"/>
          </w:tcPr>
          <w:p>
            <w:r/>
            <w:r>
              <w:rPr>
                <w:rFonts w:ascii="Aptos" w:hAnsi="Aptos"/>
                <w:b/>
                <w:color w:val="FFFFFF"/>
                <w:sz w:val="15"/>
              </w:rPr>
              <w:t>Metric</w:t>
            </w:r>
          </w:p>
        </w:tc>
        <w:tc>
          <w:tcPr>
            <w:tcW w:type="dxa" w:w="3408"/>
            <w:vAlign w:val="center"/>
            <w:shd w:fill="144B5A"/>
          </w:tcPr>
          <w:p>
            <w:r/>
            <w:r>
              <w:rPr>
                <w:rFonts w:ascii="Aptos" w:hAnsi="Aptos"/>
                <w:b/>
                <w:color w:val="FFFFFF"/>
                <w:sz w:val="15"/>
              </w:rPr>
              <w:t>Reported result</w:t>
            </w:r>
          </w:p>
        </w:tc>
        <w:tc>
          <w:tcPr>
            <w:tcW w:type="dxa" w:w="3408"/>
            <w:vAlign w:val="center"/>
            <w:shd w:fill="144B5A"/>
          </w:tcPr>
          <w:p>
            <w:r/>
            <w:r>
              <w:rPr>
                <w:rFonts w:ascii="Aptos" w:hAnsi="Aptos"/>
                <w:b/>
                <w:color w:val="FFFFFF"/>
                <w:sz w:val="15"/>
              </w:rPr>
              <w:t>Interpretation / validation</w:t>
            </w:r>
          </w:p>
        </w:tc>
      </w:tr>
      <w:tr>
        <w:tc>
          <w:tcPr>
            <w:tcW w:type="dxa" w:w="3408"/>
            <w:vAlign w:val="center"/>
            <w:shd w:fill="F0F5F6"/>
          </w:tcPr>
          <w:p>
            <w:r/>
            <w:r>
              <w:rPr>
                <w:rFonts w:ascii="Aptos" w:hAnsi="Aptos"/>
                <w:b/>
                <w:sz w:val="15"/>
              </w:rPr>
              <w:t>Revenue</w:t>
            </w:r>
          </w:p>
        </w:tc>
        <w:tc>
          <w:tcPr>
            <w:tcW w:type="dxa" w:w="3408"/>
            <w:vAlign w:val="center"/>
            <w:shd w:fill="F0F5F6"/>
          </w:tcPr>
          <w:p>
            <w:r/>
            <w:r>
              <w:rPr>
                <w:rFonts w:ascii="Aptos" w:hAnsi="Aptos"/>
                <w:b w:val="0"/>
                <w:sz w:val="15"/>
              </w:rPr>
              <w:t>₹702.79K</w:t>
            </w:r>
          </w:p>
        </w:tc>
        <w:tc>
          <w:tcPr>
            <w:tcW w:type="dxa" w:w="3408"/>
            <w:vAlign w:val="center"/>
            <w:shd w:fill="F0F5F6"/>
          </w:tcPr>
          <w:p>
            <w:r/>
            <w:r>
              <w:rPr>
                <w:rFonts w:ascii="Aptos" w:hAnsi="Aptos"/>
                <w:b w:val="0"/>
                <w:sz w:val="15"/>
              </w:rPr>
              <w:t>Validate revenue field and included order statuses.</w:t>
            </w:r>
          </w:p>
        </w:tc>
      </w:tr>
      <w:tr>
        <w:tc>
          <w:tcPr>
            <w:tcW w:type="dxa" w:w="3408"/>
            <w:vAlign w:val="center"/>
          </w:tcPr>
          <w:p>
            <w:r/>
            <w:r>
              <w:rPr>
                <w:rFonts w:ascii="Aptos" w:hAnsi="Aptos"/>
                <w:b/>
                <w:sz w:val="15"/>
              </w:rPr>
              <w:t>Orders</w:t>
            </w:r>
          </w:p>
        </w:tc>
        <w:tc>
          <w:tcPr>
            <w:tcW w:type="dxa" w:w="3408"/>
            <w:vAlign w:val="center"/>
          </w:tcPr>
          <w:p>
            <w:r/>
            <w:r>
              <w:rPr>
                <w:rFonts w:ascii="Aptos" w:hAnsi="Aptos"/>
                <w:b w:val="0"/>
                <w:sz w:val="15"/>
              </w:rPr>
              <w:t>1.50K</w:t>
            </w:r>
          </w:p>
        </w:tc>
        <w:tc>
          <w:tcPr>
            <w:tcW w:type="dxa" w:w="3408"/>
            <w:vAlign w:val="center"/>
          </w:tcPr>
          <w:p>
            <w:r/>
            <w:r>
              <w:rPr>
                <w:rFonts w:ascii="Aptos" w:hAnsi="Aptos"/>
                <w:b w:val="0"/>
                <w:sz w:val="15"/>
              </w:rPr>
              <w:t>Confirm distinct order IDs vs row count.</w:t>
            </w:r>
          </w:p>
        </w:tc>
      </w:tr>
      <w:tr>
        <w:tc>
          <w:tcPr>
            <w:tcW w:type="dxa" w:w="3408"/>
            <w:vAlign w:val="center"/>
            <w:shd w:fill="F0F5F6"/>
          </w:tcPr>
          <w:p>
            <w:r/>
            <w:r>
              <w:rPr>
                <w:rFonts w:ascii="Aptos" w:hAnsi="Aptos"/>
                <w:b/>
                <w:sz w:val="15"/>
              </w:rPr>
              <w:t>Average Order Value</w:t>
            </w:r>
          </w:p>
        </w:tc>
        <w:tc>
          <w:tcPr>
            <w:tcW w:type="dxa" w:w="3408"/>
            <w:vAlign w:val="center"/>
            <w:shd w:fill="F0F5F6"/>
          </w:tcPr>
          <w:p>
            <w:r/>
            <w:r>
              <w:rPr>
                <w:rFonts w:ascii="Aptos" w:hAnsi="Aptos"/>
                <w:b w:val="0"/>
                <w:sz w:val="15"/>
              </w:rPr>
              <w:t>₹468.53</w:t>
            </w:r>
          </w:p>
        </w:tc>
        <w:tc>
          <w:tcPr>
            <w:tcW w:type="dxa" w:w="3408"/>
            <w:vAlign w:val="center"/>
            <w:shd w:fill="F0F5F6"/>
          </w:tcPr>
          <w:p>
            <w:r/>
            <w:r>
              <w:rPr>
                <w:rFonts w:ascii="Aptos" w:hAnsi="Aptos"/>
                <w:b w:val="0"/>
                <w:sz w:val="15"/>
              </w:rPr>
              <w:t>Recalculate from unrounded revenue and eligible orders.</w:t>
            </w:r>
          </w:p>
        </w:tc>
      </w:tr>
      <w:tr>
        <w:tc>
          <w:tcPr>
            <w:tcW w:type="dxa" w:w="3408"/>
            <w:vAlign w:val="center"/>
          </w:tcPr>
          <w:p>
            <w:r/>
            <w:r>
              <w:rPr>
                <w:rFonts w:ascii="Aptos" w:hAnsi="Aptos"/>
                <w:b/>
                <w:sz w:val="15"/>
              </w:rPr>
              <w:t>Best / lowest month</w:t>
            </w:r>
          </w:p>
        </w:tc>
        <w:tc>
          <w:tcPr>
            <w:tcW w:type="dxa" w:w="3408"/>
            <w:vAlign w:val="center"/>
          </w:tcPr>
          <w:p>
            <w:r/>
            <w:r>
              <w:rPr>
                <w:rFonts w:ascii="Aptos" w:hAnsi="Aptos"/>
                <w:b w:val="0"/>
                <w:sz w:val="15"/>
              </w:rPr>
              <w:t>May ~₹71K / April ~₹45K</w:t>
            </w:r>
          </w:p>
        </w:tc>
        <w:tc>
          <w:tcPr>
            <w:tcW w:type="dxa" w:w="3408"/>
            <w:vAlign w:val="center"/>
          </w:tcPr>
          <w:p>
            <w:r/>
            <w:r>
              <w:rPr>
                <w:rFonts w:ascii="Aptos" w:hAnsi="Aptos"/>
                <w:b w:val="0"/>
                <w:sz w:val="15"/>
              </w:rPr>
              <w:t>Check date range, month sorting, campaigns and stock.</w:t>
            </w:r>
          </w:p>
        </w:tc>
      </w:tr>
      <w:tr>
        <w:tc>
          <w:tcPr>
            <w:tcW w:type="dxa" w:w="3408"/>
            <w:vAlign w:val="center"/>
            <w:shd w:fill="F0F5F6"/>
          </w:tcPr>
          <w:p>
            <w:r/>
            <w:r>
              <w:rPr>
                <w:rFonts w:ascii="Aptos" w:hAnsi="Aptos"/>
                <w:b/>
                <w:sz w:val="15"/>
              </w:rPr>
              <w:t>Top payment method</w:t>
            </w:r>
          </w:p>
        </w:tc>
        <w:tc>
          <w:tcPr>
            <w:tcW w:type="dxa" w:w="3408"/>
            <w:vAlign w:val="center"/>
            <w:shd w:fill="F0F5F6"/>
          </w:tcPr>
          <w:p>
            <w:r/>
            <w:r>
              <w:rPr>
                <w:rFonts w:ascii="Aptos" w:hAnsi="Aptos"/>
                <w:b w:val="0"/>
                <w:sz w:val="15"/>
              </w:rPr>
              <w:t>UPI ~₹290.97K</w:t>
            </w:r>
          </w:p>
        </w:tc>
        <w:tc>
          <w:tcPr>
            <w:tcW w:type="dxa" w:w="3408"/>
            <w:vAlign w:val="center"/>
            <w:shd w:fill="F0F5F6"/>
          </w:tcPr>
          <w:p>
            <w:r/>
            <w:r>
              <w:rPr>
                <w:rFonts w:ascii="Aptos" w:hAnsi="Aptos"/>
                <w:b w:val="0"/>
                <w:sz w:val="15"/>
              </w:rPr>
              <w:t>Validate payment totals against the same revenue definition.</w:t>
            </w:r>
          </w:p>
        </w:tc>
      </w:tr>
      <w:tr>
        <w:tc>
          <w:tcPr>
            <w:tcW w:type="dxa" w:w="3408"/>
            <w:vAlign w:val="center"/>
          </w:tcPr>
          <w:p>
            <w:r/>
            <w:r>
              <w:rPr>
                <w:rFonts w:ascii="Aptos" w:hAnsi="Aptos"/>
                <w:b/>
                <w:sz w:val="15"/>
              </w:rPr>
              <w:t>Top sales channel</w:t>
            </w:r>
          </w:p>
        </w:tc>
        <w:tc>
          <w:tcPr>
            <w:tcW w:type="dxa" w:w="3408"/>
            <w:vAlign w:val="center"/>
          </w:tcPr>
          <w:p>
            <w:r/>
            <w:r>
              <w:rPr>
                <w:rFonts w:ascii="Aptos" w:hAnsi="Aptos"/>
                <w:b w:val="0"/>
                <w:sz w:val="15"/>
              </w:rPr>
              <w:t>Website ~₹263K</w:t>
            </w:r>
          </w:p>
        </w:tc>
        <w:tc>
          <w:tcPr>
            <w:tcW w:type="dxa" w:w="3408"/>
            <w:vAlign w:val="center"/>
          </w:tcPr>
          <w:p>
            <w:r/>
            <w:r>
              <w:rPr>
                <w:rFonts w:ascii="Aptos" w:hAnsi="Aptos"/>
                <w:b w:val="0"/>
                <w:sz w:val="15"/>
              </w:rPr>
              <w:t>WhatsApp reported at ~₹82K.</w:t>
            </w:r>
          </w:p>
        </w:tc>
      </w:tr>
      <w:tr>
        <w:tc>
          <w:tcPr>
            <w:tcW w:type="dxa" w:w="3408"/>
            <w:vAlign w:val="center"/>
            <w:shd w:fill="F0F5F6"/>
          </w:tcPr>
          <w:p>
            <w:r/>
            <w:r>
              <w:rPr>
                <w:rFonts w:ascii="Aptos" w:hAnsi="Aptos"/>
                <w:b/>
                <w:sz w:val="15"/>
              </w:rPr>
              <w:t>Top city</w:t>
            </w:r>
          </w:p>
        </w:tc>
        <w:tc>
          <w:tcPr>
            <w:tcW w:type="dxa" w:w="3408"/>
            <w:vAlign w:val="center"/>
            <w:shd w:fill="F0F5F6"/>
          </w:tcPr>
          <w:p>
            <w:r/>
            <w:r>
              <w:rPr>
                <w:rFonts w:ascii="Aptos" w:hAnsi="Aptos"/>
                <w:b w:val="0"/>
                <w:sz w:val="15"/>
              </w:rPr>
              <w:t>Jaipur ~₹134K</w:t>
            </w:r>
          </w:p>
        </w:tc>
        <w:tc>
          <w:tcPr>
            <w:tcW w:type="dxa" w:w="3408"/>
            <w:vAlign w:val="center"/>
            <w:shd w:fill="F0F5F6"/>
          </w:tcPr>
          <w:p>
            <w:r/>
            <w:r>
              <w:rPr>
                <w:rFonts w:ascii="Aptos" w:hAnsi="Aptos"/>
                <w:b w:val="0"/>
                <w:sz w:val="15"/>
              </w:rPr>
              <w:t>Delhi ~₹86K; lowest city ~₹28K.</w:t>
            </w:r>
          </w:p>
        </w:tc>
      </w:tr>
      <w:tr>
        <w:tc>
          <w:tcPr>
            <w:tcW w:type="dxa" w:w="3408"/>
            <w:vAlign w:val="center"/>
          </w:tcPr>
          <w:p>
            <w:r/>
            <w:r>
              <w:rPr>
                <w:rFonts w:ascii="Aptos" w:hAnsi="Aptos"/>
                <w:b/>
                <w:sz w:val="15"/>
              </w:rPr>
              <w:t>Gender split</w:t>
            </w:r>
          </w:p>
        </w:tc>
        <w:tc>
          <w:tcPr>
            <w:tcW w:type="dxa" w:w="3408"/>
            <w:vAlign w:val="center"/>
          </w:tcPr>
          <w:p>
            <w:r/>
            <w:r>
              <w:rPr>
                <w:rFonts w:ascii="Aptos" w:hAnsi="Aptos"/>
                <w:b w:val="0"/>
                <w:sz w:val="15"/>
              </w:rPr>
              <w:t>Female ~₹340K; Male ~₹334K</w:t>
            </w:r>
          </w:p>
        </w:tc>
        <w:tc>
          <w:tcPr>
            <w:tcW w:type="dxa" w:w="3408"/>
            <w:vAlign w:val="center"/>
          </w:tcPr>
          <w:p>
            <w:r/>
            <w:r>
              <w:rPr>
                <w:rFonts w:ascii="Aptos" w:hAnsi="Aptos"/>
                <w:b w:val="0"/>
                <w:sz w:val="15"/>
              </w:rPr>
              <w:t>Near-balanced; Unknown ~₹27.98K (3.98%).</w:t>
            </w:r>
          </w:p>
        </w:tc>
      </w:tr>
    </w:tbl>
    <w:p>
      <w:pPr>
        <w:pStyle w:val="Heading1"/>
      </w:pPr>
      <w:r>
        <w:t>3. Key Findings &amp; Business Interpretation</w:t>
      </w:r>
    </w:p>
    <w:p>
      <w:pPr>
        <w:pStyle w:val="Heading2"/>
      </w:pPr>
      <w:r>
        <w:t>Sales trend</w:t>
      </w:r>
    </w:p>
    <w:p>
      <w:pPr>
        <w:spacing w:after="20"/>
      </w:pPr>
      <w:r>
        <w:rPr>
          <w:b/>
        </w:rPr>
        <w:t xml:space="preserve">Finding: </w:t>
      </w:r>
      <w:r>
        <w:t>May was strongest (~₹71K); April was lowest (~₹45K).</w:t>
      </w:r>
    </w:p>
    <w:p>
      <w:pPr>
        <w:spacing w:after="100"/>
        <w:ind w:left="216"/>
      </w:pPr>
      <w:r>
        <w:rPr>
          <w:b/>
          <w:color w:val="144B5A"/>
        </w:rPr>
        <w:t xml:space="preserve">Recommended action: </w:t>
      </w:r>
      <w:r>
        <w:t>Review campaigns, availability, seasonality and promotions around both months before changing spend.</w:t>
      </w:r>
    </w:p>
    <w:p>
      <w:pPr>
        <w:pStyle w:val="Heading2"/>
      </w:pPr>
      <w:r>
        <w:t>Payment methods</w:t>
      </w:r>
    </w:p>
    <w:p>
      <w:pPr>
        <w:spacing w:after="20"/>
      </w:pPr>
      <w:r>
        <w:rPr>
          <w:b/>
        </w:rPr>
        <w:t xml:space="preserve">Finding: </w:t>
      </w:r>
      <w:r>
        <w:t>UPI contributed ~₹290.97K, the largest reported payment-method total.</w:t>
      </w:r>
    </w:p>
    <w:p>
      <w:pPr>
        <w:spacing w:after="100"/>
        <w:ind w:left="216"/>
      </w:pPr>
      <w:r>
        <w:rPr>
          <w:b/>
          <w:color w:val="144B5A"/>
        </w:rPr>
        <w:t xml:space="preserve">Recommended action: </w:t>
      </w:r>
      <w:r>
        <w:t>Keep UPI checkout reliable; compare payment-method order counts, average basket and payment failures.</w:t>
      </w:r>
    </w:p>
    <w:p>
      <w:pPr>
        <w:pStyle w:val="Heading2"/>
      </w:pPr>
      <w:r>
        <w:t>Sales channels</w:t>
      </w:r>
    </w:p>
    <w:p>
      <w:pPr>
        <w:spacing w:after="20"/>
      </w:pPr>
      <w:r>
        <w:rPr>
          <w:b/>
        </w:rPr>
        <w:t xml:space="preserve">Finding: </w:t>
      </w:r>
      <w:r>
        <w:t>Website led at ~₹263K; WhatsApp contributed ~₹82K.</w:t>
      </w:r>
    </w:p>
    <w:p>
      <w:pPr>
        <w:spacing w:after="100"/>
        <w:ind w:left="216"/>
      </w:pPr>
      <w:r>
        <w:rPr>
          <w:b/>
          <w:color w:val="144B5A"/>
        </w:rPr>
        <w:t xml:space="preserve">Recommended action: </w:t>
      </w:r>
      <w:r>
        <w:t>Improve website conversion and use WhatsApp for high-intent support and repeat-customer follow-up. Add spend/attribution data before judging ROI.</w:t>
      </w:r>
    </w:p>
    <w:p>
      <w:pPr>
        <w:pStyle w:val="Heading2"/>
      </w:pPr>
      <w:r>
        <w:t>Geography</w:t>
      </w:r>
    </w:p>
    <w:p>
      <w:pPr>
        <w:spacing w:after="20"/>
      </w:pPr>
      <w:r>
        <w:rPr>
          <w:b/>
        </w:rPr>
        <w:t xml:space="preserve">Finding: </w:t>
      </w:r>
      <w:r>
        <w:t>Jaipur led (~₹134K), followed by Delhi (~₹86K); the lowest city was ~₹28K.</w:t>
      </w:r>
    </w:p>
    <w:p>
      <w:pPr>
        <w:spacing w:after="100"/>
        <w:ind w:left="216"/>
      </w:pPr>
      <w:r>
        <w:rPr>
          <w:b/>
          <w:color w:val="144B5A"/>
        </w:rPr>
        <w:t xml:space="preserve">Recommended action: </w:t>
      </w:r>
      <w:r>
        <w:t>Protect service quality in leading cities; test offers in lower-performing cities while considering customer count, delivery coverage and marketing exposure.</w:t>
      </w:r>
    </w:p>
    <w:p>
      <w:pPr>
        <w:pStyle w:val="Heading2"/>
      </w:pPr>
      <w:r>
        <w:t>Customer mix</w:t>
      </w:r>
    </w:p>
    <w:p>
      <w:pPr>
        <w:spacing w:after="20"/>
      </w:pPr>
      <w:r>
        <w:rPr>
          <w:b/>
        </w:rPr>
        <w:t xml:space="preserve">Finding: </w:t>
      </w:r>
      <w:r>
        <w:t>Female revenue was ~₹340K and male revenue ~₹334K. Unknown gender was ~₹27.98K (3.98%).</w:t>
      </w:r>
    </w:p>
    <w:p>
      <w:pPr>
        <w:spacing w:after="100"/>
        <w:ind w:left="216"/>
      </w:pPr>
      <w:r>
        <w:rPr>
          <w:b/>
          <w:color w:val="144B5A"/>
        </w:rPr>
        <w:t xml:space="preserve">Recommended action: </w:t>
      </w:r>
      <w:r>
        <w:t>Do not over-interpret the small difference. Keep Unknown visible and improve data capture without guessing demographics.</w:t>
      </w:r>
    </w:p>
    <w:p>
      <w:pPr>
        <w:pStyle w:val="Heading2"/>
      </w:pPr>
      <w:r>
        <w:t>Customer segments</w:t>
      </w:r>
    </w:p>
    <w:p>
      <w:pPr>
        <w:spacing w:after="20"/>
      </w:pPr>
      <w:r>
        <w:rPr>
          <w:b/>
        </w:rPr>
        <w:t xml:space="preserve">Finding: </w:t>
      </w:r>
      <w:r>
        <w:t>Returning customers contributed ~₹291K, New ~₹276K, and Loyal ~₹136K.</w:t>
      </w:r>
    </w:p>
    <w:p>
      <w:pPr>
        <w:spacing w:after="100"/>
        <w:ind w:left="216"/>
      </w:pPr>
      <w:r>
        <w:rPr>
          <w:b/>
          <w:color w:val="144B5A"/>
        </w:rPr>
        <w:t xml:space="preserve">Recommended action: </w:t>
      </w:r>
      <w:r>
        <w:t>Document segment definitions and overlap. If mutually exclusive, design separate retention journeys; otherwise do not sum them as a partition.</w:t>
      </w:r>
    </w:p>
    <w:p>
      <w:pPr>
        <w:pStyle w:val="Heading2"/>
      </w:pPr>
      <w:r>
        <w:t>Products</w:t>
      </w:r>
    </w:p>
    <w:p>
      <w:pPr>
        <w:spacing w:after="20"/>
      </w:pPr>
      <w:r>
        <w:rPr>
          <w:b/>
        </w:rPr>
        <w:t xml:space="preserve">Finding: </w:t>
      </w:r>
      <w:r>
        <w:t>Steel Lunch Box ~₹121K; Reusable Water Bottle ~₹81K; Yoga Strap ~₹31K.</w:t>
      </w:r>
    </w:p>
    <w:p>
      <w:pPr>
        <w:spacing w:after="100"/>
        <w:ind w:left="216"/>
      </w:pPr>
      <w:r>
        <w:rPr>
          <w:b/>
          <w:color w:val="144B5A"/>
        </w:rPr>
        <w:t xml:space="preserve">Recommended action: </w:t>
      </w:r>
      <w:r>
        <w:t>Compare units, margin, returns, discounting and stock-outs before inventory decisions. Revenue is not profit.</w:t>
      </w:r>
    </w:p>
    <w:p>
      <w:pPr>
        <w:pStyle w:val="Heading2"/>
      </w:pPr>
      <w:r>
        <w:t>Category demand</w:t>
      </w:r>
    </w:p>
    <w:p>
      <w:pPr>
        <w:spacing w:after="20"/>
      </w:pPr>
      <w:r>
        <w:rPr>
          <w:b/>
        </w:rPr>
        <w:t xml:space="preserve">Finding: </w:t>
      </w:r>
      <w:r>
        <w:t>Accessories: 393 orders; Lifestyle: 339; Fitness: 171 (lowest).</w:t>
      </w:r>
    </w:p>
    <w:p>
      <w:pPr>
        <w:spacing w:after="100"/>
        <w:ind w:left="216"/>
      </w:pPr>
      <w:r>
        <w:rPr>
          <w:b/>
          <w:color w:val="144B5A"/>
        </w:rPr>
        <w:t xml:space="preserve">Recommended action: </w:t>
      </w:r>
      <w:r>
        <w:t>Review product range, availability and conversion. Test a targeted Fitness campaign rather than assuming low orders mean low profitability.</w:t>
      </w:r>
    </w:p>
    <w:p>
      <w:pPr>
        <w:pStyle w:val="Heading2"/>
      </w:pPr>
      <w:r>
        <w:t>Weekday pattern</w:t>
      </w:r>
    </w:p>
    <w:p>
      <w:pPr>
        <w:spacing w:after="20"/>
      </w:pPr>
      <w:r>
        <w:rPr>
          <w:b/>
        </w:rPr>
        <w:t xml:space="preserve">Finding: </w:t>
      </w:r>
      <w:r>
        <w:t>Friday revenue ~₹116K, Saturday ~₹106K, Wednesday ~₹91K. Friday had 241 orders; Thursday 222; Sunday lowest at 192.</w:t>
      </w:r>
    </w:p>
    <w:p>
      <w:pPr>
        <w:spacing w:after="100"/>
        <w:ind w:left="216"/>
      </w:pPr>
      <w:r>
        <w:rPr>
          <w:b/>
          <w:color w:val="144B5A"/>
        </w:rPr>
        <w:t xml:space="preserve">Recommended action: </w:t>
      </w:r>
      <w:r>
        <w:t>Test campaign timing before peak days; investigate Sunday performance and compare equivalent weekdays across the period.</w:t>
      </w:r>
    </w:p>
    <w:p>
      <w:pPr>
        <w:pStyle w:val="Heading2"/>
      </w:pPr>
      <w:r>
        <w:t>Ratings</w:t>
      </w:r>
    </w:p>
    <w:p>
      <w:pPr>
        <w:spacing w:after="20"/>
      </w:pPr>
      <w:r>
        <w:rPr>
          <w:b/>
        </w:rPr>
        <w:t xml:space="preserve">Finding: </w:t>
      </w:r>
      <w:r>
        <w:t>Accessories average 4.0; Lifestyle 3.9; Home &amp; Office lowest at 3.8.</w:t>
      </w:r>
    </w:p>
    <w:p>
      <w:pPr>
        <w:spacing w:after="100"/>
        <w:ind w:left="216"/>
      </w:pPr>
      <w:r>
        <w:rPr>
          <w:b/>
          <w:color w:val="144B5A"/>
        </w:rPr>
        <w:t xml:space="preserve">Recommended action: </w:t>
      </w:r>
      <w:r>
        <w:t>Review feedback, packaging, descriptions and quality checks for Home &amp; Office. Display rating counts with averages.</w:t>
      </w:r>
    </w:p>
    <w:p>
      <w:pPr>
        <w:pStyle w:val="Heading1"/>
      </w:pPr>
      <w:r>
        <w:t>4. Data Quality Review</w:t>
      </w:r>
    </w:p>
    <w:p>
      <w:r>
        <w:t>The items below distinguish reported evidence from validation risks. They are not all confirmed defects because a full raw-file audit result was not included with the dashboard findings.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44B5A"/>
          </w:tcPr>
          <w:p>
            <w:r/>
            <w:r>
              <w:rPr>
                <w:rFonts w:ascii="Aptos" w:hAnsi="Aptos"/>
                <w:b/>
                <w:color w:val="FFFFFF"/>
                <w:sz w:val="15"/>
              </w:rPr>
              <w:t>Check / risk</w:t>
            </w:r>
          </w:p>
        </w:tc>
        <w:tc>
          <w:tcPr>
            <w:tcW w:type="dxa" w:w="3408"/>
            <w:vAlign w:val="center"/>
            <w:shd w:fill="144B5A"/>
          </w:tcPr>
          <w:p>
            <w:r/>
            <w:r>
              <w:rPr>
                <w:rFonts w:ascii="Aptos" w:hAnsi="Aptos"/>
                <w:b/>
                <w:color w:val="FFFFFF"/>
                <w:sz w:val="15"/>
              </w:rPr>
              <w:t>Evidence or concern</w:t>
            </w:r>
          </w:p>
        </w:tc>
        <w:tc>
          <w:tcPr>
            <w:tcW w:type="dxa" w:w="3408"/>
            <w:vAlign w:val="center"/>
            <w:shd w:fill="144B5A"/>
          </w:tcPr>
          <w:p>
            <w:r/>
            <w:r>
              <w:rPr>
                <w:rFonts w:ascii="Aptos" w:hAnsi="Aptos"/>
                <w:b/>
                <w:color w:val="FFFFFF"/>
                <w:sz w:val="15"/>
              </w:rPr>
              <w:t>Recommended treatment</w:t>
            </w:r>
          </w:p>
        </w:tc>
      </w:tr>
      <w:tr>
        <w:tc>
          <w:tcPr>
            <w:tcW w:type="dxa" w:w="3408"/>
            <w:vAlign w:val="center"/>
            <w:shd w:fill="F0F5F6"/>
          </w:tcPr>
          <w:p>
            <w:r/>
            <w:r>
              <w:rPr>
                <w:rFonts w:ascii="Aptos" w:hAnsi="Aptos"/>
                <w:b/>
                <w:sz w:val="15"/>
              </w:rPr>
              <w:t>Metric reconciliation</w:t>
            </w:r>
          </w:p>
        </w:tc>
        <w:tc>
          <w:tcPr>
            <w:tcW w:type="dxa" w:w="3408"/>
            <w:vAlign w:val="center"/>
            <w:shd w:fill="F0F5F6"/>
          </w:tcPr>
          <w:p>
            <w:r/>
            <w:r>
              <w:rPr>
                <w:rFonts w:ascii="Aptos" w:hAnsi="Aptos"/>
                <w:b w:val="0"/>
                <w:sz w:val="15"/>
              </w:rPr>
              <w:t>Revenue, orders and AOV must use the same date/status/filter scope. ₹702.79K ÷ 1.50K is approximately ₹468.53 using rounded values.</w:t>
            </w:r>
          </w:p>
        </w:tc>
        <w:tc>
          <w:tcPr>
            <w:tcW w:type="dxa" w:w="3408"/>
            <w:vAlign w:val="center"/>
            <w:shd w:fill="F0F5F6"/>
          </w:tcPr>
          <w:p>
            <w:r/>
            <w:r>
              <w:rPr>
                <w:rFonts w:ascii="Aptos" w:hAnsi="Aptos"/>
                <w:b w:val="0"/>
                <w:sz w:val="15"/>
              </w:rPr>
              <w:t>Recalculate from unrounded totals; define revenue and eligible order statuses; confirm distinct order key.</w:t>
            </w:r>
          </w:p>
        </w:tc>
      </w:tr>
      <w:tr>
        <w:tc>
          <w:tcPr>
            <w:tcW w:type="dxa" w:w="3408"/>
            <w:vAlign w:val="center"/>
          </w:tcPr>
          <w:p>
            <w:r/>
            <w:r>
              <w:rPr>
                <w:rFonts w:ascii="Aptos" w:hAnsi="Aptos"/>
                <w:b/>
                <w:sz w:val="15"/>
              </w:rPr>
              <w:t>Unknown gender</w:t>
            </w:r>
          </w:p>
        </w:tc>
        <w:tc>
          <w:tcPr>
            <w:tcW w:type="dxa" w:w="3408"/>
            <w:vAlign w:val="center"/>
          </w:tcPr>
          <w:p>
            <w:r/>
            <w:r>
              <w:rPr>
                <w:rFonts w:ascii="Aptos" w:hAnsi="Aptos"/>
                <w:b w:val="0"/>
                <w:sz w:val="15"/>
              </w:rPr>
              <w:t>Unknown gender revenue was reported as ~₹27.98K (3.98%).</w:t>
            </w:r>
          </w:p>
        </w:tc>
        <w:tc>
          <w:tcPr>
            <w:tcW w:type="dxa" w:w="3408"/>
            <w:vAlign w:val="center"/>
          </w:tcPr>
          <w:p>
            <w:r/>
            <w:r>
              <w:rPr>
                <w:rFonts w:ascii="Aptos" w:hAnsi="Aptos"/>
                <w:b w:val="0"/>
                <w:sz w:val="15"/>
              </w:rPr>
              <w:t>Keep as Unknown; quantify missingness and improve capture at source. Never infer gender.</w:t>
            </w:r>
          </w:p>
        </w:tc>
      </w:tr>
      <w:tr>
        <w:tc>
          <w:tcPr>
            <w:tcW w:type="dxa" w:w="3408"/>
            <w:vAlign w:val="center"/>
            <w:shd w:fill="F0F5F6"/>
          </w:tcPr>
          <w:p>
            <w:r/>
            <w:r>
              <w:rPr>
                <w:rFonts w:ascii="Aptos" w:hAnsi="Aptos"/>
                <w:b/>
                <w:sz w:val="15"/>
              </w:rPr>
              <w:t>Segment definitions</w:t>
            </w:r>
          </w:p>
        </w:tc>
        <w:tc>
          <w:tcPr>
            <w:tcW w:type="dxa" w:w="3408"/>
            <w:vAlign w:val="center"/>
            <w:shd w:fill="F0F5F6"/>
          </w:tcPr>
          <w:p>
            <w:r/>
            <w:r>
              <w:rPr>
                <w:rFonts w:ascii="Aptos" w:hAnsi="Aptos"/>
                <w:b w:val="0"/>
                <w:sz w:val="15"/>
              </w:rPr>
              <w:t>New, Returning and Loyal may overlap unless rules explicitly prevent it.</w:t>
            </w:r>
          </w:p>
        </w:tc>
        <w:tc>
          <w:tcPr>
            <w:tcW w:type="dxa" w:w="3408"/>
            <w:vAlign w:val="center"/>
            <w:shd w:fill="F0F5F6"/>
          </w:tcPr>
          <w:p>
            <w:r/>
            <w:r>
              <w:rPr>
                <w:rFonts w:ascii="Aptos" w:hAnsi="Aptos"/>
                <w:b w:val="0"/>
                <w:sz w:val="15"/>
              </w:rPr>
              <w:t>Define time window and mutually exclusive rules, or label segments as overlapping cohorts.</w:t>
            </w:r>
          </w:p>
        </w:tc>
      </w:tr>
      <w:tr>
        <w:tc>
          <w:tcPr>
            <w:tcW w:type="dxa" w:w="3408"/>
            <w:vAlign w:val="center"/>
          </w:tcPr>
          <w:p>
            <w:r/>
            <w:r>
              <w:rPr>
                <w:rFonts w:ascii="Aptos" w:hAnsi="Aptos"/>
                <w:b/>
                <w:sz w:val="15"/>
              </w:rPr>
              <w:t>Date and month order</w:t>
            </w:r>
          </w:p>
        </w:tc>
        <w:tc>
          <w:tcPr>
            <w:tcW w:type="dxa" w:w="3408"/>
            <w:vAlign w:val="center"/>
          </w:tcPr>
          <w:p>
            <w:r/>
            <w:r>
              <w:rPr>
                <w:rFonts w:ascii="Aptos" w:hAnsi="Aptos"/>
                <w:b w:val="0"/>
                <w:sz w:val="15"/>
              </w:rPr>
              <w:t>Monthly charts can mislead if months sort alphabetically or omit year.</w:t>
            </w:r>
          </w:p>
        </w:tc>
        <w:tc>
          <w:tcPr>
            <w:tcW w:type="dxa" w:w="3408"/>
            <w:vAlign w:val="center"/>
          </w:tcPr>
          <w:p>
            <w:r/>
            <w:r>
              <w:rPr>
                <w:rFonts w:ascii="Aptos" w:hAnsi="Aptos"/>
                <w:b w:val="0"/>
                <w:sz w:val="15"/>
              </w:rPr>
              <w:t>Use true date/month key, chronological sorting and Month-Year labels.</w:t>
            </w:r>
          </w:p>
        </w:tc>
      </w:tr>
      <w:tr>
        <w:tc>
          <w:tcPr>
            <w:tcW w:type="dxa" w:w="3408"/>
            <w:vAlign w:val="center"/>
            <w:shd w:fill="F0F5F6"/>
          </w:tcPr>
          <w:p>
            <w:r/>
            <w:r>
              <w:rPr>
                <w:rFonts w:ascii="Aptos" w:hAnsi="Aptos"/>
                <w:b/>
                <w:sz w:val="15"/>
              </w:rPr>
              <w:t>Currency and rounding</w:t>
            </w:r>
          </w:p>
        </w:tc>
        <w:tc>
          <w:tcPr>
            <w:tcW w:type="dxa" w:w="3408"/>
            <w:vAlign w:val="center"/>
            <w:shd w:fill="F0F5F6"/>
          </w:tcPr>
          <w:p>
            <w:r/>
            <w:r>
              <w:rPr>
                <w:rFonts w:ascii="Aptos" w:hAnsi="Aptos"/>
                <w:b w:val="0"/>
                <w:sz w:val="15"/>
              </w:rPr>
              <w:t>Dashboard displays rounded values in K format.</w:t>
            </w:r>
          </w:p>
        </w:tc>
        <w:tc>
          <w:tcPr>
            <w:tcW w:type="dxa" w:w="3408"/>
            <w:vAlign w:val="center"/>
            <w:shd w:fill="F0F5F6"/>
          </w:tcPr>
          <w:p>
            <w:r/>
            <w:r>
              <w:rPr>
                <w:rFonts w:ascii="Aptos" w:hAnsi="Aptos"/>
                <w:b w:val="0"/>
                <w:sz w:val="15"/>
              </w:rPr>
              <w:t>Keep full precision in calculations; format INR consistently for display.</w:t>
            </w:r>
          </w:p>
        </w:tc>
      </w:tr>
      <w:tr>
        <w:tc>
          <w:tcPr>
            <w:tcW w:type="dxa" w:w="3408"/>
            <w:vAlign w:val="center"/>
          </w:tcPr>
          <w:p>
            <w:r/>
            <w:r>
              <w:rPr>
                <w:rFonts w:ascii="Aptos" w:hAnsi="Aptos"/>
                <w:b/>
                <w:sz w:val="15"/>
              </w:rPr>
              <w:t>Order ID uniqueness</w:t>
            </w:r>
          </w:p>
        </w:tc>
        <w:tc>
          <w:tcPr>
            <w:tcW w:type="dxa" w:w="3408"/>
            <w:vAlign w:val="center"/>
          </w:tcPr>
          <w:p>
            <w:r/>
            <w:r>
              <w:rPr>
                <w:rFonts w:ascii="Aptos" w:hAnsi="Aptos"/>
                <w:b w:val="0"/>
                <w:sz w:val="15"/>
              </w:rPr>
              <w:t>A distinct-order check was identified as necessary; no verified result was included in the shared findings.</w:t>
            </w:r>
          </w:p>
        </w:tc>
        <w:tc>
          <w:tcPr>
            <w:tcW w:type="dxa" w:w="3408"/>
            <w:vAlign w:val="center"/>
          </w:tcPr>
          <w:p>
            <w:r/>
            <w:r>
              <w:rPr>
                <w:rFonts w:ascii="Aptos" w:hAnsi="Aptos"/>
                <w:b w:val="0"/>
                <w:sz w:val="15"/>
              </w:rPr>
              <w:t>Check duplicate order IDs and establish whether each row is an order or order line.</w:t>
            </w:r>
          </w:p>
        </w:tc>
      </w:tr>
      <w:tr>
        <w:tc>
          <w:tcPr>
            <w:tcW w:type="dxa" w:w="3408"/>
            <w:vAlign w:val="center"/>
            <w:shd w:fill="F0F5F6"/>
          </w:tcPr>
          <w:p>
            <w:r/>
            <w:r>
              <w:rPr>
                <w:rFonts w:ascii="Aptos" w:hAnsi="Aptos"/>
                <w:b/>
                <w:sz w:val="15"/>
              </w:rPr>
              <w:t>Channel/payment totals</w:t>
            </w:r>
          </w:p>
        </w:tc>
        <w:tc>
          <w:tcPr>
            <w:tcW w:type="dxa" w:w="3408"/>
            <w:vAlign w:val="center"/>
            <w:shd w:fill="F0F5F6"/>
          </w:tcPr>
          <w:p>
            <w:r/>
            <w:r>
              <w:rPr>
                <w:rFonts w:ascii="Aptos" w:hAnsi="Aptos"/>
                <w:b w:val="0"/>
                <w:sz w:val="15"/>
              </w:rPr>
              <w:t>Channel and payment totals need consistent filters and category spelling.</w:t>
            </w:r>
          </w:p>
        </w:tc>
        <w:tc>
          <w:tcPr>
            <w:tcW w:type="dxa" w:w="3408"/>
            <w:vAlign w:val="center"/>
            <w:shd w:fill="F0F5F6"/>
          </w:tcPr>
          <w:p>
            <w:r/>
            <w:r>
              <w:rPr>
                <w:rFonts w:ascii="Aptos" w:hAnsi="Aptos"/>
                <w:b w:val="0"/>
                <w:sz w:val="15"/>
              </w:rPr>
              <w:t>Standardize labels and reconcile totals to the grand total.</w:t>
            </w:r>
          </w:p>
        </w:tc>
      </w:tr>
      <w:tr>
        <w:tc>
          <w:tcPr>
            <w:tcW w:type="dxa" w:w="3408"/>
            <w:vAlign w:val="center"/>
          </w:tcPr>
          <w:p>
            <w:r/>
            <w:r>
              <w:rPr>
                <w:rFonts w:ascii="Aptos" w:hAnsi="Aptos"/>
                <w:b/>
                <w:sz w:val="15"/>
              </w:rPr>
              <w:t>Profit and marketing ROI</w:t>
            </w:r>
          </w:p>
        </w:tc>
        <w:tc>
          <w:tcPr>
            <w:tcW w:type="dxa" w:w="3408"/>
            <w:vAlign w:val="center"/>
          </w:tcPr>
          <w:p>
            <w:r/>
            <w:r>
              <w:rPr>
                <w:rFonts w:ascii="Aptos" w:hAnsi="Aptos"/>
                <w:b w:val="0"/>
                <w:sz w:val="15"/>
              </w:rPr>
              <w:t>The shared figures do not include product cost, operating cost or ad spend.</w:t>
            </w:r>
          </w:p>
        </w:tc>
        <w:tc>
          <w:tcPr>
            <w:tcW w:type="dxa" w:w="3408"/>
            <w:vAlign w:val="center"/>
          </w:tcPr>
          <w:p>
            <w:r/>
            <w:r>
              <w:rPr>
                <w:rFonts w:ascii="Aptos" w:hAnsi="Aptos"/>
                <w:b w:val="0"/>
                <w:sz w:val="15"/>
              </w:rPr>
              <w:t>Do not claim profit, margin, ROAS or causal reasons without cost and attribution data.</w:t>
            </w:r>
          </w:p>
        </w:tc>
      </w:tr>
    </w:tbl>
    <w:p>
      <w:pPr>
        <w:pStyle w:val="Heading1"/>
      </w:pPr>
      <w:r>
        <w:t>5. Data Preparation &amp; Transformation Notes</w:t>
      </w:r>
    </w:p>
    <w:p>
      <w:pPr>
        <w:pStyle w:val="ListBullet"/>
      </w:pPr>
      <w:r>
        <w:t>Retain Unknown gender as a valid reporting category; do not fill it with a guessed value.</w:t>
      </w:r>
    </w:p>
    <w:p>
      <w:pPr>
        <w:pStyle w:val="ListBullet"/>
      </w:pPr>
      <w:r>
        <w:t>Validate New, Returning and Loyal segment logic before aggregating or comparing segment totals.</w:t>
      </w:r>
    </w:p>
    <w:p>
      <w:pPr>
        <w:pStyle w:val="ListBullet"/>
      </w:pPr>
      <w:r>
        <w:t>Use date data types and chronological month sorting; include year when displaying months.</w:t>
      </w:r>
    </w:p>
    <w:p>
      <w:pPr>
        <w:pStyle w:val="ListBullet"/>
      </w:pPr>
      <w:r>
        <w:t>Standardize currency to INR and keep full precision in measures until final display formatting.</w:t>
      </w:r>
    </w:p>
    <w:p>
      <w:pPr>
        <w:pStyle w:val="ListBullet"/>
      </w:pPr>
      <w:r>
        <w:t>Run duplicate order ID, missing-value, data-type, valid-range and financial reconciliation checks before sign-off.</w:t>
      </w:r>
    </w:p>
    <w:p>
      <w:pPr>
        <w:pStyle w:val="ListBullet"/>
      </w:pPr>
      <w:r>
        <w:t>Do not claim that records were removed or missing values imputed unless the cleaning log and before/after counts support it.</w:t>
      </w:r>
    </w:p>
    <w:p>
      <w:pPr>
        <w:pStyle w:val="Heading1"/>
      </w:pPr>
      <w:r>
        <w:t>6. Recommendations &amp; Action Plan</w:t>
      </w:r>
    </w:p>
    <w:p>
      <w:pPr>
        <w:pStyle w:val="Heading2"/>
      </w:pPr>
      <w:r>
        <w:t>P1 — Validate the numbers</w:t>
      </w:r>
    </w:p>
    <w:p>
      <w:r>
        <w:t>Reconcile revenue, distinct orders and AOV using one source of truth. Confirm status filters and whether revenue means gross sales, net sales or collected amount.</w:t>
      </w:r>
    </w:p>
    <w:p>
      <w:pPr>
        <w:pStyle w:val="Heading2"/>
      </w:pPr>
      <w:r>
        <w:t>P2 — Improve retention</w:t>
      </w:r>
    </w:p>
    <w:p>
      <w:r>
        <w:t>Build repeat-purchase reminders and loyalty offers only after defining segment rules. Track repeat purchase rate over a fixed period.</w:t>
      </w:r>
    </w:p>
    <w:p>
      <w:pPr>
        <w:pStyle w:val="Heading2"/>
      </w:pPr>
      <w:r>
        <w:t>P3 — Optimize channels</w:t>
      </w:r>
    </w:p>
    <w:p>
      <w:r>
        <w:t>Improve website conversion and test WhatsApp-assisted conversion. Add campaign cost and attributed orders before comparing marketing efficiency.</w:t>
      </w:r>
    </w:p>
    <w:p>
      <w:pPr>
        <w:pStyle w:val="Heading2"/>
      </w:pPr>
      <w:r>
        <w:t>P4 — Review products</w:t>
      </w:r>
    </w:p>
    <w:p>
      <w:r>
        <w:t>Investigate leading products using units, gross margin, returns and stock availability. Diagnose Home &amp; Office ratings and Fitness order volume.</w:t>
      </w:r>
    </w:p>
    <w:p>
      <w:pPr>
        <w:pStyle w:val="Heading2"/>
      </w:pPr>
      <w:r>
        <w:t>P5 — Test campaign timing</w:t>
      </w:r>
    </w:p>
    <w:p>
      <w:r>
        <w:t>Test Friday/weekend campaigns and diagnose April's low sales using campaign, inventory and comparable-period evidence.</w:t>
      </w:r>
    </w:p>
    <w:p>
      <w:pPr>
        <w:pStyle w:val="Heading2"/>
      </w:pPr>
      <w:r>
        <w:t>P6 — Improve data collection</w:t>
      </w:r>
    </w:p>
    <w:p>
      <w:r>
        <w:t>Capture product cost, advertising spend, cancellation reason, return reason and standardized channel/payment fields.</w:t>
      </w:r>
    </w:p>
    <w:p>
      <w:pPr>
        <w:pStyle w:val="Heading1"/>
      </w:pPr>
      <w:r>
        <w:t>7. Suggested Power BI Dashboard Structure</w:t>
      </w:r>
    </w:p>
    <w:p>
      <w:pPr>
        <w:pStyle w:val="ListBullet"/>
      </w:pPr>
      <w:r>
        <w:t>Page 1 — Executive Overview: revenue, distinct orders, AOV, monthly trend, payment methods and channels.</w:t>
      </w:r>
    </w:p>
    <w:p>
      <w:pPr>
        <w:pStyle w:val="ListBullet"/>
      </w:pPr>
      <w:r>
        <w:t>Page 2 — Customer Insights: city/state, gender including Unknown, segment definitions and repeat-customer metrics.</w:t>
      </w:r>
    </w:p>
    <w:p>
      <w:pPr>
        <w:pStyle w:val="ListBullet"/>
      </w:pPr>
      <w:r>
        <w:t>Page 3 — Product &amp; Category: product revenue, category order count, ratings and discount distribution.</w:t>
      </w:r>
    </w:p>
    <w:p>
      <w:pPr>
        <w:pStyle w:val="ListBullet"/>
      </w:pPr>
      <w:r>
        <w:t>Page 4 — Operations: order status, cancellation/return rates, delivery days and weekday trends.</w:t>
      </w:r>
    </w:p>
    <w:p>
      <w:pPr>
        <w:pStyle w:val="ListBullet"/>
      </w:pPr>
      <w:r>
        <w:t>Slicers: date/month, city/state, category/product, sales channel, payment method and order status.</w:t>
      </w:r>
    </w:p>
    <w:p>
      <w:pPr>
        <w:pStyle w:val="ListBullet"/>
      </w:pPr>
      <w:r>
        <w:t>Use clear KPI definitions, chronological month sorting, consistent INR formatting and a visible data note.</w:t>
      </w:r>
    </w:p>
    <w:p>
      <w:pPr>
        <w:pStyle w:val="Heading1"/>
      </w:pPr>
      <w:r>
        <w:t>8. Limitations &amp; Assumptions</w:t>
      </w:r>
    </w:p>
    <w:p>
      <w:pPr>
        <w:pStyle w:val="ListBullet"/>
      </w:pPr>
      <w:r>
        <w:t>Report metrics are based on the dashboard findings shared by the analyst; they were not independently recalculated from the raw CSV in this report-writing step.</w:t>
      </w:r>
    </w:p>
    <w:p>
      <w:pPr>
        <w:pStyle w:val="ListBullet"/>
      </w:pPr>
      <w:r>
        <w:t>The generated practice CSV is synthetic, not real company data. If the dashboard values came from another version of the data, reconcile the two before publication.</w:t>
      </w:r>
    </w:p>
    <w:p>
      <w:pPr>
        <w:pStyle w:val="ListBullet"/>
      </w:pPr>
      <w:r>
        <w:t>Revenue is not profit; product costs and operating expenses are required to calculate profit or margin.</w:t>
      </w:r>
    </w:p>
    <w:p>
      <w:pPr>
        <w:pStyle w:val="ListBullet"/>
      </w:pPr>
      <w:r>
        <w:t>ROAS/marketing ROI requires campaign spend and reliable order attribution.</w:t>
      </w:r>
    </w:p>
    <w:p>
      <w:pPr>
        <w:pStyle w:val="ListBullet"/>
      </w:pPr>
      <w:r>
        <w:t>Low city/category/product results may reflect low exposure, availability or customer mix—not necessarily poor performance.</w:t>
      </w:r>
    </w:p>
    <w:p>
      <w:pPr>
        <w:pStyle w:val="Heading1"/>
      </w:pPr>
      <w:r>
        <w:t>9. Conclusion</w:t>
      </w:r>
    </w:p>
    <w:p>
      <w:r>
        <w:t>The reported dashboard points to opportunities in website conversion, customer retention, product planning and customer experience—especially reviewing Home &amp; Office ratings and lower-order-volume categories. Before operational decisions, UrbanLeaf should reconcile KPI definitions and validate the data against one clean source. Adding cost, ad spend, cancellation reasons and return reasons will enable profitability analysis and better root-cause diagnosis.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UrbanLeaf | Fictional practice case | Validate source figures before external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4B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4B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4B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