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38"/>
          <w:szCs w:val="38"/>
        </w:rPr>
        <w:t xml:space="preserve">OceanEmbed</w:t>
      </w:r>
    </w:p>
    <w:p>
      <w:pPr>
        <w:spacing w:after="40"/>
        <w:jc w:val="center"/>
      </w:pPr>
      <w:r>
        <w:rPr>
          <w:rFonts w:ascii="Times New Roman" w:cs="Times New Roman" w:eastAsia="Times New Roman" w:hAnsi="Times New Roman"/>
          <w:i/>
          <w:iCs/>
          <w:sz w:val="22"/>
          <w:szCs w:val="22"/>
        </w:rPr>
        <w:t xml:space="preserve">A Satellite Embedding-Based Deep Learning Framework for Reconstruction of Subsurface Ocean Temperature from Surface Satellite Observations</w:t>
      </w:r>
    </w:p>
    <w:p>
      <w:pPr>
        <w:spacing w:after="30"/>
        <w:jc w:val="center"/>
      </w:pPr>
      <w:r>
        <w:rPr>
          <w:rFonts w:ascii="Times New Roman" w:cs="Times New Roman" w:eastAsia="Times New Roman" w:hAnsi="Times New Roman"/>
          <w:sz w:val="19"/>
          <w:szCs w:val="19"/>
        </w:rPr>
        <w:t xml:space="preserve">Executive Whitepaper  |  Smart India Hackathon 2026  |  Problem Statement ID 26066</w:t>
      </w:r>
    </w:p>
    <w:p>
      <w:pPr>
        <w:pBdr>
          <w:bottom w:val="single" w:color="1F3864" w:sz="8" w:space="6"/>
        </w:pBdr>
        <w:spacing w:after="140"/>
        <w:jc w:val="center"/>
      </w:pPr>
      <w:r>
        <w:rPr>
          <w:rFonts w:ascii="Times New Roman" w:cs="Times New Roman" w:eastAsia="Times New Roman" w:hAnsi="Times New Roman"/>
          <w:sz w:val="19"/>
          <w:szCs w:val="19"/>
        </w:rPr>
        <w:t xml:space="preserve">Team SANKALP (#777)  |  Ministry of Earth Sciences, INCOIS Ocean Valley</w:t>
      </w:r>
    </w:p>
    <w:p>
      <w:pPr>
        <w:pStyle w:val="Heading1"/>
        <w:spacing w:after="90" w:before="200"/>
      </w:pPr>
      <w:r>
        <w:rPr>
          <w:rFonts w:ascii="Times New Roman" w:cs="Times New Roman" w:eastAsia="Times New Roman" w:hAnsi="Times New Roman"/>
          <w:b/>
          <w:bCs/>
          <w:color w:val="1F3864"/>
          <w:sz w:val="26"/>
          <w:szCs w:val="26"/>
        </w:rPr>
        <w:t xml:space="preserve">1. The Core Dilemma and Problem Analysis</w:t>
      </w:r>
    </w:p>
    <w:p>
      <w:pPr>
        <w:spacing w:after="100" w:line="258"/>
        <w:jc w:val="both"/>
      </w:pPr>
      <w:r>
        <w:rPr>
          <w:rFonts w:ascii="Times New Roman" w:cs="Times New Roman" w:eastAsia="Times New Roman" w:hAnsi="Times New Roman"/>
          <w:sz w:val="21"/>
          <w:szCs w:val="21"/>
        </w:rPr>
        <w:t xml:space="preserve">Subsurface ocean temperature is one of the basic quantities needed to describe how the ocean behaves. It governs upper-ocean heat content, stratification and circulation, shapes air-sea interaction and climate variability, and sets the conditions in which marine life lives and feeds. Marine heatwave monitoring, fisheries advisories and the data assimilation systems behind ocean forecasts all depend on knowing how temperature changes with depth.</w:t>
      </w:r>
    </w:p>
    <w:p>
      <w:pPr>
        <w:spacing w:after="100" w:line="258"/>
        <w:jc w:val="both"/>
      </w:pPr>
      <w:r>
        <w:rPr>
          <w:rFonts w:ascii="Times New Roman" w:cs="Times New Roman" w:eastAsia="Times New Roman" w:hAnsi="Times New Roman"/>
          <w:sz w:val="21"/>
          <w:szCs w:val="21"/>
        </w:rPr>
        <w:t xml:space="preserve">That knowledge is hard to obtain. Satellites observe the ocean continuously and at fine resolution, but their sensors respond only to the uppermost layer of water. Direct measurements of the interior come from ARGO profiling floats, moored buoys, gliders and ship surveys. ARGO floats can profile to roughly 2 km, yet they sit at scattered positions and cannot give continuous, basin-wide coverage. The data that is dense is shallow, and the data that is deep is sparse.</w:t>
      </w:r>
    </w:p>
    <w:p>
      <w:pPr>
        <w:spacing w:after="100" w:line="258"/>
        <w:jc w:val="both"/>
      </w:pPr>
      <w:r>
        <w:rPr>
          <w:rFonts w:ascii="Times New Roman" w:cs="Times New Roman" w:eastAsia="Times New Roman" w:hAnsi="Times New Roman"/>
          <w:sz w:val="21"/>
          <w:szCs w:val="21"/>
        </w:rPr>
        <w:t xml:space="preserve">The gap can be narrowed because the surface is not independent of what lies beneath it. Sea surface height reflects the displacement of the thermocline and the presence of eddies, temperature and salinity carry traces of mixing and transport, and winds and currents record the exchange of momentum between atmosphere and ocean. These signatures are indirect and nonlinear, which is why simple statistical relationships have had limited success and why deep learning is a reasonable tool to apply.</w:t>
      </w:r>
    </w:p>
    <w:p>
      <w:pPr>
        <w:spacing w:after="100" w:line="258"/>
        <w:jc w:val="both"/>
      </w:pPr>
      <w:r>
        <w:rPr>
          <w:rFonts w:ascii="Times New Roman" w:cs="Times New Roman" w:eastAsia="Times New Roman" w:hAnsi="Times New Roman"/>
          <w:sz w:val="21"/>
          <w:szCs w:val="21"/>
        </w:rPr>
        <w:t xml:space="preserve">The North Indian Ocean adds a further difficulty. The Arabian Sea and the Bay of Bengal behave differently below the surface, and the Bay in particular receives large river discharge and monsoon rainfall that produce a fresher surface layer, which can weaken the usual link between surface conditions and the temperature beneath. A single model trained uniformly across both basins would be expected to learn an average relationship that suits neither well. Problem Statement 26066 asks for daily, depth-wise temperature at 0.25° resolution over 5°N to 30°N and 45°E to 105°E, at fifteen standard depths down to 1000 m, derived from surface satellite observations alone and evaluated against independent ARGO data.</w:t>
      </w:r>
    </w:p>
    <w:p>
      <w:pPr>
        <w:pStyle w:val="Heading1"/>
        <w:spacing w:after="90" w:before="200"/>
      </w:pPr>
      <w:r>
        <w:rPr>
          <w:rFonts w:ascii="Times New Roman" w:cs="Times New Roman" w:eastAsia="Times New Roman" w:hAnsi="Times New Roman"/>
          <w:b/>
          <w:bCs/>
          <w:color w:val="1F3864"/>
          <w:sz w:val="26"/>
          <w:szCs w:val="26"/>
        </w:rPr>
        <w:t xml:space="preserve">2. Technical Architecture</w:t>
      </w:r>
    </w:p>
    <w:p>
      <w:pPr>
        <w:spacing w:after="100" w:line="258"/>
        <w:jc w:val="both"/>
      </w:pPr>
      <w:r>
        <w:rPr>
          <w:rFonts w:ascii="Times New Roman" w:cs="Times New Roman" w:eastAsia="Times New Roman" w:hAnsi="Times New Roman"/>
          <w:sz w:val="21"/>
          <w:szCs w:val="21"/>
        </w:rPr>
        <w:t xml:space="preserve">OceanEmbed follows a simple chain: harmonise the surface data, learn a compact representation of it, decode that representation into a temperature profile, and check the result against independent observations. We first describe the full framework and then the part of it that we have built and tested as a working prototype.</w:t>
      </w:r>
    </w:p>
    <w:p>
      <w:pPr>
        <w:pStyle w:val="Heading2"/>
        <w:spacing w:after="50" w:before="100"/>
      </w:pPr>
      <w:r>
        <w:rPr>
          <w:rFonts w:ascii="Times New Roman" w:cs="Times New Roman" w:eastAsia="Times New Roman" w:hAnsi="Times New Roman"/>
          <w:b/>
          <w:bCs/>
          <w:color w:val="2E4A7D"/>
          <w:sz w:val="22"/>
          <w:szCs w:val="22"/>
        </w:rPr>
        <w:t xml:space="preserve">2.1 Framework design</w:t>
      </w:r>
    </w:p>
    <w:p>
      <w:pPr>
        <w:spacing w:after="100" w:line="258"/>
        <w:jc w:val="both"/>
      </w:pPr>
      <w:r>
        <w:rPr>
          <w:rFonts w:ascii="Times New Roman" w:cs="Times New Roman" w:eastAsia="Times New Roman" w:hAnsi="Times New Roman"/>
          <w:sz w:val="21"/>
          <w:szCs w:val="21"/>
        </w:rPr>
        <w:t xml:space="preserve">The inputs are sea surface temperature, salinity and height, surface currents and surface winds, taken from the products recommended in the problem statement (Table 1) and regridded to a common 0.25° daily grid. The stacked channels pass through a convolutional encoder, with a Vision Transformer variant to be compared against it, which produces a latent embedding for each location. A decoder maps the embedding to temperature at all fifteen standard depths in a single pass, so that neighbouring levels stay consistent with one another. GLORYS reanalysis is the training target. To handle the different physics of the two basins, the framework conditions its predictions on location and a salinity-derived signal and reports skill separately for the Arabian Sea and the Bay of Bengal. Final validation uses held-out Gridded ARGO profiles from the INCOIS Live Access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246"/>
        <w:gridCol w:w="32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Variable</w:t>
            </w:r>
          </w:p>
        </w:tc>
        <w:tc>
          <w:tcPr>
            <w:tcW w:type="dxa" w:w="4246"/>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Product</w:t>
            </w:r>
          </w:p>
        </w:tc>
        <w:tc>
          <w:tcPr>
            <w:tcW w:type="dxa" w:w="32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Native resolution</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Sea surface temperature</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OSTIA</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0.05°, daily</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Sea surface salinity</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SMAP, SMOS</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0.125°, daily</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Sea surface height</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DUACS</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0.25°, daily</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Surface currents</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OSCAR</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0.25°, daily</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Surface winds</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CCMP, ASCAT</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0.25°, daily</w:t>
            </w:r>
          </w:p>
        </w:tc>
      </w:tr>
      <w:tr>
        <w:trPr>
          <w:tblHeader w:val="false"/>
        </w:trPr>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Training target / validation</w:t>
            </w:r>
          </w:p>
        </w:tc>
        <w:tc>
          <w:tcPr>
            <w:tcW w:type="dxa" w:w="42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GLORYS reanalysis / Gridded ARGO</w:t>
            </w:r>
          </w:p>
        </w:tc>
        <w:tc>
          <w:tcPr>
            <w:tcW w:type="dxa" w:w="32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Profiles</w:t>
            </w:r>
          </w:p>
        </w:tc>
      </w:tr>
    </w:tbl>
    <w:p>
      <w:pPr>
        <w:spacing w:after="100" w:before="50"/>
      </w:pPr>
      <w:r>
        <w:rPr>
          <w:rFonts w:ascii="Times New Roman" w:cs="Times New Roman" w:eastAsia="Times New Roman" w:hAnsi="Times New Roman"/>
          <w:i/>
          <w:iCs/>
          <w:sz w:val="18"/>
          <w:szCs w:val="18"/>
        </w:rPr>
        <w:t xml:space="preserve">Table 1. Input datasets, training target and validation data.</w:t>
      </w:r>
    </w:p>
    <w:p>
      <w:pPr>
        <w:pStyle w:val="Heading2"/>
        <w:spacing w:after="50" w:before="100"/>
      </w:pPr>
      <w:r>
        <w:rPr>
          <w:rFonts w:ascii="Times New Roman" w:cs="Times New Roman" w:eastAsia="Times New Roman" w:hAnsi="Times New Roman"/>
          <w:b/>
          <w:bCs/>
          <w:color w:val="2E4A7D"/>
          <w:sz w:val="22"/>
          <w:szCs w:val="22"/>
        </w:rPr>
        <w:t xml:space="preserve">2.2 Working prototype</w:t>
      </w:r>
    </w:p>
    <w:p>
      <w:pPr>
        <w:spacing w:after="100" w:line="258"/>
        <w:jc w:val="both"/>
      </w:pPr>
      <w:r>
        <w:rPr>
          <w:rFonts w:ascii="Times New Roman" w:cs="Times New Roman" w:eastAsia="Times New Roman" w:hAnsi="Times New Roman"/>
          <w:sz w:val="21"/>
          <w:szCs w:val="21"/>
        </w:rPr>
        <w:t xml:space="preserve">To test the core idea within the hackathon timeline, we built a proof of concept over a 10° by 10° box in the Bay of Bengal (80°E to 90°E, 10°N to 20°N), using daily data from January to June 2021. The five input channels (SST, SSS, SSH and the two surface current components) and the target temperatures were taken from the GLORYS reanalysis and averaged from 1/12° to 0.25°. Because inputs and target come from the same reanalysis, this is an easier problem than one using real satellite products. We treat it as a test of the learning approach and not of the final satellite pipeline.</w:t>
      </w:r>
    </w:p>
    <w:p>
      <w:pPr>
        <w:spacing w:after="100" w:line="258"/>
        <w:jc w:val="both"/>
      </w:pPr>
      <w:r>
        <w:rPr>
          <w:rFonts w:ascii="Times New Roman" w:cs="Times New Roman" w:eastAsia="Times New Roman" w:hAnsi="Times New Roman"/>
          <w:sz w:val="21"/>
          <w:szCs w:val="21"/>
        </w:rPr>
        <w:t xml:space="preserve">The model is a U-Net-style convolutional encoder-decoder. Three convolutional stages compress the five-channel field into a 128-channel latent representation, and a decoder with skip connections expands it to fifteen output channels, one for each depth between the surface and about 900 m (the model levels nearest to the standard depths, since the download was capped at 1000 m). Training minimised a masked mean squared error, with land and seafloor points excluded, plus a term that matches the vertical differences between neighbouring depths. We used the AdamW optimiser on a single GPU and kept the epoch with the lowest loss on a validation slice from the end of the training period.</w:t>
      </w:r>
    </w:p>
    <w:p>
      <w:pPr>
        <w:spacing w:after="100" w:line="258"/>
        <w:jc w:val="both"/>
      </w:pPr>
      <w:r>
        <w:rPr>
          <w:rFonts w:ascii="Times New Roman" w:cs="Times New Roman" w:eastAsia="Times New Roman" w:hAnsi="Times New Roman"/>
          <w:sz w:val="21"/>
          <w:szCs w:val="21"/>
        </w:rPr>
        <w:t xml:space="preserve">The first 120 days were used for training and the last 61 days (May and June) were held out. Table 2 compares the model with a simple baseline, the January to April average at each location and depth, on the held-out days.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2146"/>
        <w:gridCol w:w="23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Depth (m)</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RMSE (°C)</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Bias (°C)</w:t>
            </w:r>
          </w:p>
        </w:tc>
        <w:tc>
          <w:tcPr>
            <w:tcW w:type="dxa" w:w="2146"/>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Baseline RMSE (°C)</w:t>
            </w:r>
          </w:p>
        </w:tc>
        <w:tc>
          <w:tcPr>
            <w:tcW w:type="dxa" w:w="2300"/>
            <w:tcBorders>
              <w:top w:val="single" w:color="A6A6A6" w:sz="4"/>
              <w:left w:val="single" w:color="A6A6A6" w:sz="4"/>
              <w:bottom w:val="single" w:color="A6A6A6" w:sz="4"/>
              <w:right w:val="single" w:color="A6A6A6" w:sz="4"/>
            </w:tcBorders>
            <w:shd w:fill="D9E2F3" w:color="auto" w:val="clear"/>
            <w:tcMar>
              <w:top w:type="dxa" w:w="40"/>
              <w:left w:type="dxa" w:w="100"/>
              <w:bottom w:type="dxa" w:w="40"/>
              <w:right w:type="dxa" w:w="100"/>
            </w:tcMar>
          </w:tcPr>
          <w:p>
            <w:r>
              <w:rPr>
                <w:rFonts w:ascii="Times New Roman" w:cs="Times New Roman" w:eastAsia="Times New Roman" w:hAnsi="Times New Roman"/>
                <w:b/>
                <w:bCs/>
                <w:sz w:val="19"/>
                <w:szCs w:val="19"/>
              </w:rPr>
              <w:t xml:space="preserve">Anomaly correlation</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0.5</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0.50</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-0.16</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2.29</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0.75</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18.5</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0.60</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-0.42</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2.18</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0.72</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47.4</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0.74</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-0.45</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1.25</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0.42</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92.3</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0.87</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0.35</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1.66</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0.88</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130.7</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0.98</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0.47</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1.91</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0.90</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318.1</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0.29</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0.10</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0.41</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0.70</w:t>
            </w:r>
          </w:p>
        </w:tc>
      </w:tr>
      <w:tr>
        <w:trPr>
          <w:tblHeader w:val="false"/>
        </w:trPr>
        <w:tc>
          <w:tcPr>
            <w:tcW w:type="dxa" w:w="19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902.3</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0.19</w:t>
            </w:r>
          </w:p>
        </w:tc>
        <w:tc>
          <w:tcPr>
            <w:tcW w:type="dxa" w:w="17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0.00</w:t>
            </w:r>
          </w:p>
        </w:tc>
        <w:tc>
          <w:tcPr>
            <w:tcW w:type="dxa" w:w="2146"/>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0.22</w:t>
            </w:r>
          </w:p>
        </w:tc>
        <w:tc>
          <w:tcPr>
            <w:tcW w:type="dxa" w:w="2300"/>
            <w:tcBorders>
              <w:top w:val="single" w:color="A6A6A6" w:sz="4"/>
              <w:left w:val="single" w:color="A6A6A6" w:sz="4"/>
              <w:bottom w:val="single" w:color="A6A6A6" w:sz="4"/>
              <w:right w:val="single" w:color="A6A6A6" w:sz="4"/>
            </w:tcBorders>
            <w:tcMar>
              <w:top w:type="dxa" w:w="40"/>
              <w:left w:type="dxa" w:w="100"/>
              <w:bottom w:type="dxa" w:w="40"/>
              <w:right w:type="dxa" w:w="100"/>
            </w:tcMar>
          </w:tcPr>
          <w:p>
            <w:r>
              <w:rPr>
                <w:rFonts w:ascii="Times New Roman" w:cs="Times New Roman" w:eastAsia="Times New Roman" w:hAnsi="Times New Roman"/>
                <w:b w:val="false"/>
                <w:bCs w:val="false"/>
                <w:sz w:val="19"/>
                <w:szCs w:val="19"/>
              </w:rPr>
              <w:t xml:space="preserve">0.53</w:t>
            </w:r>
          </w:p>
        </w:tc>
      </w:tr>
    </w:tbl>
    <w:p>
      <w:pPr>
        <w:spacing w:after="100" w:before="50"/>
      </w:pPr>
      <w:r>
        <w:rPr>
          <w:rFonts w:ascii="Times New Roman" w:cs="Times New Roman" w:eastAsia="Times New Roman" w:hAnsi="Times New Roman"/>
          <w:i/>
          <w:iCs/>
          <w:sz w:val="18"/>
          <w:szCs w:val="18"/>
        </w:rPr>
        <w:t xml:space="preserve">Table 2. Results on 61 held-out days (May to June 2021), Bay of Bengal box. Selected depths shown.</w:t>
      </w:r>
    </w:p>
    <w:p>
      <w:pPr>
        <w:spacing w:after="100" w:line="258"/>
        <w:jc w:val="both"/>
      </w:pPr>
      <w:r>
        <w:rPr>
          <w:rFonts w:ascii="Times New Roman" w:cs="Times New Roman" w:eastAsia="Times New Roman" w:hAnsi="Times New Roman"/>
          <w:sz w:val="21"/>
          <w:szCs w:val="21"/>
        </w:rPr>
        <w:t xml:space="preserve">The model improves on the baseline at every depth. Near the surface its RMSE is about 0.5 to 0.6 °C against more than 2 °C for the baseline, and between roughly 80 and 190 m the correlation of its anomalies with the reference is about 0.85 to 0.90. It is weakest at 30 to 50 m, near the base of the mixed layer, where anomaly correlation falls to about 0.4 to 0.5. Maps at 130 m reproduce the main warm and cool eddies but smooth out fine detail and add a few features that are not in the reference. Because May and June are warmer than the baseline period, the baseline is a weak comparison, and the anomaly correlation is the fairer figure.</w:t>
      </w:r>
    </w:p>
    <w:p>
      <w:pPr>
        <w:spacing w:after="100" w:line="258"/>
        <w:jc w:val="both"/>
      </w:pPr>
      <w:r>
        <w:rPr>
          <w:rFonts w:ascii="Times New Roman" w:cs="Times New Roman" w:eastAsia="Times New Roman" w:hAnsi="Times New Roman"/>
          <w:sz w:val="21"/>
          <w:szCs w:val="21"/>
        </w:rPr>
        <w:t xml:space="preserve">Several parts of the full design are not yet in the prototype: real satellite inputs and the wind channel, the Vision Transformer variant, basin-specific conditioning, the Arabian Sea, and validation against ARGO profiles. These are the next stages of work. The prototype video submitted with this document shows the pipeline running end to end, including the depth profile the model produces at a selected location.</w:t>
      </w:r>
    </w:p>
    <w:p>
      <w:pPr>
        <w:spacing w:after="100"/>
      </w:pPr>
      <w:r>
        <w:rPr>
          <w:rFonts w:ascii="Times New Roman" w:cs="Times New Roman" w:eastAsia="Times New Roman" w:hAnsi="Times New Roman"/>
          <w:b/>
          <w:bCs/>
          <w:sz w:val="21"/>
          <w:szCs w:val="21"/>
        </w:rPr>
        <w:t xml:space="preserve">Prototype video: </w:t>
      </w:r>
      <w:r>
        <w:rPr>
          <w:rFonts w:ascii="Times New Roman" w:cs="Times New Roman" w:eastAsia="Times New Roman" w:hAnsi="Times New Roman"/>
          <w:color w:val="C00000"/>
          <w:sz w:val="21"/>
          <w:szCs w:val="21"/>
        </w:rPr>
        <w:t xml:space="preserve">[paste YouTube link here]</w:t>
      </w:r>
    </w:p>
    <w:p>
      <w:pPr>
        <w:pStyle w:val="Heading1"/>
        <w:spacing w:after="90" w:before="200"/>
      </w:pPr>
      <w:r>
        <w:rPr>
          <w:rFonts w:ascii="Times New Roman" w:cs="Times New Roman" w:eastAsia="Times New Roman" w:hAnsi="Times New Roman"/>
          <w:b/>
          <w:bCs/>
          <w:color w:val="1F3864"/>
          <w:sz w:val="26"/>
          <w:szCs w:val="26"/>
        </w:rPr>
        <w:t xml:space="preserve">3. Adoption and Operational Economics</w:t>
      </w:r>
    </w:p>
    <w:p>
      <w:pPr>
        <w:spacing w:after="100" w:line="258"/>
        <w:jc w:val="both"/>
      </w:pPr>
      <w:r>
        <w:rPr>
          <w:rFonts w:ascii="Times New Roman" w:cs="Times New Roman" w:eastAsia="Times New Roman" w:hAnsi="Times New Roman"/>
          <w:sz w:val="21"/>
          <w:szCs w:val="21"/>
        </w:rPr>
        <w:t xml:space="preserve">The economic case rests on what the system does not need. Extending subsurface coverage with physical instruments means procuring, deploying, recovering and maintaining platforms. OceanEmbed runs on freely available satellite and reanalysis products and, once trained, produces a daily field in seconds on ordinary compute. The recurring cost is mainly data handling and periodic retraining, which grows far more gently with the area covered than hardware does. We do not propose replacing ARGO. The floats remain the ground truth that anchors and validates the model, and the system is a way of getting more value from every float already in the water.</w:t>
      </w:r>
    </w:p>
    <w:p>
      <w:pPr>
        <w:spacing w:after="100" w:line="258"/>
        <w:jc w:val="both"/>
      </w:pPr>
      <w:r>
        <w:rPr>
          <w:rFonts w:ascii="Times New Roman" w:cs="Times New Roman" w:eastAsia="Times New Roman" w:hAnsi="Times New Roman"/>
          <w:sz w:val="21"/>
          <w:szCs w:val="21"/>
        </w:rPr>
        <w:t xml:space="preserve">Adoption in an operational agency depends on trust as much as on accuracy. Forecasters are used to in-situ measurements and will reasonably be cautious about a number produced by a neural network. Three design choices address this. Results are reported openly by depth and by basin, including where they are weakest. Each estimate can be traced back to the inputs that influenced it, so a user can judge whether the reasoning is physically sensible. And the system is advisory: it produces estimates for expert review and does not replace the judgement of the people who issue forecasts and advisories.</w:t>
      </w:r>
    </w:p>
    <w:p>
      <w:pPr>
        <w:spacing w:after="100" w:line="258"/>
        <w:jc w:val="both"/>
      </w:pPr>
      <w:r>
        <w:rPr>
          <w:rFonts w:ascii="Times New Roman" w:cs="Times New Roman" w:eastAsia="Times New Roman" w:hAnsi="Times New Roman"/>
          <w:sz w:val="21"/>
          <w:szCs w:val="21"/>
        </w:rPr>
        <w:t xml:space="preserve">For the intended users the incentives line up. Forecasting and data assimilation groups gain a continuous subsurface field as an extra input. Fisheries and coastal planners gain information on how temperature is layered with depth. Researchers studying upper-ocean heat content and stratification gain a daily dataset in a region where profile data is thin. Because the inputs are openly available products, the barrier to trying the system is low.</w:t>
      </w:r>
    </w:p>
    <w:p>
      <w:pPr>
        <w:pStyle w:val="Heading1"/>
        <w:spacing w:after="90" w:before="200"/>
      </w:pPr>
      <w:r>
        <w:rPr>
          <w:rFonts w:ascii="Times New Roman" w:cs="Times New Roman" w:eastAsia="Times New Roman" w:hAnsi="Times New Roman"/>
          <w:b/>
          <w:bCs/>
          <w:color w:val="1F3864"/>
          <w:sz w:val="26"/>
          <w:szCs w:val="26"/>
        </w:rPr>
        <w:t xml:space="preserve">4. Viability and Impact</w:t>
      </w:r>
    </w:p>
    <w:p>
      <w:pPr>
        <w:spacing w:after="100" w:line="258"/>
        <w:jc w:val="both"/>
      </w:pPr>
      <w:r>
        <w:rPr>
          <w:rFonts w:ascii="Times New Roman" w:cs="Times New Roman" w:eastAsia="Times New Roman" w:hAnsi="Times New Roman"/>
          <w:sz w:val="21"/>
          <w:szCs w:val="21"/>
        </w:rPr>
        <w:t xml:space="preserve">Every component can be built with what exists today. The input datasets and training target are public, convolutional and transformer architectures are well established in ocean and climate work, and the software stack (Python, PyTorch, xarray and NetCDF4) is open source. The prototype already trains on a single GPU, and our estimate is that daily prediction takes seconds once the model is trained and that storage is of the order of 1.5 GB per year at 0.25° for the full domain. These figures will be refined when we train on the full dataset.</w:t>
      </w:r>
    </w:p>
    <w:p>
      <w:pPr>
        <w:spacing w:after="100" w:line="258"/>
        <w:jc w:val="both"/>
      </w:pPr>
      <w:r>
        <w:rPr>
          <w:rFonts w:ascii="Times New Roman" w:cs="Times New Roman" w:eastAsia="Times New Roman" w:hAnsi="Times New Roman"/>
          <w:sz w:val="21"/>
          <w:szCs w:val="21"/>
        </w:rPr>
        <w:t xml:space="preserve">The main technical risks are known. ARGO floats are sparse in the region, so we hold out profiles and report skill at each depth. GLORYS is itself a model product, so its errors could pass into our model, and we therefore cross-check against real ARGO measurements and not only against GLORYS. Datasets differ in resolution and contain gaps, which we handle with a common grid and interpolation of small gaps. Errors are likely to be higher in the Bay of Bengal, so results will be reported for each basin separately. Training cost is managed by processing data in smaller chunks and using mixed precision.</w:t>
      </w:r>
    </w:p>
    <w:p>
      <w:pPr>
        <w:spacing w:after="100" w:line="258"/>
        <w:jc w:val="both"/>
      </w:pPr>
      <w:r>
        <w:rPr>
          <w:rFonts w:ascii="Times New Roman" w:cs="Times New Roman" w:eastAsia="Times New Roman" w:hAnsi="Times New Roman"/>
          <w:sz w:val="21"/>
          <w:szCs w:val="21"/>
        </w:rPr>
        <w:t xml:space="preserve">The applications named in the problem statement benefit directly. A daily depth-wise field can help detect underwater warming earlier than surface-only observation, which supports marine heatwave monitoring. Knowing how temperature is layered with depth helps in understanding where marine life is likely to gather, which supports fisheries planning. A continuous subsurface field gives ocean models more to work with than scattered point measurements, which supports data assimilation, and it gives researchers a daily dataset for studying ocean heat content and stratification.</w:t>
      </w:r>
    </w:p>
    <w:p>
      <w:pPr>
        <w:spacing w:after="100" w:line="258"/>
        <w:jc w:val="both"/>
      </w:pPr>
      <w:r>
        <w:rPr>
          <w:rFonts w:ascii="Times New Roman" w:cs="Times New Roman" w:eastAsia="Times New Roman" w:hAnsi="Times New Roman"/>
          <w:sz w:val="21"/>
          <w:szCs w:val="21"/>
        </w:rPr>
        <w:t xml:space="preserve">We see development in three phases. The first, covered by this submission, is the proof of concept over a Bay of Bengal region. The second replaces the reanalysis inputs with real satellite products, adds the wind channel and the basin-specific conditioning, extends the domain to the full North Indian Ocean and validates against ARGO across seasons, including the monsoon. The third moves toward near-real-time operation, with automated ingestion of fresh satellite data and a product that forecasters can use routinely.</w:t>
      </w:r>
    </w:p>
    <w:p>
      <w:pPr>
        <w:spacing w:after="100" w:line="258"/>
        <w:jc w:val="both"/>
      </w:pPr>
      <w:r>
        <w:rPr>
          <w:rFonts w:ascii="Times New Roman" w:cs="Times New Roman" w:eastAsia="Times New Roman" w:hAnsi="Times New Roman"/>
          <w:sz w:val="21"/>
          <w:szCs w:val="21"/>
        </w:rPr>
        <w:t xml:space="preserve">OceanEmbed does not claim to see through the ocean. It makes a narrower claim: that surface observations contain enough information, when read carefully and with respect for regional physics, to give a useful estimate of what lies below, and that this estimate can be checked openly against independent measurements. The prototype results support that claim at an early stage, and we believe it is a sound basis for a framework that INCOIS can test, question and build on.</w:t>
      </w:r>
    </w:p>
    <w:sectPr>
      <w:footerReference w:type="default" r:id="rId7"/>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Team SANKALP (#777)  |  SIH 2026  |  PS 26066  |  Page </w:t>
    </w: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OceanEmbed Executive Whitepaper</dc:title>
  <dc:creator>Team SANKALP</dc:creator>
  <cp:lastModifiedBy>Un-named</cp:lastModifiedBy>
  <cp:revision>1</cp:revision>
  <dcterms:created xsi:type="dcterms:W3CDTF">2026-10-04T03:02:14.209Z</dcterms:created>
  <dcterms:modified xsi:type="dcterms:W3CDTF">2026-10-04T03:02:14.217Z</dcterms:modified>
</cp:coreProperties>
</file>

<file path=docProps/custom.xml><?xml version="1.0" encoding="utf-8"?>
<Properties xmlns="http://schemas.openxmlformats.org/officeDocument/2006/custom-properties" xmlns:vt="http://schemas.openxmlformats.org/officeDocument/2006/docPropsVTypes"/>
</file>