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36485" w14:textId="77777777" w:rsidR="0087365B" w:rsidRDefault="00000000">
      <w:pPr>
        <w:pStyle w:val="Title"/>
        <w:spacing w:before="0" w:after="80" w:line="360" w:lineRule="auto"/>
        <w:ind w:left="720" w:right="720" w:firstLine="0"/>
        <w:jc w:val="center"/>
        <w:widowControl/>
      </w:pPr>
      <w:r>
        <w:rPr>
          <w:rFonts w:ascii="Times New Roman" w:hAnsi="Times New Roman" w:cs="Times New Roman"/>
          <w:sz w:val="36"/>
          <w:color w:val="000000"/>
          <w:b/>
        </w:rPr>
        <w:t xml:space="preserve">VERIFACT AI</w:t>
      </w:r>
    </w:p>
    <w:p w14:paraId="5DA36485" w14:textId="77777777" w:rsidR="0087365B" w:rsidRDefault="00000000">
      <w:pPr>
        <w:pStyle w:val="Title"/>
        <w:spacing w:before="0" w:after="220" w:line="360" w:lineRule="auto"/>
        <w:ind w:left="720" w:right="720" w:firstLine="0"/>
        <w:jc w:val="center"/>
        <w:widowControl/>
      </w:pPr>
      <w:r>
        <w:rPr>
          <w:rFonts w:ascii="Times New Roman" w:hAnsi="Times New Roman" w:cs="Times New Roman"/>
          <w:sz w:val="36"/>
          <w:color w:val="000000"/>
          <w:b/>
        </w:rPr>
        <w:t xml:space="preserve">FAKE NEWS DETECTION AND</w:t>
        <w:br/>
        <w:t xml:space="preserve">MISINFORMATION ANALYSIS USING</w:t>
        <w:br/>
        <w:t xml:space="preserve">NATURAL LANGUAGE PROCESSING</w:t>
      </w:r>
    </w:p>
    <w:p w14:paraId="33EC9078" w14:textId="77777777" w:rsidR="0087365B" w:rsidRDefault="00000000">
      <w:pPr>
        <w:pStyle w:val="BodyText"/>
        <w:spacing w:before="0" w:after="160" w:line="300" w:lineRule="auto"/>
        <w:ind w:left="720" w:right="720" w:firstLine="0"/>
        <w:jc w:val="center"/>
        <w:widowControl/>
      </w:pPr>
      <w:r>
        <w:rPr>
          <w:rFonts w:ascii="Times New Roman" w:hAnsi="Times New Roman" w:cs="Times New Roman"/>
          <w:sz w:val="28"/>
          <w:color w:val="000000"/>
          <w:b/>
        </w:rPr>
        <w:t xml:space="preserve">A PROJECT REPORT</w:t>
      </w:r>
    </w:p>
    <w:p w14:paraId="33EC9078" w14:textId="77777777" w:rsidR="0087365B" w:rsidRDefault="00000000">
      <w:pPr>
        <w:pStyle w:val="BodyText"/>
        <w:spacing w:before="0" w:after="100" w:line="280" w:lineRule="auto"/>
        <w:ind w:left="720" w:right="720" w:firstLine="0"/>
        <w:jc w:val="center"/>
        <w:widowControl/>
      </w:pPr>
      <w:r>
        <w:rPr>
          <w:rFonts w:ascii="Times New Roman" w:hAnsi="Times New Roman" w:cs="Times New Roman"/>
          <w:sz w:val="28"/>
          <w:color w:val="000000"/>
        </w:rPr>
        <w:t xml:space="preserve">Submitted by</w:t>
      </w:r>
    </w:p>
    <w:p w14:paraId="33EC9078" w14:textId="77777777" w:rsidR="0087365B" w:rsidRDefault="00000000">
      <w:pPr>
        <w:pStyle w:val="BodyText"/>
        <w:spacing w:before="0" w:after="200" w:line="330" w:lineRule="auto"/>
        <w:ind w:left="720" w:right="720" w:firstLine="0"/>
        <w:jc w:val="center"/>
        <w:widowControl/>
      </w:pPr>
      <w:r>
        <w:rPr>
          <w:rFonts w:ascii="Times New Roman" w:hAnsi="Times New Roman" w:cs="Times New Roman"/>
          <w:sz w:val="32"/>
          <w:color w:val="000000"/>
          <w:b/>
        </w:rPr>
        <w:t xml:space="preserve">Abhishek Singh [RA2311003010759]</w:t>
        <w:br/>
        <w:t xml:space="preserve">Rishabh Dhatrak [RA2311003010758]</w:t>
      </w:r>
    </w:p>
    <w:p w14:paraId="33EC9078" w14:textId="77777777" w:rsidR="0087365B" w:rsidRDefault="00000000">
      <w:pPr>
        <w:pStyle w:val="BodyText"/>
        <w:spacing w:before="0" w:after="100" w:line="280" w:lineRule="auto"/>
        <w:ind w:left="720" w:right="720" w:firstLine="0"/>
        <w:jc w:val="center"/>
        <w:widowControl/>
      </w:pPr>
      <w:r>
        <w:rPr>
          <w:rFonts w:ascii="Times New Roman" w:hAnsi="Times New Roman" w:cs="Times New Roman"/>
          <w:sz w:val="28"/>
          <w:color w:val="000000"/>
        </w:rPr>
        <w:t xml:space="preserve">Under the Guidance of</w:t>
      </w:r>
    </w:p>
    <w:p w14:paraId="33EC9078" w14:textId="77777777" w:rsidR="0087365B" w:rsidRDefault="00000000">
      <w:pPr>
        <w:pStyle w:val="BodyText"/>
        <w:spacing w:before="0" w:after="50" w:line="300" w:lineRule="auto"/>
        <w:ind w:left="720" w:right="720" w:firstLine="0"/>
        <w:jc w:val="center"/>
        <w:widowControl/>
      </w:pPr>
      <w:r>
        <w:rPr>
          <w:rFonts w:ascii="Times New Roman" w:hAnsi="Times New Roman" w:cs="Times New Roman"/>
          <w:sz w:val="32"/>
          <w:color w:val="000000"/>
          <w:b/>
        </w:rPr>
        <w:t xml:space="preserve">Dr. S. Saminathan</w:t>
      </w:r>
    </w:p>
    <w:p w14:paraId="33EC9078" w14:textId="77777777" w:rsidR="0087365B" w:rsidRDefault="00000000">
      <w:pPr>
        <w:pStyle w:val="BodyText"/>
        <w:spacing w:before="0" w:after="200" w:line="280" w:lineRule="auto"/>
        <w:ind w:left="720" w:right="720" w:firstLine="0"/>
        <w:jc w:val="center"/>
        <w:widowControl/>
      </w:pPr>
      <w:r>
        <w:rPr>
          <w:rFonts w:ascii="Times New Roman" w:hAnsi="Times New Roman" w:cs="Times New Roman"/>
          <w:sz w:val="24"/>
          <w:color w:val="000000"/>
        </w:rPr>
        <w:t xml:space="preserve">Assistant Professor</w:t>
        <w:br/>
        <w:t xml:space="preserve">Department of Computing Technologies</w:t>
      </w:r>
    </w:p>
    <w:p w14:paraId="33EC9078" w14:textId="77777777" w:rsidR="0087365B" w:rsidRDefault="00000000">
      <w:pPr>
        <w:pStyle w:val="BodyText"/>
        <w:spacing w:before="0" w:after="100" w:line="300" w:lineRule="auto"/>
        <w:ind w:left="300" w:right="300" w:firstLine="0"/>
        <w:jc w:val="center"/>
        <w:widowControl/>
      </w:pPr>
      <w:r>
        <w:rPr>
          <w:rFonts w:ascii="Times New Roman" w:hAnsi="Times New Roman" w:cs="Times New Roman"/>
          <w:sz w:val="28"/>
          <w:color w:val="000000"/>
        </w:rPr>
        <w:t xml:space="preserve">in partial fulfillment of the requirements for the degree of</w:t>
      </w:r>
    </w:p>
    <w:p w14:paraId="33EC9078" w14:textId="77777777" w:rsidR="0087365B" w:rsidRDefault="00000000">
      <w:pPr>
        <w:pStyle w:val="BodyText"/>
        <w:spacing w:before="0" w:after="40" w:line="300" w:lineRule="auto"/>
        <w:ind w:left="720" w:right="720" w:firstLine="0"/>
        <w:jc w:val="center"/>
        <w:widowControl/>
      </w:pPr>
      <w:r>
        <w:rPr>
          <w:rFonts w:ascii="Times New Roman" w:hAnsi="Times New Roman" w:cs="Times New Roman"/>
          <w:sz w:val="32"/>
          <w:color w:val="000000"/>
          <w:b/>
        </w:rPr>
        <w:t xml:space="preserve">BACHELOR OF TECHNOLOGY</w:t>
      </w:r>
    </w:p>
    <w:p w14:paraId="33EC9078" w14:textId="77777777" w:rsidR="0087365B" w:rsidRDefault="00000000">
      <w:pPr>
        <w:pStyle w:val="BodyText"/>
        <w:spacing w:before="0" w:after="40" w:line="280" w:lineRule="auto"/>
        <w:ind w:left="720" w:right="720" w:firstLine="0"/>
        <w:jc w:val="center"/>
        <w:widowControl/>
      </w:pPr>
      <w:r>
        <w:rPr>
          <w:rFonts w:ascii="Times New Roman" w:hAnsi="Times New Roman" w:cs="Times New Roman"/>
          <w:sz w:val="28"/>
          <w:color w:val="000000"/>
        </w:rPr>
        <w:t xml:space="preserve">in</w:t>
      </w:r>
    </w:p>
    <w:p w14:paraId="33EC9078" w14:textId="77777777" w:rsidR="0087365B" w:rsidRDefault="00000000">
      <w:pPr>
        <w:pStyle w:val="BodyText"/>
        <w:spacing w:before="0" w:after="60" w:line="310" w:lineRule="auto"/>
        <w:ind w:left="720" w:right="720" w:firstLine="0"/>
        <w:jc w:val="center"/>
        <w:widowControl/>
      </w:pPr>
      <w:r>
        <w:rPr>
          <w:rFonts w:ascii="Times New Roman" w:hAnsi="Times New Roman" w:cs="Times New Roman"/>
          <w:sz w:val="32"/>
          <w:color w:val="000000"/>
          <w:b/>
        </w:rPr>
        <w:t xml:space="preserve">COMPUTER SCIENCE AND ENGINEERING</w:t>
        <w:br/>
        <w:t xml:space="preserve">CORE</w:t>
      </w:r>
    </w:p>
    <w:p w14:paraId="6BA9218D" w14:textId="77777777" w:rsidR="0087365B" w:rsidRDefault="00000000">
      <w:pPr>
        <w:pStyle w:val="BodyText"/>
        <w:ind w:left="960" w:right="938"/>
        <w:jc w:val="center"/>
      </w:pPr>
      <w:r>
        <w:rPr>
          <w:noProof/>
          <w:lang w:val="en-IN" w:eastAsia="en-IN"/>
        </w:rPr>
        <w:drawing>
          <wp:anchor distT="0" distB="0" distL="0" distR="0" simplePos="0" relativeHeight="251655680" behindDoc="0" locked="0" layoutInCell="1" allowOverlap="1" wp14:anchorId="100F49B8" wp14:editId="358BC8E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33EC9078" w14:textId="77777777" w:rsidR="0087365B" w:rsidRDefault="00000000">
      <w:pPr>
        <w:pStyle w:val="BodyText"/>
        <w:spacing w:before="0" w:after="350" w:line="20" w:lineRule="auto"/>
        <w:ind w:left="720" w:right="720" w:firstLine="0"/>
        <w:jc w:val="both"/>
        <w:widowControl/>
      </w:pPr>
      <w:r>
        <w:rPr>
          <w:rFonts w:ascii="Times New Roman" w:hAnsi="Times New Roman" w:cs="Times New Roman"/>
          <w:sz w:val="2"/>
          <w:color w:val="000000"/>
        </w:rPr>
        <w:t xml:space="preserve"/>
      </w:r>
    </w:p>
    <w:p w14:paraId="33EC9078" w14:textId="77777777" w:rsidR="0087365B" w:rsidRDefault="00000000">
      <w:pPr>
        <w:pStyle w:val="BodyText"/>
        <w:spacing w:before="0" w:after="25" w:line="300" w:lineRule="auto"/>
        <w:ind w:left="100" w:right="100" w:firstLine="0"/>
        <w:jc w:val="center"/>
        <w:widowControl/>
      </w:pPr>
      <w:r>
        <w:rPr>
          <w:rFonts w:ascii="Times New Roman" w:hAnsi="Times New Roman" w:cs="Times New Roman"/>
          <w:sz w:val="32"/>
          <w:color w:val="000000"/>
          <w:b/>
        </w:rPr>
        <w:t xml:space="preserve">DEPARTMENT OF COMPUTING TECHNOLOGIES</w:t>
      </w:r>
    </w:p>
    <w:p w14:paraId="33EC9078" w14:textId="77777777" w:rsidR="0087365B" w:rsidRDefault="00000000">
      <w:pPr>
        <w:pStyle w:val="BodyText"/>
        <w:spacing w:before="0" w:after="25" w:line="300" w:lineRule="auto"/>
        <w:ind w:left="100" w:right="100" w:firstLine="0"/>
        <w:jc w:val="center"/>
        <w:widowControl/>
      </w:pPr>
      <w:r>
        <w:rPr>
          <w:rFonts w:ascii="Times New Roman" w:hAnsi="Times New Roman" w:cs="Times New Roman"/>
          <w:sz w:val="32"/>
          <w:color w:val="000000"/>
          <w:b/>
        </w:rPr>
        <w:t xml:space="preserve">COLLEGE OF ENGINEERING AND TECHNOLOGY</w:t>
      </w:r>
    </w:p>
    <w:p w14:paraId="33EC9078" w14:textId="77777777" w:rsidR="0087365B" w:rsidRDefault="00000000">
      <w:pPr>
        <w:pStyle w:val="BodyText"/>
        <w:spacing w:before="0" w:after="25" w:line="300" w:lineRule="auto"/>
        <w:ind w:left="100" w:right="100" w:firstLine="0"/>
        <w:jc w:val="center"/>
        <w:widowControl/>
      </w:pPr>
      <w:r>
        <w:rPr>
          <w:rFonts w:ascii="Times New Roman" w:hAnsi="Times New Roman" w:cs="Times New Roman"/>
          <w:sz w:val="32"/>
          <w:color w:val="000000"/>
          <w:b/>
        </w:rPr>
        <w:t xml:space="preserve">SRM INSTITUTE OF SCIENCE AND TECHNOLOGY</w:t>
      </w:r>
    </w:p>
    <w:p w14:paraId="33EC9078" w14:textId="77777777" w:rsidR="0087365B" w:rsidRDefault="00000000">
      <w:pPr>
        <w:pStyle w:val="BodyText"/>
        <w:spacing w:before="0" w:after="25" w:line="300" w:lineRule="auto"/>
        <w:ind w:left="100" w:right="100" w:firstLine="0"/>
        <w:jc w:val="center"/>
        <w:widowControl/>
      </w:pPr>
      <w:r>
        <w:rPr>
          <w:rFonts w:ascii="Times New Roman" w:hAnsi="Times New Roman" w:cs="Times New Roman"/>
          <w:sz w:val="32"/>
          <w:color w:val="000000"/>
          <w:b/>
        </w:rPr>
        <w:t xml:space="preserve">KATTANKULATHUR - 603 203</w:t>
      </w:r>
    </w:p>
    <w:p w14:paraId="33EC9078" w14:textId="77777777" w:rsidR="0087365B" w:rsidRDefault="00000000">
      <w:pPr>
        <w:pStyle w:val="BodyText"/>
        <w:spacing w:before="160" w:after="0" w:line="280" w:lineRule="auto"/>
        <w:ind w:left="720" w:right="720" w:firstLine="0"/>
        <w:jc w:val="center"/>
        <w:widowControl/>
      </w:pPr>
      <w:r>
        <w:rPr>
          <w:rFonts w:ascii="Times New Roman" w:hAnsi="Times New Roman" w:cs="Times New Roman"/>
          <w:sz w:val="28"/>
          <w:color w:val="000000"/>
          <w:b/>
        </w:rPr>
        <w:t xml:space="preserve">NOVEMBER 2026</w:t>
      </w:r>
    </w:p>
    <w:p w14:paraId="33EC9078" w14:textId="77777777" w:rsidR="0087365B" w:rsidRDefault="00000000">
      <w:pPr>
        <w:pStyle w:val="BodyText"/>
        <w:spacing w:before="0" w:after="0" w:line="20" w:lineRule="auto"/>
        <w:ind w:left="720" w:right="720" w:firstLine="0"/>
        <w:jc w:val="both"/>
        <w:widowControl/>
        <w:sectPr w:rsidR="0087365B">
          <w:footerReference w:type="default" r:id="rId9"/>
          <w:pgSz w:w="11900" w:h="16850"/>
          <w:pgMar w:top="1200" w:right="560" w:bottom="280" w:left="540" w:header="720" w:footer="720" w:gutter="0"/>
          <w:cols w:space="720"/>
        </w:sectPr>
      </w:pPr>
      <w:r>
        <w:rPr>
          <w:rFonts w:ascii="Times New Roman" w:hAnsi="Times New Roman" w:cs="Times New Roman"/>
          <w:sz w:val="2"/>
          <w:color w:val="000000"/>
        </w:rPr>
        <w:t xml:space="preserve"/>
      </w:r>
    </w:p>
    <w:p w14:paraId="3E8D9704" w14:textId="77777777" w:rsidR="0087365B" w:rsidRDefault="00000000">
      <w:pPr>
        <w:pStyle w:val="BodyText"/>
        <w:spacing w:before="140"/>
        <w:ind w:left="960" w:right="927"/>
        <w:jc w:val="center"/>
      </w:pPr>
      <w:r>
        <w:rPr>
          <w:noProof/>
          <w:lang w:val="en-IN" w:eastAsia="en-IN"/>
        </w:rPr>
        <w:drawing>
          <wp:anchor distT="0" distB="0" distL="0" distR="0" simplePos="0" relativeHeight="251656704" behindDoc="0" locked="0" layoutInCell="1" allowOverlap="1" wp14:anchorId="1BCC3DB7" wp14:editId="05685ED7">
            <wp:simplePos x="0" y="0"/>
            <wp:positionH relativeFrom="page">
              <wp:posOffset>1066800</wp:posOffset>
            </wp:positionH>
            <wp:positionV relativeFrom="paragraph">
              <wp:posOffset>113665</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33EC9078" w14:textId="77777777" w:rsidR="0087365B" w:rsidRDefault="00000000">
      <w:pPr>
        <w:pStyle w:val="BodyText"/>
        <w:spacing w:before="0" w:after="1150" w:line="20" w:lineRule="auto"/>
        <w:ind w:left="720" w:right="720" w:firstLine="0"/>
        <w:jc w:val="both"/>
        <w:widowControl/>
      </w:pPr>
      <w:r>
        <w:rPr>
          <w:rFonts w:ascii="Times New Roman" w:hAnsi="Times New Roman" w:cs="Times New Roman"/>
          <w:sz w:val="2"/>
          <w:color w:val="000000"/>
        </w:rPr>
        <w:t xml:space="preserve"/>
      </w:r>
    </w:p>
    <w:p w14:paraId="33EC9078" w14:textId="77777777" w:rsidR="0087365B" w:rsidRDefault="00000000">
      <w:pPr>
        <w:pStyle w:val="BodyText"/>
        <w:spacing w:before="0" w:after="300" w:line="340" w:lineRule="auto"/>
        <w:ind w:left="700" w:right="700" w:firstLine="0"/>
        <w:jc w:val="center"/>
        <w:widowControl/>
      </w:pPr>
      <w:r>
        <w:rPr>
          <w:rFonts w:ascii="Times New Roman" w:hAnsi="Times New Roman" w:cs="Times New Roman"/>
          <w:sz w:val="36"/>
          <w:color w:val="000000"/>
          <w:b/>
        </w:rPr>
        <w:t xml:space="preserve">SRM INSTITUTE OF SCIENCE AND TECHNOLOGY</w:t>
        <w:br/>
        <w:t xml:space="preserve">KATTANKULATHUR - 603 203</w:t>
      </w:r>
    </w:p>
    <w:p w14:paraId="5DA36485" w14:textId="77777777" w:rsidR="0087365B" w:rsidRDefault="00000000">
      <w:pPr>
        <w:pStyle w:val="Heading2"/>
        <w:spacing w:before="80" w:after="240" w:line="300" w:lineRule="auto"/>
        <w:ind w:left="720" w:right="720" w:firstLine="0"/>
        <w:jc w:val="center"/>
        <w:widowControl/>
        <w:keepNext/>
      </w:pPr>
      <w:r>
        <w:rPr>
          <w:rFonts w:ascii="Times New Roman" w:hAnsi="Times New Roman" w:cs="Times New Roman"/>
          <w:sz w:val="32"/>
          <w:color w:val="000000"/>
          <w:b/>
        </w:rPr>
        <w:t xml:space="preserve">BONAFIDE CERTIFICATE</w:t>
      </w:r>
    </w:p>
    <w:p w14:paraId="33EC9078" w14:textId="77777777" w:rsidR="0087365B" w:rsidRDefault="00000000">
      <w:pPr>
        <w:pStyle w:val="BodyText"/>
        <w:spacing w:before="0" w:after="20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500" w:line="360" w:lineRule="auto"/>
        <w:ind w:left="960" w:right="1037" w:firstLine="0"/>
        <w:jc w:val="both"/>
        <w:widowControl/>
      </w:pPr>
      <w:r>
        <w:rPr>
          <w:rFonts w:ascii="Times New Roman" w:hAnsi="Times New Roman" w:cs="Times New Roman"/>
          <w:sz w:val="28"/>
          <w:color w:val="000000"/>
        </w:rPr>
        <w:t xml:space="preserve">Certified that 21CSP302L - Project report titled “VeriFact AI: Fake News Detection and Misinformation Analysis Using Natural Language Processing” is the bonafide work of “Abhishek Singh [RA2311003010759] and Rishabh Dhatrak [RA2311003010758]”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33EC9078" w14:textId="77777777" w:rsidR="0087365B" w:rsidRDefault="00000000">
      <w:pPr>
        <w:pStyle w:val="BodyText"/>
        <w:spacing w:before="0" w:after="1400" w:line="360" w:lineRule="auto"/>
        <w:ind w:left="720" w:right="720" w:firstLine="0"/>
        <w:jc w:val="both"/>
        <w:widowControl/>
      </w:pPr>
      <w:r>
        <w:rPr>
          <w:rFonts w:ascii="Times New Roman" w:hAnsi="Times New Roman" w:cs="Times New Roman"/>
          <w:sz w:val="28"/>
          <w:color w:val="000000"/>
        </w:rPr>
        <w:t xml:space="preserve"/>
      </w:r>
    </w:p>
    <w:tbl>
      <w:tblPr>
        <w:tblW w:w="9090" w:type="dxa"/>
        <w:jc w:val="center"/>
        <w:tblLayout w:type="fixed"/>
        <w:tblBorders>
          <w:top w:val="nil" w:sz="4" w:color="808080"/>
          <w:left w:val="nil" w:sz="4" w:color="808080"/>
          <w:bottom w:val="nil" w:sz="4" w:color="808080"/>
          <w:right w:val="nil" w:sz="4" w:color="808080"/>
          <w:insideH w:val="nil" w:sz="4" w:color="808080"/>
          <w:insideV w:val="nil" w:sz="4" w:color="808080"/>
        </w:tblBorders>
        <w:tblCellMar>
          <w:top w:w="90" w:type="dxa"/>
          <w:left w:w="90" w:type="dxa"/>
          <w:bottom w:w="90" w:type="dxa"/>
          <w:right w:w="90" w:type="dxa"/>
        </w:tblCellMar>
      </w:tblPr>
      <w:tblGrid>
        <w:gridCol w:w="4545"/>
        <w:gridCol w:w="4545"/>
      </w:tblGrid>
      <w:tr>
        <w:trPr>
          <w:cantSplit/>
        </w:trPr>
        <w:tc>
          <w:tcPr>
            <w:tcW w:w="4545"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SIGNATURE</w:t>
            </w:r>
          </w:p>
        </w:tc>
        <w:tc>
          <w:tcPr>
            <w:tcW w:w="4545"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SIGNATURE</w:t>
            </w:r>
          </w:p>
        </w:tc>
      </w:tr>
      <w:tr>
        <w:trPr>
          <w:cantSplit/>
        </w:trPr>
        <w:tc>
          <w:tcPr>
            <w:tcW w:w="4545"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Dr. S. Saminathan</w:t>
              <w:br/>
              <w:t xml:space="preserve">Assistant Professor</w:t>
              <w:br/>
              <w:t xml:space="preserve">Faculty In-Charge</w:t>
              <w:br/>
              <w:t xml:space="preserve">Department of Computing Technologies</w:t>
            </w:r>
          </w:p>
        </w:tc>
        <w:tc>
          <w:tcPr>
            <w:tcW w:w="4545"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Dr. Niranjana G</w:t>
              <w:br/>
              <w:t xml:space="preserve">Head of Department</w:t>
              <w:br/>
              <w:t xml:space="preserve">Department of Computing Technologies</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ACKNOWLEDGEMENTS</w:t>
      </w:r>
    </w:p>
    <w:p w14:paraId="33EC9078" w14:textId="77777777" w:rsidR="0087365B" w:rsidRDefault="00000000">
      <w:pPr>
        <w:pStyle w:val="BodyText"/>
        <w:spacing w:before="0" w:after="240" w:line="276" w:lineRule="auto"/>
        <w:ind w:left="600" w:right="600" w:firstLine="0"/>
        <w:jc w:val="both"/>
        <w:widowControl/>
      </w:pPr>
      <w:r>
        <w:rPr>
          <w:rFonts w:ascii="Times New Roman" w:hAnsi="Times New Roman" w:cs="Times New Roman"/>
          <w:sz w:val="24"/>
          <w:color w:val="000000"/>
        </w:rPr>
        <w:t xml:space="preserve">We thank SRM Institute of Science and Technology, Kattankulathur, and the College of Engineering and Technology for the academic environment and facilities that supported this project.</w:t>
      </w:r>
    </w:p>
    <w:p w14:paraId="33EC9078" w14:textId="77777777" w:rsidR="0087365B" w:rsidRDefault="00000000">
      <w:pPr>
        <w:pStyle w:val="BodyText"/>
        <w:spacing w:before="0" w:after="240" w:line="276" w:lineRule="auto"/>
        <w:ind w:left="600" w:right="600" w:firstLine="0"/>
        <w:jc w:val="both"/>
        <w:widowControl/>
      </w:pPr>
      <w:r>
        <w:rPr>
          <w:rFonts w:ascii="Times New Roman" w:hAnsi="Times New Roman" w:cs="Times New Roman"/>
          <w:sz w:val="24"/>
          <w:color w:val="000000"/>
        </w:rPr>
        <w:t xml:space="preserve">We express our gratitude to Dr. Niranjana G, Head of Department, Department of Computing Technologies, for supporting the project work and its academic review.</w:t>
      </w:r>
    </w:p>
    <w:p w14:paraId="33EC9078" w14:textId="77777777" w:rsidR="0087365B" w:rsidRDefault="00000000">
      <w:pPr>
        <w:pStyle w:val="BodyText"/>
        <w:spacing w:before="0" w:after="240" w:line="276" w:lineRule="auto"/>
        <w:ind w:left="600" w:right="600" w:firstLine="0"/>
        <w:jc w:val="both"/>
        <w:widowControl/>
      </w:pPr>
      <w:r>
        <w:rPr>
          <w:rFonts w:ascii="Times New Roman" w:hAnsi="Times New Roman" w:cs="Times New Roman"/>
          <w:sz w:val="24"/>
          <w:color w:val="000000"/>
        </w:rPr>
        <w:t xml:space="preserve">We sincerely thank our guide, Dr. S. Saminathan, Assistant Professor, Department of Computing Technologies, for guidance during the development of VeriFact AI. The project brought together natural language processing, machine learning, application design, and experimental evaluation.</w:t>
      </w:r>
    </w:p>
    <w:p w14:paraId="33EC9078" w14:textId="77777777" w:rsidR="0087365B" w:rsidRDefault="00000000">
      <w:pPr>
        <w:pStyle w:val="BodyText"/>
        <w:spacing w:before="0" w:after="240" w:line="276" w:lineRule="auto"/>
        <w:ind w:left="600" w:right="600" w:firstLine="0"/>
        <w:jc w:val="both"/>
        <w:widowControl/>
      </w:pPr>
      <w:r>
        <w:rPr>
          <w:rFonts w:ascii="Times New Roman" w:hAnsi="Times New Roman" w:cs="Times New Roman"/>
          <w:sz w:val="24"/>
          <w:color w:val="000000"/>
        </w:rPr>
        <w:t xml:space="preserve">We thank the project coordinators, panel members, faculty advisors, and teaching staff for the course instruction and review process. The work provided an opportunity to connect language-processing concepts with a functioning analysis application.</w:t>
      </w:r>
    </w:p>
    <w:p w14:paraId="33EC9078" w14:textId="77777777" w:rsidR="0087365B" w:rsidRDefault="00000000">
      <w:pPr>
        <w:pStyle w:val="BodyText"/>
        <w:spacing w:before="0" w:after="240" w:line="276" w:lineRule="auto"/>
        <w:ind w:left="600" w:right="600" w:firstLine="0"/>
        <w:jc w:val="both"/>
        <w:widowControl/>
      </w:pPr>
      <w:r>
        <w:rPr>
          <w:rFonts w:ascii="Times New Roman" w:hAnsi="Times New Roman" w:cs="Times New Roman"/>
          <w:sz w:val="24"/>
          <w:color w:val="000000"/>
        </w:rPr>
        <w:t xml:space="preserve">We acknowledge the authors of WELFake and LIAR for making their research datasets available, and the maintainers of the open-source libraries used in the implementation. Their contributions enabled reproducible experimentation and the development of an inspectable NLP pipeline.</w:t>
      </w:r>
    </w:p>
    <w:p w14:paraId="33EC9078" w14:textId="77777777" w:rsidR="0087365B" w:rsidRDefault="00000000">
      <w:pPr>
        <w:pStyle w:val="BodyText"/>
        <w:spacing w:before="0" w:after="240" w:line="276" w:lineRule="auto"/>
        <w:ind w:left="600" w:right="600" w:firstLine="0"/>
        <w:jc w:val="both"/>
        <w:widowControl/>
      </w:pPr>
      <w:r>
        <w:rPr>
          <w:rFonts w:ascii="Times New Roman" w:hAnsi="Times New Roman" w:cs="Times New Roman"/>
          <w:sz w:val="24"/>
          <w:color w:val="000000"/>
        </w:rPr>
        <w:t xml:space="preserve">Finally, we thank our parents, family members, and friends for their encouragement and support throughout the project.</w:t>
      </w:r>
    </w:p>
    <w:p w14:paraId="33EC9078" w14:textId="77777777" w:rsidR="0087365B" w:rsidRDefault="00000000">
      <w:pPr>
        <w:pStyle w:val="BodyText"/>
        <w:spacing w:before="300" w:after="120" w:line="300" w:lineRule="auto"/>
        <w:ind w:left="720" w:right="720" w:firstLine="0"/>
        <w:jc w:val="right"/>
        <w:widowControl/>
      </w:pPr>
      <w:r>
        <w:rPr>
          <w:rFonts w:ascii="Times New Roman" w:hAnsi="Times New Roman" w:cs="Times New Roman"/>
          <w:sz w:val="24"/>
          <w:color w:val="000000"/>
          <w:b/>
        </w:rPr>
        <w:t xml:space="preserve">Abhishek Singh</w:t>
        <w:br/>
        <w:t xml:space="preserve">Rishabh Dhatrak</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ABSTRACT</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VeriFact AI is a full-stack application for fake news detection and misinformation analysis using Natural Language Processing. It supports pasted English text, public article URLs, and text-based TXT/PDF documents. The system presents a statistical article assessment together with signed feature contributions, linguistic observations, extractive summaries, named entities, and candidate claims. A separate factual-verification status prevents a model estimate from being presented as independent proof.</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active pipeline uses word TF-IDF features, a linear Support Vector Machine, and sigmoid calibration. WELFake data preparation includes source-marker cleaning, exact-duplicate removal, approximate-duplicate grouping, and group-disjoint training, validation, calibration, and test partitions. The retained corpus contains 60,544 articles. On 12,110 held-out test articles, the model achieves 96.31% accuracy, 96.51% misleading-class precision, 94.99% recall, and 95.74% F1.</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frontend uses Next.js and TypeScript; the backend uses FastAPI, scikit-learn, spaCy, and SQLAlchemy. Session-owned history, report export, deletion, and an interactive NLP lab support practical inspection. Verification on 28 October 2026 passed 41 backend tests, 11 component tests, and eight browser workflows.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A separate diagnostic on 798 LIAR short claims achieves only 47.24% accuracy, demonstrating limited transfer beyond the article benchmark. The project therefore provides an explainable screening tool and learning environment, while leaving source verification and evidence assessment as distinct tasks. Future work includes source and temporal holdouts, contemporary Indian news evaluation, multilingual support, and evidence-grounded claim review.</w:t>
      </w:r>
    </w:p>
    <w:p w14:paraId="33EC9078" w14:textId="77777777" w:rsidR="0087365B" w:rsidRDefault="00000000">
      <w:pPr>
        <w:pStyle w:val="BodyText"/>
        <w:spacing w:before="0" w:after="120" w:line="280" w:lineRule="auto"/>
        <w:ind w:left="720" w:right="720" w:firstLine="0"/>
        <w:jc w:val="both"/>
        <w:widowControl/>
      </w:pPr>
      <w:r>
        <w:rPr>
          <w:rFonts w:ascii="Times New Roman" w:hAnsi="Times New Roman" w:cs="Times New Roman"/>
          <w:sz w:val="24"/>
          <w:color w:val="000000"/>
        </w:rPr>
        <w:t xml:space="preserve">Keywords: Natural Language Processing, fake news detection, TF-IDF, Support Vector Machine, calibration, explainability.</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TABLE OF CONTENTS</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b/>
        </w:rPr>
        <w:t xml:space="preserve">ABSTRACT</w:t>
        <w:tab/>
        <w:t>iv</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b/>
        </w:rPr>
        <w:t xml:space="preserve">TABLE OF CONTENTS</w:t>
        <w:tab/>
        <w:t>v</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b/>
        </w:rPr>
        <w:t xml:space="preserve">LIST OF FIGURES</w:t>
        <w:tab/>
        <w:t>vii</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b/>
        </w:rPr>
        <w:t xml:space="preserve">LIST OF TABLES</w:t>
        <w:tab/>
        <w:t>viii</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b/>
        </w:rPr>
        <w:t xml:space="preserve">ABBREVIATIONS</w:t>
        <w:tab/>
        <w:t>ix</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b/>
        </w:rPr>
        <w:t xml:space="preserve">INTRODUCTION</w:t>
        <w:tab/>
        <w:t>1</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1.1 Introduction to Project</w:t>
        <w:tab/>
        <w:t>1</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1.2 Problem Statement</w:t>
        <w:tab/>
        <w:t>2</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1.3 Motivation</w:t>
        <w:tab/>
        <w:t>3</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1.4 Sustainable Development Goal of the Project</w:t>
        <w:tab/>
        <w:t>4</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b/>
        </w:rPr>
        <w:t xml:space="preserve">LITERATURE SURVEY</w:t>
        <w:tab/>
        <w:t>5</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2.1 Datasets for News and Claim Classification</w:t>
        <w:tab/>
        <w:t>5</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2.2 Lexical Features and Linear Classification</w:t>
        <w:tab/>
        <w:t>6</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2.3 Calibration and Semantic Representations</w:t>
        <w:tab/>
        <w:t>7</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2.4 Linguistic Analysis and Application Technologies</w:t>
        <w:tab/>
        <w:t>8</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b/>
        </w:rPr>
        <w:t xml:space="preserve">SPRINT PLANNING AND EXECUTION METHODOLOGY</w:t>
        <w:tab/>
        <w:t>9</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3.1 Sprint I</w:t>
        <w:tab/>
        <w:t>9</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3.1.1 Objectives with User Stories of Sprint I</w:t>
        <w:tab/>
        <w:t>10</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3.1.2 Functional Document</w:t>
        <w:tab/>
        <w:t>11</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3.1.3 Architecture Document</w:t>
        <w:tab/>
        <w:t>12</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3.1.4 Outcome of Objectives and Result Analysis</w:t>
        <w:tab/>
        <w:t>13</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3.1.5 Sprint Retrospective</w:t>
        <w:tab/>
        <w:t>14</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TABLE OF CONTENTS</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3.2 Sprint II</w:t>
        <w:tab/>
        <w:t>15</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3.2.1 Objectives with User Stories of Sprint II</w:t>
        <w:tab/>
        <w:t>15</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3.2.2 Functional Document</w:t>
        <w:tab/>
        <w:t>16</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3.2.3 Architecture Document</w:t>
        <w:tab/>
        <w:t>17</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3.2.4 Outcome of Objectives and Result Analysis</w:t>
        <w:tab/>
        <w:t>19</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3.2.5 Sprint Retrospective</w:t>
        <w:tab/>
        <w:t>20</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b/>
        </w:rPr>
        <w:t xml:space="preserve">RESULTS AND DISCUSSIONS</w:t>
        <w:tab/>
        <w:t>21</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4.1 Project Outcomes</w:t>
        <w:tab/>
        <w:t>21</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4.2 Discussion of Findings</w:t>
        <w:tab/>
        <w:t>26</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b/>
        </w:rPr>
        <w:t xml:space="preserve">CONCLUSION AND FUTURE ENHANCEMENT</w:t>
        <w:tab/>
        <w:t>27</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5.1 Conclusion</w:t>
        <w:tab/>
        <w:t>27</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5.2 Future Enhancement</w:t>
        <w:tab/>
        <w:t>28</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b/>
        </w:rPr>
        <w:t xml:space="preserve">REFERENCES</w:t>
        <w:tab/>
        <w:t>29</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b/>
        </w:rPr>
        <w:t xml:space="preserve">APPENDIX A  CODING</w:t>
        <w:tab/>
        <w:t>31</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b/>
        </w:rPr>
        <w:t xml:space="preserve">APPENDIX B  SCREENSHOTS</w:t>
        <w:tab/>
        <w:t>33</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LIST OF FIGURES</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Figure 3.1 Request and report architecture</w:t>
        <w:tab/>
        <w:t>12</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Figure 3.2 Article training and inference pipeline</w:t>
        <w:tab/>
        <w:t>18</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Figure 4.1 Confusion matrix for the article test partition</w:t>
        <w:tab/>
        <w:t>21</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Figure B.1 Article assessment interface</w:t>
        <w:tab/>
        <w:t>33</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Figure B.2 Model explanation interface</w:t>
        <w:tab/>
        <w:t>34</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Figure B.3 Interactive NLP lab</w:t>
        <w:tab/>
        <w:t>35</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LIST OF TABLES</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1.1 Problem requirements and implemented responses</w:t>
        <w:tab/>
        <w:t>2</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1.2 Proposed educational and information outcomes</w:t>
        <w:tab/>
        <w:t>4</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2.1 Datasets used in the project</w:t>
        <w:tab/>
        <w:t>5</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2.2 Literature and implementation synthesis</w:t>
        <w:tab/>
        <w:t>8</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3.1 Sprint scope and completion criteria</w:t>
        <w:tab/>
        <w:t>9</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3.2 Sprint I user stories and acceptance criteria</w:t>
        <w:tab/>
        <w:t>10</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3.3 Input and extraction contract</w:t>
        <w:tab/>
        <w:t>11</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3.4 Legacy LIAR experiment outcomes</w:t>
        <w:tab/>
        <w:t>13</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3.5 Sprint II user stories and acceptance criteria</w:t>
        <w:tab/>
        <w:t>15</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3.6 Article assessment policy</w:t>
        <w:tab/>
        <w:t>16</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3.7 Group-disjoint article partitions</w:t>
        <w:tab/>
        <w:t>17</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3.8 Validation search for the article SVM</w:t>
        <w:tab/>
        <w:t>19</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4.1 Full-test article classification metrics</w:t>
        <w:tab/>
        <w:t>21</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4.2 Confidence-filtered result reported separately</w:t>
        <w:tab/>
        <w:t>22</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4.3 Experimental results and their scope</w:t>
        <w:tab/>
        <w:t>23</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4.4 Backend test cases and observed outcomes</w:t>
        <w:tab/>
        <w:t>24</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4.5 Interface and browser verification on 28 October 2026</w:t>
        <w:tab/>
        <w:t>25</w:t>
      </w:r>
    </w:p>
    <w:p w14:paraId="33EC9078" w14:textId="77777777" w:rsidR="0087365B" w:rsidRDefault="00000000">
      <w:pPr>
        <w:pStyle w:val="BodyText"/>
        <w:spacing w:before="0" w:after="120" w:line="280" w:lineRule="auto"/>
        <w:ind w:left="720" w:right="720" w:firstLine="0"/>
        <w:jc w:val="left"/>
        <w:widowControl/>
        <w:tabs>
          <w:tab w:val="right" w:leader="dot" w:pos="9150"/>
        </w:tabs>
      </w:pPr>
      <w:r>
        <w:rPr>
          <w:rFonts w:ascii="Times New Roman" w:hAnsi="Times New Roman" w:cs="Times New Roman"/>
          <w:sz w:val="24"/>
          <w:color w:val="000000"/>
        </w:rPr>
        <w:t xml:space="preserve">Table 5.1 Future work and proposed acceptance evidence</w:t>
        <w:tab/>
        <w:t>28</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ABBREVIATIONS</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2200"/>
        <w:gridCol w:w="6890"/>
      </w:tblGrid>
      <w:tr>
        <w:trPr>
          <w:cantSplit/>
          <w:tblHeader/>
        </w:trPr>
        <w:tc>
          <w:tcPr>
            <w:tcW w:w="22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Abbreviation</w:t>
            </w:r>
          </w:p>
        </w:tc>
        <w:tc>
          <w:tcPr>
            <w:tcW w:w="68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Expansion</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AI</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Artificial Intelligence</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API</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Application Programming Interface</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BERT</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Bidirectional Encoder Representations from Transformers</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CSE</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Computer Science and Engineering</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ECE</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Expected Calibration Error</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F1</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Harmonic mean of precision and recall</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LSH</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Locality-Sensitive Hashing</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NER</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Named Entity Recognition</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NLP</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Natural Language Processing</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ORM</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Object-Relational Mapping</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POS</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Part of Speech</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ROC-AUC</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Area Under the Receiver Operating Characteristic Curve</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SDG</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Sustainable Development Goal</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SSRF</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Server-Side Request Forgery</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SVM</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Support Vector Machine</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TF-IDF</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Term Frequency–Inverse Document Frequency</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URL</w:t>
            </w:r>
          </w:p>
        </w:tc>
        <w:tc>
          <w:tcPr>
            <w:tcW w:w="6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Uniform Resource Locator</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0" w:line="20" w:lineRule="auto"/>
        <w:ind w:left="720" w:right="720" w:firstLine="0"/>
        <w:jc w:val="both"/>
        <w:widowControl/>
        <w:sectPr w:rsidR="0087365B">
          <w:footerReference w:type="default" r:id="rId11"/>
          <w:pgSz w:w="11910" w:h="16840"/>
          <w:pgMar w:top="567" w:right="570" w:bottom="280" w:left="426" w:header="0" w:footer="480" w:gutter="0"/>
          <w:cols w:space="720"/>
          <w:pgNumType w:start="2" w:fmt="lowerRoman"/>
        </w:sectPr>
      </w:pPr>
      <w:r>
        <w:rPr>
          <w:rFonts w:ascii="Times New Roman" w:hAnsi="Times New Roman" w:cs="Times New Roman"/>
          <w:sz w:val="2"/>
          <w:color w:val="000000"/>
        </w:rPr>
        <w:t xml:space="preserve"/>
      </w:r>
    </w:p>
    <w:p w14:paraId="5DA36485" w14:textId="77777777" w:rsidR="0087365B" w:rsidRDefault="00000000">
      <w:pPr>
        <w:pStyle w:val="Heading2"/>
        <w:spacing w:before="80" w:after="240" w:line="300" w:lineRule="auto"/>
        <w:ind w:left="720" w:right="720" w:firstLine="0"/>
        <w:jc w:val="center"/>
        <w:widowControl/>
        <w:keepNext/>
      </w:pPr>
      <w:r>
        <w:rPr>
          <w:rFonts w:ascii="Times New Roman" w:hAnsi="Times New Roman" w:cs="Times New Roman"/>
          <w:sz w:val="32"/>
          <w:color w:val="000000"/>
          <w:b/>
        </w:rPr>
        <w:t xml:space="preserve">CHAPTER 1</w:t>
      </w:r>
    </w:p>
    <w:p w14:paraId="5DA36485" w14:textId="77777777" w:rsidR="0087365B" w:rsidRDefault="00000000">
      <w:pPr>
        <w:pStyle w:val="Heading2"/>
        <w:spacing w:before="80" w:after="240" w:line="300" w:lineRule="auto"/>
        <w:ind w:left="720" w:right="720" w:firstLine="0"/>
        <w:jc w:val="center"/>
        <w:widowControl/>
        <w:keepNext/>
      </w:pPr>
      <w:r>
        <w:rPr>
          <w:rFonts w:ascii="Times New Roman" w:hAnsi="Times New Roman" w:cs="Times New Roman"/>
          <w:sz w:val="32"/>
          <w:color w:val="000000"/>
          <w:b/>
        </w:rPr>
        <w:t xml:space="preserve">INTRODUCTION</w:t>
      </w:r>
    </w:p>
    <w:p w14:paraId="5DA36485" w14:textId="77777777" w:rsidR="0087365B" w:rsidRDefault="00000000">
      <w:pPr>
        <w:pStyle w:val="Heading3"/>
        <w:spacing w:before="80" w:after="160" w:line="300" w:lineRule="auto"/>
        <w:ind w:left="720" w:right="720" w:firstLine="0"/>
        <w:jc w:val="left"/>
        <w:widowControl/>
        <w:keepNext/>
      </w:pPr>
      <w:r>
        <w:rPr>
          <w:rFonts w:ascii="Times New Roman" w:hAnsi="Times New Roman" w:cs="Times New Roman"/>
          <w:sz w:val="28"/>
          <w:color w:val="000000"/>
          <w:b/>
        </w:rPr>
        <w:t xml:space="preserve">1.1 Introduction to Project</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VeriFact AI is a web application for fake news detection and misinformation analysis using Natural Language Processing. It accepts English news text, public article links, and text-based documents, then presents an article classification together with the words that influenced it. The application also exposes sentence summaries, named entities, grammatical annotations, candidate claims, and a saved analysis history. Its purpose is to help a reader inspect an article and decide what requires further verification.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active classifier uses the WELFake article corpus [1]. After filtering and duplicate handling, 60,544 articles remain. A word TF-IDF representation feeds a linear Support Vector Machine, and a separate sigmoid calibration stage converts its decision score into class estimates. The model achieved 96.31% accuracy on 12,110 held-out articles. This result describes agreement with the benchmark labels; it does not establish the truth of an arbitrary article.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Earlier experiments used a binary subset of the LIAR short-claim dataset [2]. Their different task and lower transfer performance motivated the move to a full-article model. VeriFact therefore records the model version and evaluated domain alongside a prediction. The report distinguishes the active article classifier from the preserved LIAR experiments throughout the methodology and evaluation.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implemented system combines a Next.js interface, a FastAPI service, scikit-learn models, a local spaCy pipeline, and SQLAlchemy persistence. Users can review extracted text before submitting it, inspect model contributions, return to saved reports, and delete their own records. Optional evidence search is a separate, consent-based feature. A persistent factual-status message states that an article has not been independently verified.</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This project demonstrates the complete path from text preparation and supervised learning to a usable application. The principal outcome is a working, explainable screening system with reproducible benchmark artifacts and tested user workflows.</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1.2 Problem Statement</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Readers often encounter articles through forwarded messages, copied text, and aggregated news links. The original source and supporting evidence may be difficult to inspect from those entry points. A single numerical confidence score is especially easy to misread as proof. The engineering problem is to provide a useful screening result while making its evidence, uncertainty, and limitations visible.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project addresses three connected requirements. It must obtain usable text from common inputs, apply a reproducible classifier, and explain the result without presenting learned word associations as verified facts. It must also keep submitted analyses accessible within the same browser session while preventing another session from reading or deleting them.</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1.1 Problem requirements and implemented responses</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3300"/>
        <w:gridCol w:w="5790"/>
      </w:tblGrid>
      <w:tr>
        <w:trPr>
          <w:cantSplit/>
          <w:tblHeader/>
        </w:trPr>
        <w:tc>
          <w:tcPr>
            <w:tcW w:w="33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Requirement</w:t>
            </w:r>
          </w:p>
        </w:tc>
        <w:tc>
          <w:tcPr>
            <w:tcW w:w="57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Implemented response</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Obtain readable article text</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Editable URL and TXT/PDF extraction</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Produce an inspectable estimate</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TF-IDF, linear SVM and sigmoid calibration</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Explain model behavior</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Signed contributions from active model features</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Communicate uncertainty</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Input sufficiency checks and confidence threshold</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Support further investigation</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Exact claim excerpts and optional evidence retrieval</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Preserve user control</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Session-owned history, export and deletion</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input scope is English text. Direct text submission requires at least 12 words and permits up to 60,000 characters. Classification uses no more than the first 2,500 words. Inputs below 40 cleaned words or with insufficient vocabulary overlap receive a cautious assessment even when a preliminary class estimate can be computed.</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system does not determine truth by consulting a complete knowledge base. It is not a universal detector for all countries, languages, or breaking events. Its success criteria are correct software behavior, traceable model outputs, measured benchmark performance, and honest disclosure when supporting evidence is unavailable.</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1.3 Motivation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project is motivated by the need to connect NLP theory with an application that can be examined during a demonstration. Tokenization, lexical weighting, classification, lemmatization, entity recognition, and dependency parsing become easier to understand when a user can submit text and inspect the resulting annotations. VeriFact makes these operations visible rather than presenting only a final label.</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Interpretability is a central design choice. A linear classifier permits a direct calculation of each active feature's contribution to the calibrated decision score. This makes it possible to show why a word or bigram affected a prediction and to identify suspicious shortcuts. For example, a date-related term may influence the result because of patterns in historical training data, without providing any evidence that the current article is false.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Another motivation is the difference between short claims and full articles. The legacy LIAR experiments operate on brief political statements. Users of the application also submit longer news reports, which provide a different distribution of vocabulary and context. Training on WELFake addresses that input mismatch, while a separate LIAR stress test makes the remaining transfer weakness measurable.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interface is also intended to encourage careful reading. It shows the original submitted text, exact excerpts for candidate claims, and an extractive summary. Because summary sentences are copied from the article, readers can inspect their context. Language cues such as urgency are displayed separately from learned model contributions, reducing the chance that a sensational phrase will be presented as a factual contradiction.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From a software engineering perspective, the project provides experience with typed API contracts, asynchronous forms, extraction failures, database transactions, migrations, and automated tests. These concerns affect whether an NLP system is usable outside a notebook. The project therefore evaluates both classification performance and the complete path through submission, persistence, retrieval, and deletion.</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1.4 Sustainable Development Goal of the Project</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project has an educational relationship to Sustainable Development Goal 4, Quality Education [3]. Its NLP lab allows students to inspect tokens, lemmas, parts of speech, entities, and grammatical dependencies. Its explanation interface also helps users distinguish a statistical association from supporting evidence. These features can support classroom discussion of digital information and responsible interpretation of machine learning outputs.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VeriFact also relates to Goal 16, particularly the emphasis on public access to information in target 16.10 [4]. The application encourages readers to examine an article's source, claims, and publication context before sharing it. Optional retrieval of published fact checks may provide relevant material for that review, although retrieval alone does not establish whether the submitted claim is supported or contradicted.</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1.2 Proposed educational and information outcomes</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2200"/>
        <w:gridCol w:w="3445"/>
        <w:gridCol w:w="3445"/>
      </w:tblGrid>
      <w:tr>
        <w:trPr>
          <w:cantSplit/>
          <w:tblHeader/>
        </w:trPr>
        <w:tc>
          <w:tcPr>
            <w:tcW w:w="22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SDG relationship</w:t>
            </w:r>
          </w:p>
        </w:tc>
        <w:tc>
          <w:tcPr>
            <w:tcW w:w="3445"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Project contribution</w:t>
            </w:r>
          </w:p>
        </w:tc>
        <w:tc>
          <w:tcPr>
            <w:tcW w:w="3445"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Evaluation boundary</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Goal 4</w:t>
            </w:r>
          </w:p>
        </w:tc>
        <w:tc>
          <w:tcPr>
            <w:tcW w:w="3445"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Interactive NLP annotations and explanations</w:t>
            </w:r>
          </w:p>
        </w:tc>
        <w:tc>
          <w:tcPr>
            <w:tcW w:w="3445"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Learning gains have not been measured</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Goal 16</w:t>
            </w:r>
          </w:p>
        </w:tc>
        <w:tc>
          <w:tcPr>
            <w:tcW w:w="3445"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Claim inspection and source-checking prompts</w:t>
            </w:r>
          </w:p>
        </w:tc>
        <w:tc>
          <w:tcPr>
            <w:tcW w:w="3445"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No measured societal misinformation reduction</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Responsible use</w:t>
            </w:r>
          </w:p>
        </w:tc>
        <w:tc>
          <w:tcPr>
            <w:tcW w:w="3445"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Visible uncertainty and separate factual status</w:t>
            </w:r>
          </w:p>
        </w:tc>
        <w:tc>
          <w:tcPr>
            <w:tcW w:w="3445"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Classifier remains vulnerable to dataset bias</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These relationships describe intended contributions rather than demonstrated social impact. No user study has measured whether the application changes sharing behavior, improves media literacy, or reduces exposure to misinformation. Such claims would require a separate evaluation with participants, a defined comparison condition, and appropriate consent.</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An educational deployment could ask students to inspect both correctly and incorrectly classified articles, explain the most influential features, and compare those features with external evidence. Assessment should reward recognition of uncertainty and source quality as well as the ability to read model metrics. This would make the project useful even when a classifier prediction is incorrect.</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CHAPTER 2</w:t>
      </w:r>
    </w:p>
    <w:p w14:paraId="5DA36485" w14:textId="77777777" w:rsidR="0087365B" w:rsidRDefault="00000000">
      <w:pPr>
        <w:pStyle w:val="Heading2"/>
        <w:spacing w:before="80" w:after="240" w:line="300" w:lineRule="auto"/>
        <w:ind w:left="720" w:right="720" w:firstLine="0"/>
        <w:jc w:val="center"/>
        <w:widowControl/>
        <w:keepNext/>
      </w:pPr>
      <w:r>
        <w:rPr>
          <w:rFonts w:ascii="Times New Roman" w:hAnsi="Times New Roman" w:cs="Times New Roman"/>
          <w:sz w:val="32"/>
          <w:color w:val="000000"/>
          <w:b/>
        </w:rPr>
        <w:t xml:space="preserve">LITERATURE SURVEY</w:t>
      </w:r>
    </w:p>
    <w:p w14:paraId="5DA36485" w14:textId="77777777" w:rsidR="0087365B" w:rsidRDefault="00000000">
      <w:pPr>
        <w:pStyle w:val="Heading3"/>
        <w:spacing w:before="80" w:after="160" w:line="300" w:lineRule="auto"/>
        <w:ind w:left="720" w:right="720" w:firstLine="0"/>
        <w:jc w:val="left"/>
        <w:widowControl/>
        <w:keepNext/>
      </w:pPr>
      <w:r>
        <w:rPr>
          <w:rFonts w:ascii="Times New Roman" w:hAnsi="Times New Roman" w:cs="Times New Roman"/>
          <w:sz w:val="28"/>
          <w:color w:val="000000"/>
          <w:b/>
        </w:rPr>
        <w:t xml:space="preserve">2.1 Datasets for News and Claim Classification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WELFake [1] provides a corpus of full news articles assembled from several datasets. Its published distribution is suitable for studying article-level classification, but a merged corpus may preserve source, style, and topic patterns that make a benchmark easier than independent verification. The project consequently treats the inherited labels as training targets and reports the scope of the evaluation with every major performance claim.</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LIAR [2] is a benchmark of short statements associated with graded truthfulness labels. The project's binary experiment keeps true and mostly-true statements in one class, and false and pants-fire statements in the other. Half-true and barely-true examples are excluded. This conversion creates a narrower binary task and should not be confused with the original six-class benchmark.</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2.1 Datasets used in the project</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1800"/>
        <w:gridCol w:w="2000"/>
        <w:gridCol w:w="2500"/>
        <w:gridCol w:w="2790"/>
      </w:tblGrid>
      <w:tr>
        <w:trPr>
          <w:cantSplit/>
          <w:tblHeader/>
        </w:trPr>
        <w:tc>
          <w:tcPr>
            <w:tcW w:w="18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Dataset</w:t>
            </w:r>
          </w:p>
        </w:tc>
        <w:tc>
          <w:tcPr>
            <w:tcW w:w="20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Text unit</w:t>
            </w:r>
          </w:p>
        </w:tc>
        <w:tc>
          <w:tcPr>
            <w:tcW w:w="25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Project use</w:t>
            </w:r>
          </w:p>
        </w:tc>
        <w:tc>
          <w:tcPr>
            <w:tcW w:w="27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Main limitation</w:t>
            </w:r>
          </w:p>
        </w:tc>
      </w:tr>
      <w:tr>
        <w:trPr>
          <w:cantSplit/>
        </w:trPr>
        <w:tc>
          <w:tcPr>
            <w:tcW w:w="18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WELFake</w:t>
            </w:r>
          </w:p>
        </w:tc>
        <w:tc>
          <w:tcPr>
            <w:tcW w:w="2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News article</w:t>
            </w:r>
          </w:p>
        </w:tc>
        <w:tc>
          <w:tcPr>
            <w:tcW w:w="25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Active training and article test</w:t>
            </w:r>
          </w:p>
        </w:tc>
        <w:tc>
          <w:tcPr>
            <w:tcW w:w="2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Inherited labels and source/style effects</w:t>
            </w:r>
          </w:p>
        </w:tc>
      </w:tr>
      <w:tr>
        <w:trPr>
          <w:cantSplit/>
        </w:trPr>
        <w:tc>
          <w:tcPr>
            <w:tcW w:w="18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LIAR binary subset</w:t>
            </w:r>
          </w:p>
        </w:tc>
        <w:tc>
          <w:tcPr>
            <w:tcW w:w="2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Short political claim</w:t>
            </w:r>
          </w:p>
        </w:tc>
        <w:tc>
          <w:tcPr>
            <w:tcW w:w="25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Legacy models and transfer diagnostic</w:t>
            </w:r>
          </w:p>
        </w:tc>
        <w:tc>
          <w:tcPr>
            <w:tcW w:w="2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Excludes middle labels; different domain</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two datasets cannot support a direct before-and-after accuracy comparison because their inputs, labels, and test populations differ. The article classifier's strong WELFake score and weak LIAR transfer score show that calibration alone does not solve domain shift.</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Exact duplicate removal and approximate grouping reduce overlap between training and testing. Source-disjoint and temporal evaluation remain necessary to establish stronger evidence of transfer.</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2.2 Lexical Features and Linear Classification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TF-IDF represents text through weighted vocabulary features. Term frequency records how strongly a term appears in one document, while inverse document frequency reduces the relative importance of terms that occur across many training documents. The scikit-learn feature extraction documentation describes this representation and its sparse implementation [5]. In VeriFact, the vocabulary contains word unigrams and bigrams, so both individual words and short local phrases can influence the classifier.</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A linear Support Vector Machine learns a separating decision function in that feature space. The scikit-learn SVM documentation explains the available linear classification implementation and regularization controls [6]. The project uses balanced class weights and compares C values of 0.5, 1, and 2. Validation macro-F1 selects the candidate; the held-out test set is reserved for the final selected configuration.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deployment choice is attractive because inference uses sparse matrix operations and the feature weights can be inspected directly. The explanation is tied to the model actually loaded by the application. A positive signed contribution moves the calibrated score toward the misleading class, while a negative contribution moves it toward the credible class.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This transparency does not make the representation semantic evidence. A classifier may learn a publisher's phrasing, repeated political vocabulary, or historical dates. Removing obvious source markers reduces some shortcuts, but subtler associations remain. The interface therefore describes contributions as learned associations and retains a separate factual-verification status.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active configuration uses sublinear term frequency, a minimum document frequency of 3, a maximum document frequency of 0.98, and a maximum of 140,000 features. These are project implementation choices recorded in the training pipeline. A fitted vocabulary is reused at inference, ensuring that submitted articles are represented in the same feature space as the training data.</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2.3 Calibration and Semantic Representations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A raw SVM decision score is not itself a probability. Probability calibration fits a mapping between model scores and observed labels; the scikit-learn documentation describes sigmoid and other calibration approaches [7]. Guo et al. show why confidence quality requires separate attention from classification accuracy [8]. Their study concerns modern neural networks, while VeriFact applies the broader calibration principle to a linear article model.</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project fits sigmoid scaling on a dedicated group-disjoint calibration partition. Its calibration data are separate from both the training data used for model coefficients and the validation data used to choose C. The resulting probabilities remain estimates relative to the historical benchmark. They should not be interpreted as the probability that every factual assertion in an article is true.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BERT introduced a pretrained bidirectional transformer representation for language tasks [9]. Sentence-BERT adapts transformer representations for sentence-level embeddings and similarity [10]. These approaches provide relevant context for the project's earlier experiments with frozen MiniLM sentence embeddings. In those experiments, the encoder supplied features to a supervised linear classifier; the encoder weights were not fine-tuned.</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repository preserves six LIAR candidates covering word features, character features, and semantic-feature combinations. The selected calibrated challenger used word and character TF-IDF. Its retrospective test result did not exceed the earlier baseline. The report retains this negative result because a more elaborate feature set does not guarantee better generalization.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No trained BERT, DistilBERT, RNN, or LSTM model is claimed as part of the active release. A transformer adapter exists as an extension point, but an unevaluated adapter is not an experimental result. Future comparisons must use matched splits, comparable tuning budgets, and explicit data-leakage controls.</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2.4 Linguistic Analysis and Application Technologies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spaCy linguistic-feature documentation describes tokenization, part-of-speech tagging, morphology, lemmatization, dependency parsing, and named entities [11]. VeriFact exposes a trained local pipeline for these annotations. The annotations support inspection of language structure; they are separate from the article classifier's sparse features and can themselves contain errors.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FastAPI provides the Python API layer [12], while the Next.js App Router supports the web interface and its same-origin proxy [13]. SQLAlchemy supplies the object-relational persistence layer [14]. These components allow the trained pipeline to be connected to validation, saved reports, history filters, and a responsive application. Their use addresses system integration rather than changing the underlying definition of model accuracy.</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optional Google Fact Check Tools integration retrieves published fact-check material [15]. It requires server configuration and per-request consent. A retrieved item is related material, not an automatically proven match to a claim. The current project does not implement evidence entailment or a verified support-versus-contradiction decision.</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2.2 Literature and implementation synthesis</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2200"/>
        <w:gridCol w:w="3300"/>
        <w:gridCol w:w="3590"/>
      </w:tblGrid>
      <w:tr>
        <w:trPr>
          <w:cantSplit/>
          <w:tblHeader/>
        </w:trPr>
        <w:tc>
          <w:tcPr>
            <w:tcW w:w="22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Area</w:t>
            </w:r>
          </w:p>
        </w:tc>
        <w:tc>
          <w:tcPr>
            <w:tcW w:w="33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Adopted approach</w:t>
            </w:r>
          </w:p>
        </w:tc>
        <w:tc>
          <w:tcPr>
            <w:tcW w:w="35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Remaining research question</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Article screening</w:t>
            </w:r>
          </w:p>
        </w:tc>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TF-IDF and calibrated linear SVM</w:t>
            </w:r>
          </w:p>
        </w:tc>
        <w:tc>
          <w:tcPr>
            <w:tcW w:w="35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Transfer to new sources and time periods</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Semantic features</w:t>
            </w:r>
          </w:p>
        </w:tc>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Frozen embeddings in legacy experiments</w:t>
            </w:r>
          </w:p>
        </w:tc>
        <w:tc>
          <w:tcPr>
            <w:tcW w:w="35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Benefit under matched article evaluation</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Language inspection</w:t>
            </w:r>
          </w:p>
        </w:tc>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Trained local spaCy annotations</w:t>
            </w:r>
          </w:p>
        </w:tc>
        <w:tc>
          <w:tcPr>
            <w:tcW w:w="35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Accuracy on varied writing styles</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Evidence retrieval</w:t>
            </w:r>
          </w:p>
        </w:tc>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Optional published fact-check search</w:t>
            </w:r>
          </w:p>
        </w:tc>
        <w:tc>
          <w:tcPr>
            <w:tcW w:w="35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Claim alignment and evidence entailment</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resulting research gap is practical and measurable: a useful application must communicate both what the classifier has learned and what it cannot establish. VeriFact addresses that gap through separate model, language, and evidence views. A source- and time-disjoint benchmark remains necessary before making stronger deployment claims.</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CHAPTER 3</w:t>
      </w:r>
    </w:p>
    <w:p w14:paraId="5DA36485" w14:textId="77777777" w:rsidR="0087365B" w:rsidRDefault="00000000">
      <w:pPr>
        <w:pStyle w:val="Heading2"/>
        <w:spacing w:before="80" w:after="240" w:line="300" w:lineRule="auto"/>
        <w:ind w:left="720" w:right="720" w:firstLine="0"/>
        <w:jc w:val="center"/>
        <w:widowControl/>
        <w:keepNext/>
      </w:pPr>
      <w:r>
        <w:rPr>
          <w:rFonts w:ascii="Times New Roman" w:hAnsi="Times New Roman" w:cs="Times New Roman"/>
          <w:sz w:val="32"/>
          <w:color w:val="000000"/>
          <w:b/>
        </w:rPr>
        <w:t xml:space="preserve">SPRINT PLANNING AND EXECUTION METHODOLOGY</w:t>
      </w:r>
    </w:p>
    <w:p w14:paraId="5DA36485" w14:textId="77777777" w:rsidR="0087365B" w:rsidRDefault="00000000">
      <w:pPr>
        <w:pStyle w:val="Heading3"/>
        <w:spacing w:before="80" w:after="160" w:line="300" w:lineRule="auto"/>
        <w:ind w:left="720" w:right="720" w:firstLine="0"/>
        <w:jc w:val="left"/>
        <w:widowControl/>
        <w:keepNext/>
      </w:pPr>
      <w:r>
        <w:rPr>
          <w:rFonts w:ascii="Times New Roman" w:hAnsi="Times New Roman" w:cs="Times New Roman"/>
          <w:sz w:val="28"/>
          <w:color w:val="000000"/>
          <w:b/>
        </w:rPr>
        <w:t xml:space="preserve">3.1 Sprint I</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implementation is organized into two technical increments for this report. Sprint I covers the input-to-report application foundation, including the initial short-claim baseline, persistence, and a usable interface. Sprint II covers the full-article model, stronger data separation, calibrated explanations, richer linguistic inspection, and regression testing. </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3.1 Sprint scope and completion criteria</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1250"/>
        <w:gridCol w:w="3920"/>
        <w:gridCol w:w="3920"/>
      </w:tblGrid>
      <w:tr>
        <w:trPr>
          <w:cantSplit/>
          <w:tblHeader/>
        </w:trPr>
        <w:tc>
          <w:tcPr>
            <w:tcW w:w="125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Increment</w:t>
            </w:r>
          </w:p>
        </w:tc>
        <w:tc>
          <w:tcPr>
            <w:tcW w:w="392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Scope</w:t>
            </w:r>
          </w:p>
        </w:tc>
        <w:tc>
          <w:tcPr>
            <w:tcW w:w="392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Completion evidence</w:t>
            </w:r>
          </w:p>
        </w:tc>
      </w:tr>
      <w:tr>
        <w:trPr>
          <w:cantSplit/>
        </w:trPr>
        <w:tc>
          <w:tcPr>
            <w:tcW w:w="12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Sprint I</w:t>
            </w:r>
          </w:p>
        </w:tc>
        <w:tc>
          <w:tcPr>
            <w:tcW w:w="392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Input validation, baseline analysis, stored reports, history</w:t>
            </w:r>
          </w:p>
        </w:tc>
        <w:tc>
          <w:tcPr>
            <w:tcW w:w="392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Working API routes, database models and frontend workflow</w:t>
            </w:r>
          </w:p>
        </w:tc>
      </w:tr>
      <w:tr>
        <w:trPr>
          <w:cantSplit/>
        </w:trPr>
        <w:tc>
          <w:tcPr>
            <w:tcW w:w="12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Sprint II</w:t>
            </w:r>
          </w:p>
        </w:tc>
        <w:tc>
          <w:tcPr>
            <w:tcW w:w="392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Article training, calibration, explanation, NLP lab, extraction fixes</w:t>
            </w:r>
          </w:p>
        </w:tc>
        <w:tc>
          <w:tcPr>
            <w:tcW w:w="392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Saved metrics, split manifest, model adapter and automated checks</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Each increment is described through objectives and user stories, a functional document, an architecture document, outcomes, and a retrospective. This structure connects implementation choices to observable behavior. For example, a requirement to explain a prediction is complete only when the visible explanation comes from the active model and its displayed context can be inspected.</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Model experimentation and software testing use different evidence. Held-out predictions measure agreement with dataset labels. Component, API, and browser tests verify behavior such as preserving a report after reload or rejecting a private URL. Passing those software tests does not establish classification accuracy on a new population.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methodology also treats unavailable dependencies explicitly. Missing weights must not generate invented probabilities; missing evidence credentials must not produce fabricated sources. These failure states are part of the product contract and are covered by implementation and tests.</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3.1.1 Objectives with User Stories of Sprint I</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first increment establishes a complete analysis workflow. The primary user is a reader or student who wants to submit English content, inspect a result, and return to it later. The stories below define success in terms of observable application behavior rather than interface appearance alone.</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3.2 Sprint I user stories and acceptance criteria</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950"/>
        <w:gridCol w:w="4050"/>
        <w:gridCol w:w="4090"/>
      </w:tblGrid>
      <w:tr>
        <w:trPr>
          <w:cantSplit/>
          <w:tblHeader/>
        </w:trPr>
        <w:tc>
          <w:tcPr>
            <w:tcW w:w="95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ID</w:t>
            </w:r>
          </w:p>
        </w:tc>
        <w:tc>
          <w:tcPr>
            <w:tcW w:w="405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User story</w:t>
            </w:r>
          </w:p>
        </w:tc>
        <w:tc>
          <w:tcPr>
            <w:tcW w:w="40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Acceptance criterion</w:t>
            </w:r>
          </w:p>
        </w:tc>
      </w:tr>
      <w:tr>
        <w:trPr>
          <w:cantSplit/>
        </w:trPr>
        <w:tc>
          <w:tcPr>
            <w:tcW w:w="9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S1-01</w:t>
            </w:r>
          </w:p>
        </w:tc>
        <w:tc>
          <w:tcPr>
            <w:tcW w:w="40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As a reader, I want to submit article text</w:t>
            </w:r>
          </w:p>
        </w:tc>
        <w:tc>
          <w:tcPr>
            <w:tcW w:w="4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Valid content returns a report with an actual model version</w:t>
            </w:r>
          </w:p>
        </w:tc>
      </w:tr>
      <w:tr>
        <w:trPr>
          <w:cantSplit/>
        </w:trPr>
        <w:tc>
          <w:tcPr>
            <w:tcW w:w="9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S1-02</w:t>
            </w:r>
          </w:p>
        </w:tc>
        <w:tc>
          <w:tcPr>
            <w:tcW w:w="40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As a reader, I want to review extracted content</w:t>
            </w:r>
          </w:p>
        </w:tc>
        <w:tc>
          <w:tcPr>
            <w:tcW w:w="4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URL or file text is editable before analysis</w:t>
            </w:r>
          </w:p>
        </w:tc>
      </w:tr>
      <w:tr>
        <w:trPr>
          <w:cantSplit/>
        </w:trPr>
        <w:tc>
          <w:tcPr>
            <w:tcW w:w="9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S1-03</w:t>
            </w:r>
          </w:p>
        </w:tc>
        <w:tc>
          <w:tcPr>
            <w:tcW w:w="40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As a student, I want understandable outputs</w:t>
            </w:r>
          </w:p>
        </w:tc>
        <w:tc>
          <w:tcPr>
            <w:tcW w:w="4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Label, confidence, method and uncertainty are visible</w:t>
            </w:r>
          </w:p>
        </w:tc>
      </w:tr>
      <w:tr>
        <w:trPr>
          <w:cantSplit/>
        </w:trPr>
        <w:tc>
          <w:tcPr>
            <w:tcW w:w="9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S1-04</w:t>
            </w:r>
          </w:p>
        </w:tc>
        <w:tc>
          <w:tcPr>
            <w:tcW w:w="40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As a user, I want to revisit reports</w:t>
            </w:r>
          </w:p>
        </w:tc>
        <w:tc>
          <w:tcPr>
            <w:tcW w:w="4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 saved report opens after page reload</w:t>
            </w:r>
          </w:p>
        </w:tc>
      </w:tr>
      <w:tr>
        <w:trPr>
          <w:cantSplit/>
        </w:trPr>
        <w:tc>
          <w:tcPr>
            <w:tcW w:w="9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S1-05</w:t>
            </w:r>
          </w:p>
        </w:tc>
        <w:tc>
          <w:tcPr>
            <w:tcW w:w="40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As a user, I want control over my history</w:t>
            </w:r>
          </w:p>
        </w:tc>
        <w:tc>
          <w:tcPr>
            <w:tcW w:w="4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Search, filters and authorized deletion work</w:t>
            </w:r>
          </w:p>
        </w:tc>
      </w:tr>
      <w:tr>
        <w:trPr>
          <w:cantSplit/>
        </w:trPr>
        <w:tc>
          <w:tcPr>
            <w:tcW w:w="9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S1-06</w:t>
            </w:r>
          </w:p>
        </w:tc>
        <w:tc>
          <w:tcPr>
            <w:tcW w:w="40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As a user, I want clear recovery from failure</w:t>
            </w:r>
          </w:p>
        </w:tc>
        <w:tc>
          <w:tcPr>
            <w:tcW w:w="4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Validation and extraction errors identify the next action</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input experience supports pasted text, a public URL, and a TXT or text-based PDF file. Validation occurs in the browser for immediate feedback and again in the API because a client can bypass browser checks. The API remains the authoritative boundary for accepted content and stored data.</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Persistence is part of the story rather than an incidental implementation detail. A successful response must correspond to a committed report that the same session can retrieve. A failed database transaction must not be presented as a saved analysis. History and dashboard values are derived from actual stored records.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sprint also establishes accessible navigation and usable empty states. A new session must have a clear route to the analyzer; a mobile user must be able to open the navigation menu and reach the same core functions.</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3.1.2 Functional Document</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analysis form sends a typed request to the backend through the Next.js proxy. The backend normalizes text, validates its limits, obtains the session identity, invokes analysis services, and commits the result. The response includes an identifier used by the results route. Navigation follows that returned identifier rather than a simulated local result.</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3.3 Input and extraction contract</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3300"/>
        <w:gridCol w:w="5790"/>
      </w:tblGrid>
      <w:tr>
        <w:trPr>
          <w:cantSplit/>
          <w:tblHeader/>
        </w:trPr>
        <w:tc>
          <w:tcPr>
            <w:tcW w:w="33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Input or limit</w:t>
            </w:r>
          </w:p>
        </w:tc>
        <w:tc>
          <w:tcPr>
            <w:tcW w:w="57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Required behavior</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Pasted text</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At least 12 words; maximum 60,000 characters</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Headline</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Optional; maximum 300 characters</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URL</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Public HTTP or HTTPS on permitted ports</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Upload</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TXT or unencrypted text-based PDF; maximum 5 MB</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PDF</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At most 50 pages; extraction in a time-limited process</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Unsupported input</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Clear error and usable correction path</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URL extraction is a review operation. It obtains article content and source attribution, then lets the reader inspect and correct the extracted text. If a publisher blocks access or the content cannot be extracted, the interface offers a paste-text fallback. The project does not claim support for scanned PDF OCR or unrestricted access to paywalled material.</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Analysis results contain the submitted text, model assessment, confidence when available, model version, language observations, candidate claims, and evidence status. Exact character offsets connect highlights and excerpts to the cleaned text returned by the API. This reduces ambiguity when the same word occurs more than once.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History retrieval is session-scoped and paginated. Users may search headline text, filter by assessment label, sort chronologically, and delete individual or all owned reports. JSON export and browser print support preserve the visible analysis for later examination. Anonymous session storage does not provide cross-device accounts or recovery.</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3.1.3 Architecture Document</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frontend separates presentation components from typed API access. The analyzer handles form state and extraction review; the results view renders the returned report; history and dashboard components request stored records and aggregates. TanStack Query manages remote data state, while React Hook Form and Zod support form validation.</w:t>
      </w:r>
    </w:p>
    <w:p w14:paraId="33EC9078" w14:textId="77777777" w:rsidR="0087365B" w:rsidRDefault="00000000">
      <w:pPr>
        <w:pStyle w:val="BodyText"/>
        <w:spacing w:before="0" w:after="90" w:line="240" w:lineRule="auto"/>
        <w:ind w:left="720" w:right="720" w:firstLine="0"/>
        <w:jc w:val="center"/>
        <w:widowControl/>
      </w:pPr>
      <w:r>
        <w:rPr>
          <w:rFonts w:ascii="Times New Roman" w:hAnsi="Times New Roman" w:cs="Times New Roman"/>
          <w:sz w:val="28"/>
          <w:color w:val="000000"/>
        </w:rPr>
        <w:t xml:space="preserve"/>
        <w:drawing>
          <wp:inline distT="0" distB="0" distL="0" distR="0">
            <wp:extent cx="5577840" cy="1301496"/>
            <wp:docPr id="21" name="Figure 3.1 Request and report architecture" descr="Figure 3.1 Request and report architecture"/>
            <ns0:graphic xmlns:ns0="http://schemas.openxmlformats.org/drawingml/2006/main">
              <ns0:graphicData uri="http://schemas.openxmlformats.org/drawingml/2006/picture">
                <ns0:pic xmlns:ns0="http://schemas.openxmlformats.org/drawingml/2006/picture">
                  <ns0:nvPicPr>
                    <ns0:cNvPr id="21" name="report-21.png"/>
                    <ns0:cNvPicPr/>
                  </ns0:nvPicPr>
                  <ns0:blipFill>
                    <ns0:blip xmlns:ns0="http://schemas.openxmlformats.org/drawingml/2006/main" r:embed="rIdReport21"/>
                    <ns0:stretch xmlns:ns0="http://schemas.openxmlformats.org/drawingml/2006/main">
                      <ns0:fillRect/>
                    </ns0:stretch>
                  </ns0:blipFill>
                  <ns0:spPr>
                    <ns0:xfrm xmlns:ns0="http://schemas.openxmlformats.org/drawingml/2006/main">
                      <ns0:off x="0" y="0"/>
                      <ns0:ext cx="5577840" cy="1301496"/>
                    </ns0:xfrm>
                    <ns0:prstGeom xmlns:ns0="http://schemas.openxmlformats.org/drawingml/2006/main" prst="rect">
                      <ns0:avLst/>
                    </ns0:prstGeom>
                  </ns0:spPr>
                </ns0:pic>
              </ns0:graphicData>
            </ns0:graphic>
          </wp:inline>
        </w:drawing>
      </w:r>
    </w:p>
    <w:p w14:paraId="33EC9078" w14:textId="77777777" w:rsidR="0087365B" w:rsidRDefault="00000000">
      <w:pPr>
        <w:pStyle w:val="BodyText"/>
        <w:spacing w:before="0" w:after="180" w:line="260" w:lineRule="auto"/>
        <w:ind w:left="720" w:right="720" w:firstLine="0"/>
        <w:jc w:val="center"/>
        <w:widowControl/>
      </w:pPr>
      <w:r>
        <w:rPr>
          <w:rFonts w:ascii="Times New Roman" w:hAnsi="Times New Roman" w:cs="Times New Roman"/>
          <w:sz w:val="24"/>
          <w:color w:val="000000"/>
        </w:rPr>
        <w:t xml:space="preserve">Figure 3.1 Request and report architecture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FastAPI routes validate transport inputs and enforce session ownership. Service modules orchestrate extraction, model inference, linguistic processing, and evidence retrieval. The machine-learning layer provides a classifier interface and shared preprocessing. SQLAlchemy models and sessions handle relational storage, with Alembic migrations recording schema changes.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browser communicates through a same-origin proxy. Backend-only values, including evidence credentials and session signing secrets, remain outside public frontend variables. Original article content is rendered as text instead of executable HTML. The request lifecycle keeps input validation, inference, and persistence as distinct operations with explicit failure states.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local database is SQLite, allowing the project to run without a separate database service. A PostgreSQL configuration is available, but the demonstrated workflow and automated integration tests use SQLite. Database portability does not imply that every remote deployment configuration has been verified.</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architecture supports later model replacement by recording versioned predictions in each saved report. An older report remains interpretable after the active model changes because it retains the version that produced its result.</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3.1.4 Outcome of Objectives and Result Analysis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application foundation supports submission, persisted results, history, deletion, and dashboard statistics. The backend's analysis, insight, claim, and evidence records provide a structured representation of each report. The frontend can reload the saved identifier and render its stored contents. These outcomes establish the system pathway needed to evaluate later model improvements through the same interface.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initial LIAR baseline used TF-IDF with logistic regression. On the retained 798-example binary test subset, its accuracy was 66.29%, precision 60.00%, recall 61.95%, and F1 60.96% for the misleading class. These figures are retained as a legacy result. They concern short historical political claims and are not an article benchmark.</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3.4 Legacy LIAR experiment outcomes</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2900"/>
        <w:gridCol w:w="1500"/>
        <w:gridCol w:w="1800"/>
        <w:gridCol w:w="2890"/>
      </w:tblGrid>
      <w:tr>
        <w:trPr>
          <w:cantSplit/>
          <w:tblHeader/>
        </w:trPr>
        <w:tc>
          <w:tcPr>
            <w:tcW w:w="29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Model</w:t>
            </w:r>
          </w:p>
        </w:tc>
        <w:tc>
          <w:tcPr>
            <w:tcW w:w="15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Test accuracy</w:t>
            </w:r>
          </w:p>
        </w:tc>
        <w:tc>
          <w:tcPr>
            <w:tcW w:w="18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Misleading F1</w:t>
            </w:r>
          </w:p>
        </w:tc>
        <w:tc>
          <w:tcPr>
            <w:tcW w:w="28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Interpretation</w:t>
            </w:r>
          </w:p>
        </w:tc>
      </w:tr>
      <w:tr>
        <w:trPr>
          <w:cantSplit/>
        </w:trPr>
        <w:tc>
          <w:tcPr>
            <w:tcW w:w="29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Initial TF-IDF logistic baseline</w:t>
            </w:r>
          </w:p>
        </w:tc>
        <w:tc>
          <w:tcPr>
            <w:tcW w:w="15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66.29%</w:t>
            </w:r>
          </w:p>
        </w:tc>
        <w:tc>
          <w:tcPr>
            <w:tcW w:w="18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60.96%</w:t>
            </w:r>
          </w:p>
        </w:tc>
        <w:tc>
          <w:tcPr>
            <w:tcW w:w="2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Legacy reference result</w:t>
            </w:r>
          </w:p>
        </w:tc>
      </w:tr>
      <w:tr>
        <w:trPr>
          <w:cantSplit/>
        </w:trPr>
        <w:tc>
          <w:tcPr>
            <w:tcW w:w="29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Calibrated word and character challenger</w:t>
            </w:r>
          </w:p>
        </w:tc>
        <w:tc>
          <w:tcPr>
            <w:tcW w:w="15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63.66%</w:t>
            </w:r>
          </w:p>
        </w:tc>
        <w:tc>
          <w:tcPr>
            <w:tcW w:w="18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53.53%</w:t>
            </w:r>
          </w:p>
        </w:tc>
        <w:tc>
          <w:tcPr>
            <w:tcW w:w="28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Selected on validation; lower test result</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calibrated challenger used out-of-fold training scores for sigmoid calibration. Its test Brier score improved relative to its own uncalibrated score, but its discrimination did not surpass the initial baseline on the reused test set. The experiment therefore illustrates that calibration quality and classification accuracy are distinct dimensions.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repository documents the comparison as retrospective. Because the test set had already been used for the baseline report, it should not be represented as a newly untouched benchmark for a broad claim of progress. The preserved experiment remains useful for explaining validation selection and the limits of transferring short-claim models to complete news articles.</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3.1.5 Sprint Retrospective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first increment established that correct model integration requires more than loading weights. The application must maintain preprocessing consistency, identify the loaded model, validate returned fields, and distinguish unavailable outputs from low confidence. A model-free execution path still provides language observations while clearly stating that classification is unavailable.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short-claim model also exposed a mismatch between the original training task and the user's article workflow. The earlier operating policy could withhold predictions for longer content. This protected against unsupported scope but limited the usefulness of full-article submission. The next increment therefore focused on an article dataset and an article-specific inference policy rather than merely relaxing an input check.</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Extraction behavior was another practical constraint. A successful HTTP response may contain a JavaScript shell, navigation text, or a blocked-content message instead of an article. Editable review and explicit failure messages were necessary to prevent accidental analysis of the wrong content. Those lessons informed the public MSN feed and structured-data fallbacks added later.</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Session ownership and deletion required tests at the API boundary. Hiding another report in the interface would be insufficient if its identifier could still be retrieved directly. The integration suite checks retrieval and deletion using separate sessions and checks tampered session cookies and wrong origins.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main improvement carried forward was a stricter separation of outputs: statistical prediction, linguistic observations, and retrieved evidence. The software should make each method inspectable and preserve uncertainty rather than blend the outputs into a single unsupported credibility score. This separation also made regression tests more precise because each output has an identifiable source and contract.</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3.2 Sprint II</w:t>
      </w:r>
    </w:p>
    <w:p w14:paraId="5DA36485" w14:textId="77777777" w:rsidR="0087365B" w:rsidRDefault="00000000">
      <w:pPr>
        <w:pStyle w:val="Heading3"/>
        <w:spacing w:before="80" w:after="160" w:line="300" w:lineRule="auto"/>
        <w:ind w:left="720" w:right="720" w:firstLine="0"/>
        <w:jc w:val="left"/>
        <w:widowControl/>
        <w:keepNext/>
      </w:pPr>
      <w:r>
        <w:rPr>
          <w:rFonts w:ascii="Times New Roman" w:hAnsi="Times New Roman" w:cs="Times New Roman"/>
          <w:sz w:val="28"/>
          <w:color w:val="000000"/>
          <w:b/>
        </w:rPr>
        <w:t xml:space="preserve">3.2.1 Objectives with User Stories of Sprint II</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second increment aligns the model with full-article inputs and makes its decisions easier to inspect. It introduces article data preparation, group-disjoint partitions, validation-selected SVM training, separate calibration, and a clearer explanation interface. It also expands the NLP lab and extraction regression coverage.</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3.5 Sprint II user stories and acceptance criteria</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950"/>
        <w:gridCol w:w="4050"/>
        <w:gridCol w:w="4090"/>
      </w:tblGrid>
      <w:tr>
        <w:trPr>
          <w:cantSplit/>
          <w:tblHeader/>
        </w:trPr>
        <w:tc>
          <w:tcPr>
            <w:tcW w:w="95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ID</w:t>
            </w:r>
          </w:p>
        </w:tc>
        <w:tc>
          <w:tcPr>
            <w:tcW w:w="405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User story</w:t>
            </w:r>
          </w:p>
        </w:tc>
        <w:tc>
          <w:tcPr>
            <w:tcW w:w="40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Acceptance criterion</w:t>
            </w:r>
          </w:p>
        </w:tc>
      </w:tr>
      <w:tr>
        <w:trPr>
          <w:cantSplit/>
        </w:trPr>
        <w:tc>
          <w:tcPr>
            <w:tcW w:w="9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S2-01</w:t>
            </w:r>
          </w:p>
        </w:tc>
        <w:tc>
          <w:tcPr>
            <w:tcW w:w="40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As a reader, I want a full article assessed</w:t>
            </w:r>
          </w:p>
        </w:tc>
        <w:tc>
          <w:tcPr>
            <w:tcW w:w="4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Long articles receive the active article-model response</w:t>
            </w:r>
          </w:p>
        </w:tc>
      </w:tr>
      <w:tr>
        <w:trPr>
          <w:cantSplit/>
        </w:trPr>
        <w:tc>
          <w:tcPr>
            <w:tcW w:w="9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S2-02</w:t>
            </w:r>
          </w:p>
        </w:tc>
        <w:tc>
          <w:tcPr>
            <w:tcW w:w="40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As a reviewer, I want reproducible metrics</w:t>
            </w:r>
          </w:p>
        </w:tc>
        <w:tc>
          <w:tcPr>
            <w:tcW w:w="4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Metrics match the loaded model and saved evaluation</w:t>
            </w:r>
          </w:p>
        </w:tc>
      </w:tr>
      <w:tr>
        <w:trPr>
          <w:cantSplit/>
        </w:trPr>
        <w:tc>
          <w:tcPr>
            <w:tcW w:w="9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S2-03</w:t>
            </w:r>
          </w:p>
        </w:tc>
        <w:tc>
          <w:tcPr>
            <w:tcW w:w="40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As a student, I want to inspect influential terms</w:t>
            </w:r>
          </w:p>
        </w:tc>
        <w:tc>
          <w:tcPr>
            <w:tcW w:w="4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Signed contributions reconstruct the calibrated score</w:t>
            </w:r>
          </w:p>
        </w:tc>
      </w:tr>
      <w:tr>
        <w:trPr>
          <w:cantSplit/>
        </w:trPr>
        <w:tc>
          <w:tcPr>
            <w:tcW w:w="9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S2-04</w:t>
            </w:r>
          </w:p>
        </w:tc>
        <w:tc>
          <w:tcPr>
            <w:tcW w:w="40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As a reader, I want factual status kept clear</w:t>
            </w:r>
          </w:p>
        </w:tc>
        <w:tc>
          <w:tcPr>
            <w:tcW w:w="4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Not independently verified remains visible</w:t>
            </w:r>
          </w:p>
        </w:tc>
      </w:tr>
      <w:tr>
        <w:trPr>
          <w:cantSplit/>
        </w:trPr>
        <w:tc>
          <w:tcPr>
            <w:tcW w:w="9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S2-05</w:t>
            </w:r>
          </w:p>
        </w:tc>
        <w:tc>
          <w:tcPr>
            <w:tcW w:w="40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As a student, I want to explore grammar</w:t>
            </w:r>
          </w:p>
        </w:tc>
        <w:tc>
          <w:tcPr>
            <w:tcW w:w="4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Entities, lemmas, POS and dependencies are available</w:t>
            </w:r>
          </w:p>
        </w:tc>
      </w:tr>
      <w:tr>
        <w:trPr>
          <w:cantSplit/>
        </w:trPr>
        <w:tc>
          <w:tcPr>
            <w:tcW w:w="9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S2-06</w:t>
            </w:r>
          </w:p>
        </w:tc>
        <w:tc>
          <w:tcPr>
            <w:tcW w:w="405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As a user, I want public MSN links handled</w:t>
            </w:r>
          </w:p>
        </w:tc>
        <w:tc>
          <w:tcPr>
            <w:tcW w:w="4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Extracted article text reaches review and analysis</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Completion requires numerical and behavioral evidence. The trained artifact must have matching metrics, the split manifest must show no group overlap, and an analysis must expose the actual model version. The browser workflow must also distinguish benchmark accuracy from performance on a different domain.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explanation panel provides model-feature, language-cue, and NLP-walkthrough views. Its acceptance criterion is methodological clarity: lexical cues cannot be silently added to the learned classifier score, and a feature contribution cannot be presented as evidence of factual falsity.</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sprint keeps backward compatibility for stored reports. New linguistic and article-scope fields are optional where necessary so older records can still be displayed without being re-scored or assigned a new model identity.</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3.2.2 Functional Document</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article classifier returns Likely Credible, Potentially Misleading, or Needs Further Verification. The last assessment is used when confidence or input sufficiency is inadequate. All three remain screening assessments. The response separately exposes a factual status of Not independently verified and describes the domain covered by evaluation.</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3.6 Article assessment policy</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3300"/>
        <w:gridCol w:w="5790"/>
      </w:tblGrid>
      <w:tr>
        <w:trPr>
          <w:cantSplit/>
          <w:tblHeader/>
        </w:trPr>
        <w:tc>
          <w:tcPr>
            <w:tcW w:w="33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Condition</w:t>
            </w:r>
          </w:p>
        </w:tc>
        <w:tc>
          <w:tcPr>
            <w:tcW w:w="57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Displayed behavior</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Adequate input and maximum probability at least 0.65</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Class-based screening assessment</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Maximum probability below 0.65</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Needs Further Verification</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Fewer than 40 cleaned words</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Cautious preliminary assessment</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Vocabulary coverage below 0.20</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Cautious preliminary assessment</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More than 2,500 words</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First 2,500 classified; truncation warning</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feature panel shows up to fourteen influential active terms. Selecting a term presents its direction and source context when an exact textual match exists. The displayed bars are scaled relative to the largest shown absolute contribution. They are not separate probabilities and should not be summed as percentages.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NLP lab returns annotations and extractive summaries without creating an analysis-history record. Users can inspect lemmas, grammatical heads, dependency labels, and named entities. Summary sentences remain exact excerpts. Topics are derived from recurring noun lemmas rather than generated factual descriptions.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Optional evidence lookup requires server enablement, credentials, and request-specific consent. When any prerequisite is absent or retrieval fails, the system reports the appropriate unavailable state. It does not generate substitute sources. The interface also offers investigation actions that help users search exact candidate claims while keeping their verification status explicit.</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3.2.3 Architecture Document</w:t>
      </w:r>
    </w:p>
    <w:p w14:paraId="5DA36485" w14:textId="77777777" w:rsidR="0087365B" w:rsidRDefault="00000000">
      <w:pPr>
        <w:pStyle w:val="Heading3"/>
        <w:spacing w:before="80" w:after="160" w:line="300" w:lineRule="auto"/>
        <w:ind w:left="720" w:right="720" w:firstLine="0"/>
        <w:jc w:val="left"/>
        <w:widowControl/>
        <w:keepNext/>
      </w:pPr>
      <w:r>
        <w:rPr>
          <w:rFonts w:ascii="Times New Roman" w:hAnsi="Times New Roman" w:cs="Times New Roman"/>
          <w:sz w:val="28"/>
          <w:color w:val="000000"/>
          <w:b/>
        </w:rPr>
        <w:t xml:space="preserve">Data Preparation and Partitioning</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WELFake downloader verifies the distributed file checksum before preparation. The raw CSV contains 72,134 records. The loader filters missing or short bodies, applies shared source-marker cleaning, removes exact duplicates and conflicting duplicates, and groups approximate duplicates. The retained corpus contains 60,544 articles in 59,424 groups.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numeric label mapping requires an explicit audit. The dataset description reverses the mapping supported by the distributed CSV class counts and Reuters-tagged records. The project uses CSV label 0 for real and label 1 for fake, with count and source checks recorded in its model card. This interpretation is documented rather than hidden in the training code.</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3.7 Group-disjoint article partitions</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2200"/>
        <w:gridCol w:w="1700"/>
        <w:gridCol w:w="5190"/>
      </w:tblGrid>
      <w:tr>
        <w:trPr>
          <w:cantSplit/>
          <w:tblHeader/>
        </w:trPr>
        <w:tc>
          <w:tcPr>
            <w:tcW w:w="22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Partition</w:t>
            </w:r>
          </w:p>
        </w:tc>
        <w:tc>
          <w:tcPr>
            <w:tcW w:w="17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Articles</w:t>
            </w:r>
          </w:p>
        </w:tc>
        <w:tc>
          <w:tcPr>
            <w:tcW w:w="51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Purpose</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Training</w:t>
            </w:r>
          </w:p>
        </w:tc>
        <w:tc>
          <w:tcPr>
            <w:tcW w:w="17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36,325</w:t>
            </w:r>
          </w:p>
        </w:tc>
        <w:tc>
          <w:tcPr>
            <w:tcW w:w="51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Fit vocabulary and classifier</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Validation</w:t>
            </w:r>
          </w:p>
        </w:tc>
        <w:tc>
          <w:tcPr>
            <w:tcW w:w="17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6,054</w:t>
            </w:r>
          </w:p>
        </w:tc>
        <w:tc>
          <w:tcPr>
            <w:tcW w:w="51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Select C using macro-F1</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Calibration</w:t>
            </w:r>
          </w:p>
        </w:tc>
        <w:tc>
          <w:tcPr>
            <w:tcW w:w="17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6,055</w:t>
            </w:r>
          </w:p>
        </w:tc>
        <w:tc>
          <w:tcPr>
            <w:tcW w:w="51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Fit sigmoid probability mapping</w:t>
            </w:r>
          </w:p>
        </w:tc>
      </w:tr>
      <w:tr>
        <w:trPr>
          <w:cantSplit/>
        </w:trPr>
        <w:tc>
          <w:tcPr>
            <w:tcW w:w="22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Test</w:t>
            </w:r>
          </w:p>
        </w:tc>
        <w:tc>
          <w:tcPr>
            <w:tcW w:w="17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12,110</w:t>
            </w:r>
          </w:p>
        </w:tc>
        <w:tc>
          <w:tcPr>
            <w:tcW w:w="51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Evaluate the selected calibrated model</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Ten stratified group folds are assigned using seed 42. Six folds form training, one validation, one calibration, and two testing. Identical titles or 80-word leads and MinHash LSH matches are kept within the same group. The saved manifest permits an overlap check across partitions.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Approximate grouping reduces leakage but cannot prove that every paraphrase has been detected. The split is not source-disjoint or time-disjoint. These limits matter because news datasets can share recurring publishers, topics, and styles even after duplicate texts have been separated.</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Model Training and Inference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training pipeline fits TF-IDF only on the training articles. Each SVM candidate uses the same partition design and balanced class weights. Validation macro-F1 selects C, with ROC-AUC as the tie breaker. The chosen value is C=2. Test labels do not select the candidate, fit the calibrator, or adjust the fixed confidence threshold.</w:t>
      </w:r>
    </w:p>
    <w:p w14:paraId="33EC9078" w14:textId="77777777" w:rsidR="0087365B" w:rsidRDefault="00000000">
      <w:pPr>
        <w:pStyle w:val="BodyText"/>
        <w:spacing w:before="0" w:after="90" w:line="240" w:lineRule="auto"/>
        <w:ind w:left="720" w:right="720" w:firstLine="0"/>
        <w:jc w:val="center"/>
        <w:widowControl/>
      </w:pPr>
      <w:r>
        <w:rPr>
          <w:rFonts w:ascii="Times New Roman" w:hAnsi="Times New Roman" w:cs="Times New Roman"/>
          <w:sz w:val="28"/>
          <w:color w:val="000000"/>
        </w:rPr>
        <w:t xml:space="preserve"/>
        <w:drawing>
          <wp:inline distT="0" distB="0" distL="0" distR="0">
            <wp:extent cx="5577840" cy="1301496"/>
            <wp:docPr id="22" name="Figure 3.2 Article training and inference pipeline" descr="Figure 3.2 Article training and inference pipeline"/>
            <ns0:graphic xmlns:ns0="http://schemas.openxmlformats.org/drawingml/2006/main">
              <ns0:graphicData uri="http://schemas.openxmlformats.org/drawingml/2006/picture">
                <ns0:pic xmlns:ns0="http://schemas.openxmlformats.org/drawingml/2006/picture">
                  <ns0:nvPicPr>
                    <ns0:cNvPr id="22" name="report-22.png"/>
                    <ns0:cNvPicPr/>
                  </ns0:nvPicPr>
                  <ns0:blipFill>
                    <ns0:blip xmlns:ns0="http://schemas.openxmlformats.org/drawingml/2006/main" r:embed="rIdReport22"/>
                    <ns0:stretch xmlns:ns0="http://schemas.openxmlformats.org/drawingml/2006/main">
                      <ns0:fillRect/>
                    </ns0:stretch>
                  </ns0:blipFill>
                  <ns0:spPr>
                    <ns0:xfrm xmlns:ns0="http://schemas.openxmlformats.org/drawingml/2006/main">
                      <ns0:off x="0" y="0"/>
                      <ns0:ext cx="5577840" cy="1301496"/>
                    </ns0:xfrm>
                    <ns0:prstGeom xmlns:ns0="http://schemas.openxmlformats.org/drawingml/2006/main" prst="rect">
                      <ns0:avLst/>
                    </ns0:prstGeom>
                  </ns0:spPr>
                </ns0:pic>
              </ns0:graphicData>
            </ns0:graphic>
          </wp:inline>
        </w:drawing>
      </w:r>
    </w:p>
    <w:p w14:paraId="33EC9078" w14:textId="77777777" w:rsidR="0087365B" w:rsidRDefault="00000000">
      <w:pPr>
        <w:pStyle w:val="BodyText"/>
        <w:spacing w:before="0" w:after="180" w:line="260" w:lineRule="auto"/>
        <w:ind w:left="720" w:right="720" w:firstLine="0"/>
        <w:jc w:val="center"/>
        <w:widowControl/>
      </w:pPr>
      <w:r>
        <w:rPr>
          <w:rFonts w:ascii="Times New Roman" w:hAnsi="Times New Roman" w:cs="Times New Roman"/>
          <w:sz w:val="24"/>
          <w:color w:val="000000"/>
        </w:rPr>
        <w:t xml:space="preserve">Figure 3.2 Article training and inference pipeline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At inference, shared cleaning removes obvious publisher strings, URLs, datelines, reporting credits, and media markers. The fitted vectorizer transforms the cleaned article, the SVM calculates a decision score, and the calibrator produces the misleading-class estimate. The complementary estimate represents the credible class.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For a feature j, the signed contribution is its TF-IDF value multiplied by the SVM coefficient and calibration slope. The sum of those contributions, together with the transformed intercept, reconstructs the calibrated logit. This identity is tested against the model output. The resulting explanation is mathematically linked to the decision function rather than generated as a plausible narrative.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trained bundle stores the vectorizer, classifier, calibrator, metadata, and matching evaluation data. The API rejects stale evaluation information when model identity does not match. Existing reports preserve their original version so a model upgrade does not silently rewrite the interpretation of earlier analyses.</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3.2.4 Outcome of Objectives and Result Analysis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active article model achieves 96.31% full-test accuracy on the WELFake partition. Misleading-class precision is 96.51%, recall is 94.99%, and F1 is 95.74%. All headline metrics include low-confidence test examples. Conditional performance after a confidence filter is reported separately to avoid presenting a selected subset as the full benchmark.</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3.8 Validation search for the article SVM</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1000"/>
        <w:gridCol w:w="2700"/>
        <w:gridCol w:w="2800"/>
        <w:gridCol w:w="2590"/>
      </w:tblGrid>
      <w:tr>
        <w:trPr>
          <w:cantSplit/>
          <w:tblHeader/>
        </w:trPr>
        <w:tc>
          <w:tcPr>
            <w:tcW w:w="10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C</w:t>
            </w:r>
          </w:p>
        </w:tc>
        <w:tc>
          <w:tcPr>
            <w:tcW w:w="27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Validation accuracy</w:t>
            </w:r>
          </w:p>
        </w:tc>
        <w:tc>
          <w:tcPr>
            <w:tcW w:w="28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Validation macro-F1</w:t>
            </w:r>
          </w:p>
        </w:tc>
        <w:tc>
          <w:tcPr>
            <w:tcW w:w="25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Selection</w:t>
            </w:r>
          </w:p>
        </w:tc>
      </w:tr>
      <w:tr>
        <w:trPr>
          <w:cantSplit/>
        </w:trPr>
        <w:tc>
          <w:tcPr>
            <w:tcW w:w="1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0.5</w:t>
            </w:r>
          </w:p>
        </w:tc>
        <w:tc>
          <w:tcPr>
            <w:tcW w:w="27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95.80%</w:t>
            </w:r>
          </w:p>
        </w:tc>
        <w:tc>
          <w:tcPr>
            <w:tcW w:w="28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95.73%</w:t>
            </w:r>
          </w:p>
        </w:tc>
        <w:tc>
          <w:tcPr>
            <w:tcW w:w="25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Candidate</w:t>
            </w:r>
          </w:p>
        </w:tc>
      </w:tr>
      <w:tr>
        <w:trPr>
          <w:cantSplit/>
        </w:trPr>
        <w:tc>
          <w:tcPr>
            <w:tcW w:w="1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1.0</w:t>
            </w:r>
          </w:p>
        </w:tc>
        <w:tc>
          <w:tcPr>
            <w:tcW w:w="27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95.97%</w:t>
            </w:r>
          </w:p>
        </w:tc>
        <w:tc>
          <w:tcPr>
            <w:tcW w:w="28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95.90%</w:t>
            </w:r>
          </w:p>
        </w:tc>
        <w:tc>
          <w:tcPr>
            <w:tcW w:w="25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Candidate</w:t>
            </w:r>
          </w:p>
        </w:tc>
      </w:tr>
      <w:tr>
        <w:trPr>
          <w:cantSplit/>
        </w:trPr>
        <w:tc>
          <w:tcPr>
            <w:tcW w:w="1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2.0</w:t>
            </w:r>
          </w:p>
        </w:tc>
        <w:tc>
          <w:tcPr>
            <w:tcW w:w="27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95.99%</w:t>
            </w:r>
          </w:p>
        </w:tc>
        <w:tc>
          <w:tcPr>
            <w:tcW w:w="28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95.92%</w:t>
            </w:r>
          </w:p>
        </w:tc>
        <w:tc>
          <w:tcPr>
            <w:tcW w:w="25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Selected</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separate calibration partition improves the recorded test Brier score from 0.07798 for the stored pre-calibration comparison to 0.02778 after calibration. The result supports the value of the fitted score mapping on this benchmark. It does not demonstrate calibration under a new publisher, country, or time distribution.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product now provides a numerical article assessment for full reports while retaining cautious treatment of short or unfamiliar text. The old 160-word political-claim restriction no longer suppresses long-article results. The interface keeps the evaluated-domain limitation and factual status visible beside the model output.</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extraction changes also support public MSN article content through its public feed when the initial response is a JavaScript shell. Regression coverage checks structured-data fallback, plain text, redirects, and access errors. A browser test covers extraction, review, prediction, and persisted results for the supplied public MSN link.</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3.2.5 Sprint Retrospective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article release improved alignment between the input workflow and the training task. Its evaluation also made the remaining domain limitation more visible: the same model achieved only 47.24% accuracy on 798 LIAR short claims. The appropriate conclusion is that the model works well on its article benchmark and transfers poorly to this diagnostic population.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label audit was a significant methodological lesson. Public dataset descriptions can contain inconsistencies, and a training pipeline should not treat a numeric label as self-explanatory. Class totals, source-tagged records, saved mappings, and assertions help make interpretation reviewable. A documented mapping is necessary for every reported confusion matrix and class-specific metric.</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explanation interface demonstrated the value of exact model contributions. It exposed cases in which a familiar term or date influenced a prediction for reasons unrelated to the truth of an article. Showing those associations lets a reviewer question the learned decision rather than accept a confident label without inspection.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sprint also showed the limits of automated testing. A passing browser test confirms that the interface displays a result and preserves its disclosures. It does not confirm that the result is factually correct. Software tests, benchmark evaluation, and independent claim verification must remain distinct parts of the evaluation process.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Future work should prioritize a trustworthy evaluation population before adding model complexity. New articles should be divided by source and time, with reliable claim-level evidence where possible. Interface improvements should continue to make uncertainty actionable, while new evidence capabilities should require explicit evaluation of claim matching and entailment rather than treating retrieved keywords as proof.</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CHAPTER 4</w:t>
      </w:r>
    </w:p>
    <w:p w14:paraId="5DA36485" w14:textId="77777777" w:rsidR="0087365B" w:rsidRDefault="00000000">
      <w:pPr>
        <w:pStyle w:val="Heading2"/>
        <w:spacing w:before="80" w:after="240" w:line="300" w:lineRule="auto"/>
        <w:ind w:left="720" w:right="720" w:firstLine="0"/>
        <w:jc w:val="center"/>
        <w:widowControl/>
        <w:keepNext/>
      </w:pPr>
      <w:r>
        <w:rPr>
          <w:rFonts w:ascii="Times New Roman" w:hAnsi="Times New Roman" w:cs="Times New Roman"/>
          <w:sz w:val="32"/>
          <w:color w:val="000000"/>
          <w:b/>
        </w:rPr>
        <w:t xml:space="preserve">RESULTS AND DISCUSSIONS</w:t>
      </w:r>
    </w:p>
    <w:p w14:paraId="5DA36485" w14:textId="77777777" w:rsidR="0087365B" w:rsidRDefault="00000000">
      <w:pPr>
        <w:pStyle w:val="Heading3"/>
        <w:spacing w:before="80" w:after="160" w:line="300" w:lineRule="auto"/>
        <w:ind w:left="720" w:right="720" w:firstLine="0"/>
        <w:jc w:val="left"/>
        <w:widowControl/>
        <w:keepNext/>
      </w:pPr>
      <w:r>
        <w:rPr>
          <w:rFonts w:ascii="Times New Roman" w:hAnsi="Times New Roman" w:cs="Times New Roman"/>
          <w:sz w:val="28"/>
          <w:color w:val="000000"/>
          <w:b/>
        </w:rPr>
        <w:t xml:space="preserve">4.1 Project Outcomes</w:t>
      </w:r>
    </w:p>
    <w:p w14:paraId="5DA36485" w14:textId="77777777" w:rsidR="0087365B" w:rsidRDefault="00000000">
      <w:pPr>
        <w:pStyle w:val="Heading3"/>
        <w:spacing w:before="80" w:after="160" w:line="300" w:lineRule="auto"/>
        <w:ind w:left="720" w:right="720" w:firstLine="0"/>
        <w:jc w:val="left"/>
        <w:widowControl/>
        <w:keepNext/>
      </w:pPr>
      <w:r>
        <w:rPr>
          <w:rFonts w:ascii="Times New Roman" w:hAnsi="Times New Roman" w:cs="Times New Roman"/>
          <w:sz w:val="28"/>
          <w:color w:val="000000"/>
          <w:b/>
        </w:rPr>
        <w:t xml:space="preserve">Performance Evaluation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selected calibrated model was evaluated on 12,110 group-held-out WELFake articles. The saved evaluation artifact records 6,816 credible-class and 5,294 misleading-class examples. Its confusion matrix contains 11,663 correct predictions and 447 errors. The benchmark accuracy is therefore 11,663 divided by 12,110, or 96.31%.</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4.1 Full-test article classification metrics</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3000"/>
        <w:gridCol w:w="6090"/>
      </w:tblGrid>
      <w:tr>
        <w:trPr>
          <w:cantSplit/>
          <w:tblHeader/>
        </w:trPr>
        <w:tc>
          <w:tcPr>
            <w:tcW w:w="30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Metric</w:t>
            </w:r>
          </w:p>
        </w:tc>
        <w:tc>
          <w:tcPr>
            <w:tcW w:w="60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Value</w:t>
            </w:r>
          </w:p>
        </w:tc>
      </w:tr>
      <w:tr>
        <w:trPr>
          <w:cantSplit/>
        </w:trPr>
        <w:tc>
          <w:tcPr>
            <w:tcW w:w="3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Accuracy</w:t>
            </w:r>
          </w:p>
        </w:tc>
        <w:tc>
          <w:tcPr>
            <w:tcW w:w="6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96.31%</w:t>
            </w:r>
          </w:p>
        </w:tc>
      </w:tr>
      <w:tr>
        <w:trPr>
          <w:cantSplit/>
        </w:trPr>
        <w:tc>
          <w:tcPr>
            <w:tcW w:w="3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Misleading-class precision</w:t>
            </w:r>
          </w:p>
        </w:tc>
        <w:tc>
          <w:tcPr>
            <w:tcW w:w="6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96.51%</w:t>
            </w:r>
          </w:p>
        </w:tc>
      </w:tr>
      <w:tr>
        <w:trPr>
          <w:cantSplit/>
        </w:trPr>
        <w:tc>
          <w:tcPr>
            <w:tcW w:w="3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Misleading-class recall</w:t>
            </w:r>
          </w:p>
        </w:tc>
        <w:tc>
          <w:tcPr>
            <w:tcW w:w="6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94.99%</w:t>
            </w:r>
          </w:p>
        </w:tc>
      </w:tr>
      <w:tr>
        <w:trPr>
          <w:cantSplit/>
        </w:trPr>
        <w:tc>
          <w:tcPr>
            <w:tcW w:w="3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Misleading-class F1</w:t>
            </w:r>
          </w:p>
        </w:tc>
        <w:tc>
          <w:tcPr>
            <w:tcW w:w="6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95.74%</w:t>
            </w:r>
          </w:p>
        </w:tc>
      </w:tr>
      <w:tr>
        <w:trPr>
          <w:cantSplit/>
        </w:trPr>
        <w:tc>
          <w:tcPr>
            <w:tcW w:w="3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Macro-F1</w:t>
            </w:r>
          </w:p>
        </w:tc>
        <w:tc>
          <w:tcPr>
            <w:tcW w:w="6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96.24%</w:t>
            </w:r>
          </w:p>
        </w:tc>
      </w:tr>
      <w:tr>
        <w:trPr>
          <w:cantSplit/>
        </w:trPr>
        <w:tc>
          <w:tcPr>
            <w:tcW w:w="3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ROC-AUC</w:t>
            </w:r>
          </w:p>
        </w:tc>
        <w:tc>
          <w:tcPr>
            <w:tcW w:w="6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0.9939</w:t>
            </w:r>
          </w:p>
        </w:tc>
      </w:tr>
      <w:tr>
        <w:trPr>
          <w:cantSplit/>
        </w:trPr>
        <w:tc>
          <w:tcPr>
            <w:tcW w:w="3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Brier score</w:t>
            </w:r>
          </w:p>
        </w:tc>
        <w:tc>
          <w:tcPr>
            <w:tcW w:w="6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0.0278</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90" w:line="240" w:lineRule="auto"/>
        <w:ind w:left="720" w:right="720" w:firstLine="0"/>
        <w:jc w:val="center"/>
        <w:widowControl/>
      </w:pPr>
      <w:r>
        <w:rPr>
          <w:rFonts w:ascii="Times New Roman" w:hAnsi="Times New Roman" w:cs="Times New Roman"/>
          <w:sz w:val="28"/>
          <w:color w:val="000000"/>
        </w:rPr>
        <w:t xml:space="preserve"/>
        <w:drawing>
          <wp:inline distT="0" distB="0" distL="0" distR="0">
            <wp:extent cx="5416061" cy="2011680"/>
            <wp:docPr id="23" name="Figure 4.1 Confusion matrix for the article test partition" descr="Figure 4.1 Confusion matrix for the article test partition"/>
            <ns0:graphic xmlns:ns0="http://schemas.openxmlformats.org/drawingml/2006/main">
              <ns0:graphicData uri="http://schemas.openxmlformats.org/drawingml/2006/picture">
                <ns0:pic xmlns:ns0="http://schemas.openxmlformats.org/drawingml/2006/picture">
                  <ns0:nvPicPr>
                    <ns0:cNvPr id="23" name="report-23.png"/>
                    <ns0:cNvPicPr/>
                  </ns0:nvPicPr>
                  <ns0:blipFill>
                    <ns0:blip xmlns:ns0="http://schemas.openxmlformats.org/drawingml/2006/main" r:embed="rIdReport23"/>
                    <ns0:stretch xmlns:ns0="http://schemas.openxmlformats.org/drawingml/2006/main">
                      <ns0:fillRect/>
                    </ns0:stretch>
                  </ns0:blipFill>
                  <ns0:spPr>
                    <ns0:xfrm xmlns:ns0="http://schemas.openxmlformats.org/drawingml/2006/main">
                      <ns0:off x="0" y="0"/>
                      <ns0:ext cx="5416061" cy="2011680"/>
                    </ns0:xfrm>
                    <ns0:prstGeom xmlns:ns0="http://schemas.openxmlformats.org/drawingml/2006/main" prst="rect">
                      <ns0:avLst/>
                    </ns0:prstGeom>
                  </ns0:spPr>
                </ns0:pic>
              </ns0:graphicData>
            </ns0:graphic>
          </wp:inline>
        </w:drawing>
      </w:r>
    </w:p>
    <w:p w14:paraId="33EC9078" w14:textId="77777777" w:rsidR="0087365B" w:rsidRDefault="00000000">
      <w:pPr>
        <w:pStyle w:val="BodyText"/>
        <w:spacing w:before="0" w:after="180" w:line="260" w:lineRule="auto"/>
        <w:ind w:left="720" w:right="720" w:firstLine="0"/>
        <w:jc w:val="center"/>
        <w:widowControl/>
      </w:pPr>
      <w:r>
        <w:rPr>
          <w:rFonts w:ascii="Times New Roman" w:hAnsi="Times New Roman" w:cs="Times New Roman"/>
          <w:sz w:val="24"/>
          <w:color w:val="000000"/>
        </w:rPr>
        <w:t xml:space="preserve">Figure 4.1 Confusion matrix for the article test partition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Rows in Figure 4.1 represent the inherited dataset labels and columns represent predicted classes. The matrix is a measure of dataset-label agreement. No confidence-based exclusions are applied to these counts.</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Error Analysis and Calibration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model incorrectly classified 182 credible-labeled articles as misleading and 265 misleading-labeled articles as credible. For the misleading class, precision measures the share of predicted misleading examples carrying that label, while recall measures the share of all misleading-labeled examples recovered by the classifier. Their imbalance is visible in the larger false-negative count.</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recorded accuracy interval is approximately 95.96% to 96.63%. This interval describes sampling uncertainty for the evaluated test population. It does not account for all effects of inherited labeling error, source overlap, or a new deployment distribution. A narrow interval around a benchmark score should therefore not be used to claim universal reliability.</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4.2 Confidence-filtered result reported separately</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3000"/>
        <w:gridCol w:w="6090"/>
      </w:tblGrid>
      <w:tr>
        <w:trPr>
          <w:cantSplit/>
          <w:tblHeader/>
        </w:trPr>
        <w:tc>
          <w:tcPr>
            <w:tcW w:w="30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Measure</w:t>
            </w:r>
          </w:p>
        </w:tc>
        <w:tc>
          <w:tcPr>
            <w:tcW w:w="60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Result</w:t>
            </w:r>
          </w:p>
        </w:tc>
      </w:tr>
      <w:tr>
        <w:trPr>
          <w:cantSplit/>
        </w:trPr>
        <w:tc>
          <w:tcPr>
            <w:tcW w:w="3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Maximum-class threshold</w:t>
            </w:r>
          </w:p>
        </w:tc>
        <w:tc>
          <w:tcPr>
            <w:tcW w:w="6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0.65</w:t>
            </w:r>
          </w:p>
        </w:tc>
      </w:tr>
      <w:tr>
        <w:trPr>
          <w:cantSplit/>
        </w:trPr>
        <w:tc>
          <w:tcPr>
            <w:tcW w:w="3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Accepted test articles</w:t>
            </w:r>
          </w:p>
        </w:tc>
        <w:tc>
          <w:tcPr>
            <w:tcW w:w="6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11,766 of 12,110</w:t>
            </w:r>
          </w:p>
        </w:tc>
      </w:tr>
      <w:tr>
        <w:trPr>
          <w:cantSplit/>
        </w:trPr>
        <w:tc>
          <w:tcPr>
            <w:tcW w:w="3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Coverage</w:t>
            </w:r>
          </w:p>
        </w:tc>
        <w:tc>
          <w:tcPr>
            <w:tcW w:w="6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97.16%</w:t>
            </w:r>
          </w:p>
        </w:tc>
      </w:tr>
      <w:tr>
        <w:trPr>
          <w:cantSplit/>
        </w:trPr>
        <w:tc>
          <w:tcPr>
            <w:tcW w:w="3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Accuracy among accepted articles</w:t>
            </w:r>
          </w:p>
        </w:tc>
        <w:tc>
          <w:tcPr>
            <w:tcW w:w="6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97.41%</w:t>
            </w:r>
          </w:p>
        </w:tc>
      </w:tr>
      <w:tr>
        <w:trPr>
          <w:cantSplit/>
        </w:trPr>
        <w:tc>
          <w:tcPr>
            <w:tcW w:w="30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Conditional accuracy interval</w:t>
            </w:r>
          </w:p>
        </w:tc>
        <w:tc>
          <w:tcPr>
            <w:tcW w:w="6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97.10% to 97.68%</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filtered result answers a different question from full-test accuracy. It estimates agreement only among examples passing the confidence filter. Its scope is confidence-only evaluation; the deployed system also considers text length and vocabulary sufficiency. The filtered metric must not replace the full-test score in the abstract or conclusion.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calibrated model has an expected calibration error of approximately 0.0072 in the stored evaluation. This provides a useful benchmark diagnostic, but the binning scheme and dataset affect the value. A separate reliability study is needed for contemporary Indian news and any other target population before interpreting confidence as a well-calibrated estimate there.</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Comparisons and Domain Transfer</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project contains several valid results that answer different experimental questions. Comparing them requires keeping their datasets, feature configurations, and evaluation history visible. A higher score on a different dataset cannot establish that one model is universally more capable than another.</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4.3 Experimental results and their scope</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2400"/>
        <w:gridCol w:w="2700"/>
        <w:gridCol w:w="1300"/>
        <w:gridCol w:w="2690"/>
      </w:tblGrid>
      <w:tr>
        <w:trPr>
          <w:cantSplit/>
          <w:tblHeader/>
        </w:trPr>
        <w:tc>
          <w:tcPr>
            <w:tcW w:w="24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Experiment</w:t>
            </w:r>
          </w:p>
        </w:tc>
        <w:tc>
          <w:tcPr>
            <w:tcW w:w="27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Test population</w:t>
            </w:r>
          </w:p>
        </w:tc>
        <w:tc>
          <w:tcPr>
            <w:tcW w:w="13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Accuracy</w:t>
            </w:r>
          </w:p>
        </w:tc>
        <w:tc>
          <w:tcPr>
            <w:tcW w:w="26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Scope</w:t>
            </w:r>
          </w:p>
        </w:tc>
      </w:tr>
      <w:tr>
        <w:trPr>
          <w:cantSplit/>
        </w:trPr>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Legacy logistic baseline</w:t>
            </w:r>
          </w:p>
        </w:tc>
        <w:tc>
          <w:tcPr>
            <w:tcW w:w="27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798 LIAR claims</w:t>
            </w:r>
          </w:p>
        </w:tc>
        <w:tc>
          <w:tcPr>
            <w:tcW w:w="1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66.29%</w:t>
            </w:r>
          </w:p>
        </w:tc>
        <w:tc>
          <w:tcPr>
            <w:tcW w:w="26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Short-claim reference</w:t>
            </w:r>
          </w:p>
        </w:tc>
      </w:tr>
      <w:tr>
        <w:trPr>
          <w:cantSplit/>
        </w:trPr>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Calibrated lexical challenger</w:t>
            </w:r>
          </w:p>
        </w:tc>
        <w:tc>
          <w:tcPr>
            <w:tcW w:w="27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798 LIAR claims</w:t>
            </w:r>
          </w:p>
        </w:tc>
        <w:tc>
          <w:tcPr>
            <w:tcW w:w="1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63.66%</w:t>
            </w:r>
          </w:p>
        </w:tc>
        <w:tc>
          <w:tcPr>
            <w:tcW w:w="26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Retrospective comparison</w:t>
            </w:r>
          </w:p>
        </w:tc>
      </w:tr>
      <w:tr>
        <w:trPr>
          <w:cantSplit/>
        </w:trPr>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Active calibrated SVM</w:t>
            </w:r>
          </w:p>
        </w:tc>
        <w:tc>
          <w:tcPr>
            <w:tcW w:w="27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12,110 WELFake articles</w:t>
            </w:r>
          </w:p>
        </w:tc>
        <w:tc>
          <w:tcPr>
            <w:tcW w:w="1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96.31%</w:t>
            </w:r>
          </w:p>
        </w:tc>
        <w:tc>
          <w:tcPr>
            <w:tcW w:w="26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Main article benchmark</w:t>
            </w:r>
          </w:p>
        </w:tc>
      </w:tr>
      <w:tr>
        <w:trPr>
          <w:cantSplit/>
        </w:trPr>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Active SVM transfer diagnostic</w:t>
            </w:r>
          </w:p>
        </w:tc>
        <w:tc>
          <w:tcPr>
            <w:tcW w:w="27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798 LIAR claims</w:t>
            </w:r>
          </w:p>
        </w:tc>
        <w:tc>
          <w:tcPr>
            <w:tcW w:w="1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47.24%</w:t>
            </w:r>
          </w:p>
        </w:tc>
        <w:tc>
          <w:tcPr>
            <w:tcW w:w="26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Different task and domain</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transfer diagnostic was not pooled into WELFake results or used to tune the article model. Its low accuracy shows that the article benchmark cannot be treated as a guarantee for isolated political statements. The diagnostic also has balanced accuracy of about 50.90%, close to a non-discriminating result for that population.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earlier semantic candidates used frozen MiniLM embeddings with lexical features. The selected challenger still relied on word and character TF-IDF and did not improve the reused test score. These findings support careful validation rather than selecting a model because its architecture sounds more advanced.</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Current Indian news accuracy has not been measured. A contemporary MSN article can receive a strong model estimate while remaining factually unverified. The interface therefore states the domain limitation in the results view and keeps related evidence, linguistic observations, and class estimates distinguishable.</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Backend Testing Results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backend suite was rerun on 28 October 2026. All 41 tests passed in an isolated temporary SQLite database. The suite exercises trained inference, API behavior, extraction defenses, linguistic spans, persistence, and unavailable states. Parameterized cases account for the difference between the number of test functions and the final executed-test count.</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4.4 Backend test cases and observed outcomes</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2400"/>
        <w:gridCol w:w="5190"/>
        <w:gridCol w:w="1500"/>
      </w:tblGrid>
      <w:tr>
        <w:trPr>
          <w:cantSplit/>
          <w:tblHeader/>
        </w:trPr>
        <w:tc>
          <w:tcPr>
            <w:tcW w:w="24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Test area</w:t>
            </w:r>
          </w:p>
        </w:tc>
        <w:tc>
          <w:tcPr>
            <w:tcW w:w="51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Expected behavior</w:t>
            </w:r>
          </w:p>
        </w:tc>
        <w:tc>
          <w:tcPr>
            <w:tcW w:w="15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Outcome</w:t>
            </w:r>
          </w:p>
        </w:tc>
      </w:tr>
      <w:tr>
        <w:trPr>
          <w:cantSplit/>
        </w:trPr>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Text and language validation</w:t>
            </w:r>
          </w:p>
        </w:tc>
        <w:tc>
          <w:tcPr>
            <w:tcW w:w="51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Invalid, empty or oversized content is rejected</w:t>
            </w:r>
          </w:p>
        </w:tc>
        <w:tc>
          <w:tcPr>
            <w:tcW w:w="15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Passed</w:t>
            </w:r>
          </w:p>
        </w:tc>
      </w:tr>
      <w:tr>
        <w:trPr>
          <w:cantSplit/>
        </w:trPr>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Article inference</w:t>
            </w:r>
          </w:p>
        </w:tc>
        <w:tc>
          <w:tcPr>
            <w:tcW w:w="51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Active weights produce actual estimates and version</w:t>
            </w:r>
          </w:p>
        </w:tc>
        <w:tc>
          <w:tcPr>
            <w:tcW w:w="15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Passed</w:t>
            </w:r>
          </w:p>
        </w:tc>
      </w:tr>
      <w:tr>
        <w:trPr>
          <w:cantSplit/>
        </w:trPr>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Contribution consistency</w:t>
            </w:r>
          </w:p>
        </w:tc>
        <w:tc>
          <w:tcPr>
            <w:tcW w:w="51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Features plus intercept reconstruct model score</w:t>
            </w:r>
          </w:p>
        </w:tc>
        <w:tc>
          <w:tcPr>
            <w:tcW w:w="15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Passed</w:t>
            </w:r>
          </w:p>
        </w:tc>
      </w:tr>
      <w:tr>
        <w:trPr>
          <w:cantSplit/>
        </w:trPr>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Short content</w:t>
            </w:r>
          </w:p>
        </w:tc>
        <w:tc>
          <w:tcPr>
            <w:tcW w:w="51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No definitive class for inadequate article text</w:t>
            </w:r>
          </w:p>
        </w:tc>
        <w:tc>
          <w:tcPr>
            <w:tcW w:w="15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Passed</w:t>
            </w:r>
          </w:p>
        </w:tc>
      </w:tr>
      <w:tr>
        <w:trPr>
          <w:cantSplit/>
        </w:trPr>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Split manifest</w:t>
            </w:r>
          </w:p>
        </w:tc>
        <w:tc>
          <w:tcPr>
            <w:tcW w:w="51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No duplicate group crosses partitions</w:t>
            </w:r>
          </w:p>
        </w:tc>
        <w:tc>
          <w:tcPr>
            <w:tcW w:w="15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Passed</w:t>
            </w:r>
          </w:p>
        </w:tc>
      </w:tr>
      <w:tr>
        <w:trPr>
          <w:cantSplit/>
        </w:trPr>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Report lifecycle</w:t>
            </w:r>
          </w:p>
        </w:tc>
        <w:tc>
          <w:tcPr>
            <w:tcW w:w="51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Submit, retrieve, aggregate and delete correctly</w:t>
            </w:r>
          </w:p>
        </w:tc>
        <w:tc>
          <w:tcPr>
            <w:tcW w:w="15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Passed</w:t>
            </w:r>
          </w:p>
        </w:tc>
      </w:tr>
      <w:tr>
        <w:trPr>
          <w:cantSplit/>
        </w:trPr>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Session isolation</w:t>
            </w:r>
          </w:p>
        </w:tc>
        <w:tc>
          <w:tcPr>
            <w:tcW w:w="51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Other sessions cannot access owned reports</w:t>
            </w:r>
          </w:p>
        </w:tc>
        <w:tc>
          <w:tcPr>
            <w:tcW w:w="15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Passed</w:t>
            </w:r>
          </w:p>
        </w:tc>
      </w:tr>
      <w:tr>
        <w:trPr>
          <w:cantSplit/>
        </w:trPr>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Cookie and origin checks</w:t>
            </w:r>
          </w:p>
        </w:tc>
        <w:tc>
          <w:tcPr>
            <w:tcW w:w="51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Tampering and wrong origin are rejected</w:t>
            </w:r>
          </w:p>
        </w:tc>
        <w:tc>
          <w:tcPr>
            <w:tcW w:w="15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Passed</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These tests provide evidence of implementation correctness for the specified cases. They do not prove resistance to every possible misuse or replace model evaluation. The isolated database ensures the checks do not delete or contaminate a user's existing analysis history.</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suite also verifies that missing model weights cannot serve stale metrics. Evaluation artifacts must match the loaded model after configuration changes.</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Extraction and Frontend Testing Results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extraction tests check both usable public content and failure conditions. They include private-address rejection, mixed DNS answers, connection pinning, redirects to private hosts, public MSN extraction, JSON-LD fallback, and explicit access errors. File tests cover permitted text/PDF input and invalid or unsupported uploads.</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4.5 Interface and browser verification on 28 October 2026</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3600"/>
        <w:gridCol w:w="2400"/>
        <w:gridCol w:w="3090"/>
      </w:tblGrid>
      <w:tr>
        <w:trPr>
          <w:cantSplit/>
          <w:tblHeader/>
        </w:trPr>
        <w:tc>
          <w:tcPr>
            <w:tcW w:w="36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Test group</w:t>
            </w:r>
          </w:p>
        </w:tc>
        <w:tc>
          <w:tcPr>
            <w:tcW w:w="24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Executed</w:t>
            </w:r>
          </w:p>
        </w:tc>
        <w:tc>
          <w:tcPr>
            <w:tcW w:w="30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Result</w:t>
            </w:r>
          </w:p>
        </w:tc>
      </w:tr>
      <w:tr>
        <w:trPr>
          <w:cantSplit/>
        </w:trPr>
        <w:tc>
          <w:tcPr>
            <w:tcW w:w="36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Frontend component tests</w:t>
            </w:r>
          </w:p>
        </w:tc>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11</w:t>
            </w:r>
          </w:p>
        </w:tc>
        <w:tc>
          <w:tcPr>
            <w:tcW w:w="3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All passed</w:t>
            </w:r>
          </w:p>
        </w:tc>
      </w:tr>
      <w:tr>
        <w:trPr>
          <w:cantSplit/>
        </w:trPr>
        <w:tc>
          <w:tcPr>
            <w:tcW w:w="36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Browser workflows</w:t>
            </w:r>
          </w:p>
        </w:tc>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8</w:t>
            </w:r>
          </w:p>
        </w:tc>
        <w:tc>
          <w:tcPr>
            <w:tcW w:w="3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All passed</w:t>
            </w:r>
          </w:p>
        </w:tc>
      </w:tr>
      <w:tr>
        <w:trPr>
          <w:cantSplit/>
        </w:trPr>
        <w:tc>
          <w:tcPr>
            <w:tcW w:w="36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Backend tests</w:t>
            </w:r>
          </w:p>
        </w:tc>
        <w:tc>
          <w:tcPr>
            <w:tcW w:w="24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41</w:t>
            </w:r>
          </w:p>
        </w:tc>
        <w:tc>
          <w:tcPr>
            <w:tcW w:w="30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All passed</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component tests cover short-content validation, input tabs, unsupported documents, request errors, navigation to the returned report ID, editable URL extraction, a paste-text fallback, uncertainty display, navigation, and explanation context. The run emitted a React act warning in the mobile-navigation test, although all assertions passed. This warning is a test-synchronization issue to address in maintenance.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eight browser workflows cover the complete saved-report lifecycle; mobile layout and theme; feature/context explanations; an urgency example; public MSN extraction; NLP-lab annotations without history persistence; long-article analysis; and separate presentation of article-benchmark and cross-domain results. Browser screenshots from these workflows are included in Appendix B.</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browser run used separate local test services and a temporary database. The public MSN workflow was a live integration check at the time of execution; an external publisher may later change its content or availability. Mocked extractor regressions provide a more controlled check of expected response handling.</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4.2 Discussion of Findings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evaluation supports two conclusions. First, the application implements a complete and tested article-analysis workflow with model-linked explanations. Second, the active model separates inherited labels effectively within the WELFake benchmark but does not establish dependable factual verification across domains. Both conclusions are necessary to describe the project accurately.</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Source-marker cleaning and duplicate grouping improve experimental discipline. However, publishers may still differ in syntax, topic selection, article length, and writing style. A linear model can learn those differences even when a publisher's name is removed. Source and temporal holdouts are needed to estimate how strongly the current result depends on those remaining patterns.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output design is useful because it exposes rather than conceals this limitation. Users can inspect contributing terms and their article context, read the text used by the model, and see the factual-verification status separately. The interface does not claim that an emotionally worded sentence proves misinformation, or that a model contribution is a contradiction from an external source.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There are also operational limits. The system is English-only, scanned PDF OCR is absent, and anonymous cookie-scoped history cannot be recovered across devices. The evidence integration requires configuration and consent. A production deployment would require additional operational work, including shared rate limiting, secure hosting, retention policy, and deployment-specific testing.</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No latency benchmark or controlled usability study is reported. The working demonstration and automated workflow completion show functionality, but they do not quantify user learning, long-term reliability, or social impact. Those are appropriate future evaluation targets once a representative deployment population and measurable acceptance criteria have been defined.</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CHAPTER 5</w:t>
      </w:r>
    </w:p>
    <w:p w14:paraId="5DA36485" w14:textId="77777777" w:rsidR="0087365B" w:rsidRDefault="00000000">
      <w:pPr>
        <w:pStyle w:val="Heading2"/>
        <w:spacing w:before="80" w:after="240" w:line="300" w:lineRule="auto"/>
        <w:ind w:left="720" w:right="720" w:firstLine="0"/>
        <w:jc w:val="center"/>
        <w:widowControl/>
        <w:keepNext/>
      </w:pPr>
      <w:r>
        <w:rPr>
          <w:rFonts w:ascii="Times New Roman" w:hAnsi="Times New Roman" w:cs="Times New Roman"/>
          <w:sz w:val="32"/>
          <w:color w:val="000000"/>
          <w:b/>
        </w:rPr>
        <w:t xml:space="preserve">CONCLUSION AND FUTURE ENHANCEMENT</w:t>
      </w:r>
    </w:p>
    <w:p w14:paraId="5DA36485" w14:textId="77777777" w:rsidR="0087365B" w:rsidRDefault="00000000">
      <w:pPr>
        <w:pStyle w:val="Heading3"/>
        <w:spacing w:before="80" w:after="160" w:line="300" w:lineRule="auto"/>
        <w:ind w:left="720" w:right="720" w:firstLine="0"/>
        <w:jc w:val="left"/>
        <w:widowControl/>
        <w:keepNext/>
      </w:pPr>
      <w:r>
        <w:rPr>
          <w:rFonts w:ascii="Times New Roman" w:hAnsi="Times New Roman" w:cs="Times New Roman"/>
          <w:sz w:val="28"/>
          <w:color w:val="000000"/>
          <w:b/>
        </w:rPr>
        <w:t xml:space="preserve">5.1 Conclusion</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VeriFact AI implements fake news and misinformation screening as an inspectable NLP application. Users can submit English article text, extract public URLs or text-based documents, examine a model assessment, inspect influential features and language annotations, and manage saved reports. The implementation connects a trained model to a typed API, persistent storage, and a responsive interface.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active article pipeline combines source-aware text cleaning, word TF-IDF, a linear SVM, and sigmoid calibration. Its training and evaluation use separate group-disjoint partitions. On 12,110 held-out WELFake articles, it achieved 96.31% accuracy and 95.74% misleading-class F1. These results are supported by saved metrics, test predictions, and a partition manifest.</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project also documents a substantial limitation. The same model achieved 47.24% accuracy on a separate set of 798 LIAR short claims. This diagnostic shows why a strong article-benchmark score must remain attached to its evaluated population. The application consequently retains uncertainty disclosures and a separate Not independently verified status for every article assessment.</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Software verification supports the delivered workflow. The current run passed 41 backend tests, 11 frontend component tests, and eight browser workflows. The checks cover input validation, extraction, trained inference, contribution consistency, session ownership, stored results, mobile interaction, and the display of methodological limitations.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project's contribution is a reproducible, explainable screening baseline and a practical learning environment for NLP. Its value lies in making model behavior and its limits available for inspection. Stronger real-world claims will require representative data, independent evidence evaluation, and controlled studies of how readers interpret and use the outputs.</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5.2 Future Enhancement</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The highest-priority extension is a more representative evaluation design. Articles should be collected with reliable source and publication-time metadata, with publishers and later time periods held out during evaluation. Independently reviewed labels would help distinguish factual misinformation from publisher-level or inherited corpus labels.</w:t>
      </w:r>
    </w:p>
    <w:p w14:paraId="33EC9078" w14:textId="77777777" w:rsidR="0087365B" w:rsidRDefault="00000000">
      <w:pPr>
        <w:pStyle w:val="BodyText"/>
        <w:spacing w:before="0" w:after="100" w:line="270" w:lineRule="auto"/>
        <w:ind w:left="720" w:right="720" w:firstLine="0"/>
        <w:jc w:val="center"/>
        <w:widowControl/>
        <w:keepNext/>
      </w:pPr>
      <w:r>
        <w:rPr>
          <w:rFonts w:ascii="Times New Roman" w:hAnsi="Times New Roman" w:cs="Times New Roman"/>
          <w:sz w:val="24"/>
          <w:color w:val="000000"/>
          <w:b/>
        </w:rPr>
        <w:t xml:space="preserve">Table 5.1 Future work and proposed acceptance evidence</w:t>
      </w:r>
    </w:p>
    <w:tbl>
      <w:tblPr>
        <w:tblW w:w="9090" w:type="dxa"/>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90" w:type="dxa"/>
          <w:left w:w="90" w:type="dxa"/>
          <w:bottom w:w="90" w:type="dxa"/>
          <w:right w:w="90" w:type="dxa"/>
        </w:tblCellMar>
      </w:tblPr>
      <w:tblGrid>
        <w:gridCol w:w="3300"/>
        <w:gridCol w:w="5790"/>
      </w:tblGrid>
      <w:tr>
        <w:trPr>
          <w:cantSplit/>
          <w:tblHeader/>
        </w:trPr>
        <w:tc>
          <w:tcPr>
            <w:tcW w:w="330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Enhancement</w:t>
            </w:r>
          </w:p>
        </w:tc>
        <w:tc>
          <w:tcPr>
            <w:tcW w:w="5790" w:type="dxa"/>
            <w:vAlign w:val="center"/>
            <w:shd w:fill="E7E6E6"/>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b/>
              </w:rPr>
              <w:t xml:space="preserve">Proposed evidence of completion</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Source and temporal holdouts</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Published split rules and disjointness audit</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Contemporary Indian news evaluation</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Independently labeled test set and class metrics</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Evidence-grounded claim review</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Evaluated retrieval, claim matching and entailment</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Multilingual support</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Language-specific data, calibration and error analysis</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OCR for scanned documents</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Extraction quality tests and editable text review</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Contextual model comparison</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Matched splits, tuning budget and transfer evaluation</w:t>
            </w:r>
          </w:p>
        </w:tc>
      </w:tr>
      <w:tr>
        <w:trPr>
          <w:cantSplit/>
        </w:trPr>
        <w:tc>
          <w:tcPr>
            <w:tcW w:w="330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User study</w:t>
            </w:r>
          </w:p>
        </w:tc>
        <w:tc>
          <w:tcPr>
            <w:tcW w:w="5790" w:type="dxa"/>
            <w:vAlign w:val="center"/>
          </w:tcPr>
          <w:p w14:paraId="33EC9078" w14:textId="77777777" w:rsidR="0087365B" w:rsidRDefault="00000000">
            <w:pPr>
              <w:pStyle w:val="BodyText"/>
              <w:spacing w:before="0" w:after="50" w:line="260" w:lineRule="auto"/>
              <w:ind w:left="0" w:right="0" w:firstLine="0"/>
              <w:jc w:val="left"/>
              <w:widowControl/>
            </w:pPr>
            <w:r>
              <w:rPr>
                <w:rFonts w:ascii="Times New Roman" w:hAnsi="Times New Roman" w:cs="Times New Roman"/>
                <w:sz w:val="24"/>
                <w:color w:val="000000"/>
              </w:rPr>
              <w:t xml:space="preserve">Measured understanding of confidence and factual status</w:t>
            </w:r>
          </w:p>
        </w:tc>
      </w:tr>
    </w:tbl>
    <w:p w14:paraId="33EC9078" w14:textId="77777777" w:rsidR="0087365B" w:rsidRDefault="00000000">
      <w:pPr>
        <w:pStyle w:val="BodyText"/>
        <w:spacing w:before="0" w:after="60" w:line="60" w:lineRule="auto"/>
        <w:ind w:left="720" w:right="720" w:firstLine="0"/>
        <w:jc w:val="both"/>
        <w:widowControl/>
      </w:pPr>
      <w:r>
        <w:rPr>
          <w:rFonts w:ascii="Times New Roman" w:hAnsi="Times New Roman" w:cs="Times New Roman"/>
          <w:sz w:val="6"/>
          <w:color w:val="000000"/>
        </w:rPr>
        <w:t xml:space="preserve"/>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Model enhancements should be judged against a fixed, auditable evaluation protocol. Fine-tuning a transformer may help with context, but it also introduces new computational and leakage risks. A comparison should include precision, recall, calibration, resource use, and domain transfer rather than reporting accuracy alone.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Evidence retrieval could be extended into a claim-centric review pipeline. Such a system would identify a claim, retrieve relevant passages, assess whether they address the same entities and time period, and evaluate support or contradiction. Human review would remain valuable for disputed or incomplete evidence.</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Operational improvements include authenticated accounts, retention controls, shared rate limiting, and deployment monitoring. These should be introduced only with clearly specified ownership and privacy behavior. The present anonymous-session model remains suitable for local demonstration and course evaluation.</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REFERENCES</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[1] Verma, P. K., Agrawal, P., and Prodan, R., WELFake Dataset for Fake News Detection in Text Data, version 0.1, Zenodo, 2021. https://zenodo.org/records/4561253</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[2] Wang, W. Y., “Liar, Liar Pants on Fire”: A New Benchmark Dataset for Fake News Detection, Proceedings of the 55th Annual Meeting of the Association for Computational Linguistics, Volume 2, pp. 422–426, 2017. https://aclanthology.org/P17-2067/</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[3] United Nations Department of Economic and Social Affairs, Sustainable Development Goal 4: Quality Education. https://sdgs.un.org/goals/goal4 (accessed 28 October 2026).</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[4] United Nations Department of Economic and Social Affairs, Sustainable Development Goal 16: Peace, Justice and Strong Institutions. https://sdgs.un.org/goals/goal16 (accessed 28 October 2026).</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[5] scikit-learn Developers, Feature Extraction, scikit-learn User Guide. https://scikit-learn.org/stable/modules/feature_extraction.html (accessed 28 October 2026).</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[6] scikit-learn Developers, Support Vector Machines, scikit-learn User Guide. https://scikit-learn.org/stable/modules/svm.html (accessed 28 October 2026).</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[7] scikit-learn Developers, Probability Calibration, scikit-learn User Guide. https://scikit-learn.org/stable/modules/calibration.html (accessed 28 October 2026).</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[8] Guo, C., Pleiss, G., Sun, Y., and Weinberger, K. Q., On Calibration of Modern Neural Networks, Proceedings of the 34th International Conference on Machine Learning, PMLR 70, pp. 1321–1330, 2017. https://proceedings.mlr.press/v70/guo17a.html</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REFERENCES</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[9] Devlin, J., Chang, M.-W., Lee, K., and Toutanova, K., BERT: Pre-training of Deep Bidirectional Transformers for Language Understanding, Proceedings of NAACL-HLT, pp. 4171–4186, 2019. https://aclanthology.org/N19-1423/</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[10] Reimers, N., and Gurevych, I., Sentence-BERT: Sentence Embeddings using Siamese BERT-Networks, Proceedings of EMNLP-IJCNLP, pp. 3982–3992, 2019. https://aclanthology.org/D19-1410/</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[11] Explosion, Linguistic Features, spaCy Usage Documentation. https://spacy.io/usage/linguistic-features (accessed 28 October 2026).</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[12] FastAPI, FastAPI Documentation. https://fastapi.tiangolo.com/ (accessed 28 October 2026).</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[13] Vercel, Next.js Documentation. https://nextjs.org/docs (accessed 28 October 2026).</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[14] SQLAlchemy Authors, SQLAlchemy ORM, SQLAlchemy 2.0 Documentation. https://docs.sqlalchemy.org/en/20/orm/ (accessed 28 October 2026).</w:t>
      </w:r>
    </w:p>
    <w:p w14:paraId="33EC9078" w14:textId="77777777" w:rsidR="0087365B" w:rsidRDefault="00000000">
      <w:pPr>
        <w:pStyle w:val="BodyText"/>
        <w:spacing w:before="0" w:after="120" w:line="300" w:lineRule="auto"/>
        <w:ind w:left="720" w:right="720" w:firstLine="0"/>
        <w:jc w:val="both"/>
        <w:widowControl/>
      </w:pPr>
      <w:r>
        <w:rPr>
          <w:rFonts w:ascii="Times New Roman" w:hAnsi="Times New Roman" w:cs="Times New Roman"/>
          <w:sz w:val="24"/>
          <w:color w:val="000000"/>
        </w:rPr>
        <w:t xml:space="preserve">[15] Google, Fact Check Tools API, Google for Developers. https://developers.google.com/fact-check/tools/api (accessed 28 October 2026).</w:t>
      </w:r>
    </w:p>
    <w:p w14:paraId="5DA36485" w14:textId="77777777" w:rsidR="0087365B" w:rsidRDefault="00000000">
      <w:pPr>
        <w:pStyle w:val="Heading3"/>
        <w:spacing w:before="80" w:after="160" w:line="300" w:lineRule="auto"/>
        <w:ind w:left="720" w:right="720" w:firstLine="0"/>
        <w:jc w:val="left"/>
        <w:widowControl/>
        <w:keepNext/>
      </w:pPr>
      <w:r>
        <w:rPr>
          <w:rFonts w:ascii="Times New Roman" w:hAnsi="Times New Roman" w:cs="Times New Roman"/>
          <w:sz w:val="28"/>
          <w:color w:val="000000"/>
          <w:b/>
        </w:rPr>
        <w:t xml:space="preserve">Project Reproducibility Materials</w:t>
      </w:r>
    </w:p>
    <w:p w14:paraId="33EC9078" w14:textId="77777777" w:rsidR="0087365B" w:rsidRDefault="00000000">
      <w:pPr>
        <w:pStyle w:val="BodyText"/>
        <w:spacing w:before="0" w:after="120" w:line="324" w:lineRule="auto"/>
        <w:ind w:left="720" w:right="720" w:firstLine="0"/>
        <w:jc w:val="both"/>
        <w:widowControl/>
      </w:pPr>
      <w:r>
        <w:rPr>
          <w:rFonts w:ascii="Times New Roman" w:hAnsi="Times New Roman" w:cs="Times New Roman"/>
          <w:sz w:val="28"/>
          <w:color w:val="000000"/>
        </w:rPr>
        <w:t xml:space="preserve">Implementation and result provenance are recorded in the project's README.md, docs/ARTICLE-MODEL.md, docs/ARCHITECTURE.md, docs/API.md, docs/SYLLABUS.md, and docs/IMPROVEMENT-REPORT.md. The active evaluation is stored in backend/artifacts/articles/metrics.json, with split-manifest.json and test-predictions.json providing numerical audit records. The model evaluation was generated on 26 October 2026; the software-test results in this report were rerun on 28 October 2026.</w:t>
      </w:r>
    </w:p>
    <w:p w14:paraId="33EC9078" w14:textId="77777777" w:rsidR="0087365B" w:rsidRDefault="00000000">
      <w:pPr>
        <w:pStyle w:val="BodyText"/>
        <w:spacing w:before="0" w:after="0" w:line="20" w:lineRule="auto"/>
        <w:ind w:left="720" w:right="720" w:firstLine="0"/>
        <w:jc w:val="both"/>
        <w:widowControl/>
        <w:sectPr w:rsidR="0087365B">
          <w:footerReference w:type="default" r:id="rId12"/>
          <w:pgSz w:w="11910" w:h="16840"/>
          <w:pgMar w:top="1260" w:right="400" w:bottom="280" w:left="780" w:header="0" w:footer="480" w:gutter="0"/>
          <w:cols w:space="720"/>
          <w:pgNumType w:start="1" w:fmt="decimal"/>
        </w:sectPr>
      </w:pPr>
      <w:r>
        <w:rPr>
          <w:rFonts w:ascii="Times New Roman" w:hAnsi="Times New Roman" w:cs="Times New Roman"/>
          <w:sz w:val="2"/>
          <w:color w:val="000000"/>
        </w:rPr>
        <w:t xml:space="preserve"/>
      </w:r>
    </w:p>
    <w:p w14:paraId="5DA36485" w14:textId="77777777" w:rsidR="0087365B" w:rsidRDefault="00000000">
      <w:pPr>
        <w:pStyle w:val="Heading2"/>
        <w:spacing w:before="80" w:after="240" w:line="300" w:lineRule="auto"/>
        <w:ind w:left="720" w:right="720" w:firstLine="0"/>
        <w:jc w:val="center"/>
        <w:widowControl/>
        <w:keepNext/>
      </w:pPr>
      <w:r>
        <w:rPr>
          <w:rFonts w:ascii="Times New Roman" w:hAnsi="Times New Roman" w:cs="Times New Roman"/>
          <w:sz w:val="32"/>
          <w:color w:val="000000"/>
          <w:b/>
        </w:rPr>
        <w:t xml:space="preserve">APPENDIX A</w:t>
      </w:r>
    </w:p>
    <w:p w14:paraId="5DA36485" w14:textId="77777777" w:rsidR="0087365B" w:rsidRDefault="00000000">
      <w:pPr>
        <w:pStyle w:val="Heading2"/>
        <w:spacing w:before="80" w:after="240" w:line="300" w:lineRule="auto"/>
        <w:ind w:left="720" w:right="720" w:firstLine="0"/>
        <w:jc w:val="center"/>
        <w:widowControl/>
        <w:keepNext/>
      </w:pPr>
      <w:r>
        <w:rPr>
          <w:rFonts w:ascii="Times New Roman" w:hAnsi="Times New Roman" w:cs="Times New Roman"/>
          <w:sz w:val="32"/>
          <w:color w:val="000000"/>
          <w:b/>
        </w:rPr>
        <w:t xml:space="preserve">CODING</w:t>
      </w:r>
    </w:p>
    <w:p w14:paraId="5DA36485" w14:textId="77777777" w:rsidR="0087365B" w:rsidRDefault="00000000">
      <w:pPr>
        <w:pStyle w:val="Heading3"/>
        <w:spacing w:before="80" w:after="160" w:line="300" w:lineRule="auto"/>
        <w:ind w:left="720" w:right="720" w:firstLine="0"/>
        <w:jc w:val="left"/>
        <w:widowControl/>
        <w:keepNext/>
      </w:pPr>
      <w:r>
        <w:rPr>
          <w:rFonts w:ascii="Times New Roman" w:hAnsi="Times New Roman" w:cs="Times New Roman"/>
          <w:sz w:val="28"/>
          <w:color w:val="000000"/>
          <w:b/>
        </w:rPr>
        <w:t xml:space="preserve">A.1 Shared article preprocessing</w:t>
      </w:r>
    </w:p>
    <w:p w14:paraId="33EC9078" w14:textId="77777777" w:rsidR="0087365B" w:rsidRDefault="00000000">
      <w:pPr>
        <w:pStyle w:val="BodyText"/>
        <w:spacing w:before="0" w:after="120" w:line="280" w:lineRule="auto"/>
        <w:ind w:left="720" w:right="720" w:firstLine="0"/>
        <w:jc w:val="both"/>
        <w:widowControl/>
      </w:pPr>
      <w:r>
        <w:rPr>
          <w:rFonts w:ascii="Times New Roman" w:hAnsi="Times New Roman" w:cs="Times New Roman"/>
          <w:sz w:val="24"/>
          <w:color w:val="000000"/>
        </w:rPr>
        <w:t xml:space="preserve">The following excerpt is taken from backend/app/ml/article_features.py. The same cleaning function is used by training and inference.</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"""Shared, source-scrubbed article features used at training and inference."""</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import re</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from app.ml.preprocessing import clean_text</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def article_text(text: str) -&gt; str:</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text = clean_text(text).lower()</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 Remove easy publisher identifiers and URL/byline artifacts in BOTH classes.</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text = re.sub(r"https?://\S+|www\.\S+", " ", text)</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text = re.sub(r"^.{0,90}?\((?:reuters|ap|afp)\)\s*[-–—:]?", " ", text)</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text = re.sub(</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r"\b(?:reuters|associated press|getty images|image copyright|read more|click here|subscribe now)\b",</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 ",</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text,</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text = re.sub(r"\[(?:video|photos?|audio)\]", " ", text)</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text = re.sub(</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r"\b(?:reporting by|editing by|additional reporting by)\b[^\n.]{0,250}",</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 ",</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text,</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return " ".join(text.split()[:2500])</w:t>
      </w:r>
    </w:p>
    <w:p w14:paraId="5DA36485" w14:textId="77777777" w:rsidR="0087365B" w:rsidRDefault="00000000">
      <w:pPr>
        <w:pStyle w:val="Heading3"/>
        <w:spacing w:before="80" w:after="160" w:line="300" w:lineRule="auto"/>
        <w:ind w:left="720" w:right="720" w:firstLine="0"/>
        <w:jc w:val="left"/>
        <w:widowControl/>
        <w:keepNext/>
        <w:pageBreakBefore/>
      </w:pPr>
      <w:r>
        <w:rPr>
          <w:rFonts w:ascii="Times New Roman" w:hAnsi="Times New Roman" w:cs="Times New Roman"/>
          <w:sz w:val="28"/>
          <w:color w:val="000000"/>
          <w:b/>
        </w:rPr>
        <w:t xml:space="preserve">A.2 Article inference and contributions</w:t>
      </w:r>
    </w:p>
    <w:p w14:paraId="33EC9078" w14:textId="77777777" w:rsidR="0087365B" w:rsidRDefault="00000000">
      <w:pPr>
        <w:pStyle w:val="BodyText"/>
        <w:spacing w:before="0" w:after="120" w:line="280" w:lineRule="auto"/>
        <w:ind w:left="720" w:right="720" w:firstLine="0"/>
        <w:jc w:val="both"/>
        <w:widowControl/>
      </w:pPr>
      <w:r>
        <w:rPr>
          <w:rFonts w:ascii="Times New Roman" w:hAnsi="Times New Roman" w:cs="Times New Roman"/>
          <w:sz w:val="24"/>
          <w:color w:val="000000"/>
        </w:rPr>
        <w:t xml:space="preserve">The following excerpt from backend/app/ml/article_classifier.py shows the score, calibration, input-sufficiency policy, and signed model contributions.</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def predict(self, text: str) -&gt; dict:</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cleaned = article_text(text)</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words = tokens(cleaned)</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original_words = len(tokens(text))</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x = self.vectorizer.transform([cleaned])</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logit = float(self.model.decision_function(x)[0])</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risk = float(self.calibrator.predict_proba([[logit]])[0, 1])</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confidence = max(risk, 1 - risk)</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coverage = sum(w in self.vectorizer.vocabulary_ for w in words) / max(</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1, len(words)</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adequate = len(words) &gt;= self.metadata["min_words"] and coverage &gt;= 0.20</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uncertain = not adequate or confidence &lt; self.metadata["threshold"]</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label = (</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"Needs Further Verification"</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if uncertain</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else ("Potentially Misleading" if risk &gt;= 0.5 else "Likely Credible")</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 Exact additive calibrated-logit contributions, not generated rationales.</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slope = float(self.calibrator.coef_[0, 0])</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row = x.tocsr()</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weighted = row.data * self.model.coef_[0, row.indices] * slope</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order = np.argsort(np.abs(weighted))[::-1][:14]</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names = self.vectorizer.get_feature_names_out()</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features = [</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"term": str(names[row.indices[k]]),</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"contribution": round(float(weighted[k]), 6),</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"direction": "misleading" if weighted[k] &gt; 0 else "credible",</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for k in order</w:t>
      </w:r>
    </w:p>
    <w:p w14:paraId="33EC9078" w14:textId="77777777" w:rsidR="0087365B" w:rsidRDefault="00000000">
      <w:pPr>
        <w:pStyle w:val="BodyText"/>
        <w:spacing w:before="0" w:after="0" w:line="220" w:lineRule="auto"/>
        <w:ind w:left="720" w:right="400" w:firstLine="0"/>
        <w:jc w:val="left"/>
        <w:widowControl/>
      </w:pPr>
      <w:r>
        <w:rPr>
          <w:rFonts w:ascii="Courier New" w:hAnsi="Courier New" w:cs="Times New Roman"/>
          <w:sz w:val="18"/>
          <w:color w:val="000000"/>
        </w:rPr>
        <w:t xml:space="preserve">        ]</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APPENDIX B</w:t>
      </w:r>
    </w:p>
    <w:p w14:paraId="5DA36485" w14:textId="77777777" w:rsidR="0087365B" w:rsidRDefault="00000000">
      <w:pPr>
        <w:pStyle w:val="Heading2"/>
        <w:spacing w:before="80" w:after="240" w:line="300" w:lineRule="auto"/>
        <w:ind w:left="720" w:right="720" w:firstLine="0"/>
        <w:jc w:val="center"/>
        <w:widowControl/>
        <w:keepNext/>
      </w:pPr>
      <w:r>
        <w:rPr>
          <w:rFonts w:ascii="Times New Roman" w:hAnsi="Times New Roman" w:cs="Times New Roman"/>
          <w:sz w:val="32"/>
          <w:color w:val="000000"/>
          <w:b/>
        </w:rPr>
        <w:t xml:space="preserve">SCREENSHOTS</w:t>
      </w:r>
    </w:p>
    <w:p w14:paraId="33EC9078" w14:textId="77777777" w:rsidR="0087365B" w:rsidRDefault="00000000">
      <w:pPr>
        <w:pStyle w:val="BodyText"/>
        <w:spacing w:before="0" w:after="200" w:line="300" w:lineRule="auto"/>
        <w:ind w:left="720" w:right="720" w:firstLine="0"/>
        <w:jc w:val="both"/>
        <w:widowControl/>
      </w:pPr>
      <w:r>
        <w:rPr>
          <w:rFonts w:ascii="Times New Roman" w:hAnsi="Times New Roman" w:cs="Times New Roman"/>
          <w:sz w:val="24"/>
          <w:color w:val="000000"/>
        </w:rPr>
        <w:t xml:space="preserve">The report displays a trained model assessment and the separate factual-verification status. This view comes from the long-article browser test and uses demonstration text.</w:t>
      </w:r>
    </w:p>
    <w:p w14:paraId="33EC9078" w14:textId="77777777" w:rsidR="0087365B" w:rsidRDefault="00000000">
      <w:pPr>
        <w:pStyle w:val="BodyText"/>
        <w:spacing w:before="0" w:after="90" w:line="240" w:lineRule="auto"/>
        <w:ind w:left="720" w:right="720" w:firstLine="0"/>
        <w:jc w:val="center"/>
        <w:widowControl/>
      </w:pPr>
      <w:r>
        <w:rPr>
          <w:rFonts w:ascii="Times New Roman" w:hAnsi="Times New Roman" w:cs="Times New Roman"/>
          <w:sz w:val="28"/>
          <w:color w:val="000000"/>
        </w:rPr>
        <w:t xml:space="preserve"/>
        <w:drawing>
          <wp:inline distT="0" distB="0" distL="0" distR="0">
            <wp:extent cx="5577840" cy="4793456"/>
            <wp:docPr id="24" name="Figure B.1 Article assessment interface" descr="Figure B.1 Article assessment interface"/>
            <ns0:graphic xmlns:ns0="http://schemas.openxmlformats.org/drawingml/2006/main">
              <ns0:graphicData uri="http://schemas.openxmlformats.org/drawingml/2006/picture">
                <ns0:pic xmlns:ns0="http://schemas.openxmlformats.org/drawingml/2006/picture">
                  <ns0:nvPicPr>
                    <ns0:cNvPr id="24" name="report-24.png"/>
                    <ns0:cNvPicPr/>
                  </ns0:nvPicPr>
                  <ns0:blipFill>
                    <ns0:blip xmlns:ns0="http://schemas.openxmlformats.org/drawingml/2006/main" r:embed="rIdReport24"/>
                    <ns0:stretch xmlns:ns0="http://schemas.openxmlformats.org/drawingml/2006/main">
                      <ns0:fillRect/>
                    </ns0:stretch>
                  </ns0:blipFill>
                  <ns0:spPr>
                    <ns0:xfrm xmlns:ns0="http://schemas.openxmlformats.org/drawingml/2006/main">
                      <ns0:off x="0" y="0"/>
                      <ns0:ext cx="5577840" cy="4793456"/>
                    </ns0:xfrm>
                    <ns0:prstGeom xmlns:ns0="http://schemas.openxmlformats.org/drawingml/2006/main" prst="rect">
                      <ns0:avLst/>
                    </ns0:prstGeom>
                  </ns0:spPr>
                </ns0:pic>
              </ns0:graphicData>
            </ns0:graphic>
          </wp:inline>
        </w:drawing>
      </w:r>
    </w:p>
    <w:p w14:paraId="33EC9078" w14:textId="77777777" w:rsidR="0087365B" w:rsidRDefault="00000000">
      <w:pPr>
        <w:pStyle w:val="BodyText"/>
        <w:spacing w:before="0" w:after="180" w:line="260" w:lineRule="auto"/>
        <w:ind w:left="720" w:right="720" w:firstLine="0"/>
        <w:jc w:val="center"/>
        <w:widowControl/>
      </w:pPr>
      <w:r>
        <w:rPr>
          <w:rFonts w:ascii="Times New Roman" w:hAnsi="Times New Roman" w:cs="Times New Roman"/>
          <w:sz w:val="24"/>
          <w:color w:val="000000"/>
        </w:rPr>
        <w:t xml:space="preserve">Figure B.1 Article assessment interface</w:t>
      </w:r>
    </w:p>
    <w:p w14:paraId="33EC9078" w14:textId="77777777" w:rsidR="0087365B" w:rsidRDefault="00000000">
      <w:pPr>
        <w:pStyle w:val="BodyText"/>
        <w:spacing w:before="0" w:after="120" w:line="260" w:lineRule="auto"/>
        <w:ind w:left="720" w:right="720" w:firstLine="0"/>
        <w:jc w:val="center"/>
        <w:widowControl/>
      </w:pPr>
      <w:r>
        <w:rPr>
          <w:rFonts w:ascii="Times New Roman" w:hAnsi="Times New Roman" w:cs="Times New Roman"/>
          <w:sz w:val="22"/>
          <w:color w:val="000000"/>
        </w:rPr>
        <w:t xml:space="preserve">Captured during the successful browser test run on 28 October 2026. Upper portion of the full report.</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APPLICATION SCREENSHOTS</w:t>
      </w:r>
    </w:p>
    <w:p w14:paraId="33EC9078" w14:textId="77777777" w:rsidR="0087365B" w:rsidRDefault="00000000">
      <w:pPr>
        <w:pStyle w:val="BodyText"/>
        <w:spacing w:before="0" w:after="200" w:line="300" w:lineRule="auto"/>
        <w:ind w:left="720" w:right="720" w:firstLine="0"/>
        <w:jc w:val="both"/>
        <w:widowControl/>
      </w:pPr>
      <w:r>
        <w:rPr>
          <w:rFonts w:ascii="Times New Roman" w:hAnsi="Times New Roman" w:cs="Times New Roman"/>
          <w:sz w:val="24"/>
          <w:color w:val="000000"/>
        </w:rPr>
        <w:t xml:space="preserve">Actual signed feature contributions can be inspected alongside their direction and source context. This screenshot was captured by the explanation browser workflow.</w:t>
      </w:r>
    </w:p>
    <w:p w14:paraId="33EC9078" w14:textId="77777777" w:rsidR="0087365B" w:rsidRDefault="00000000">
      <w:pPr>
        <w:pStyle w:val="BodyText"/>
        <w:spacing w:before="0" w:after="90" w:line="240" w:lineRule="auto"/>
        <w:ind w:left="720" w:right="720" w:firstLine="0"/>
        <w:jc w:val="center"/>
        <w:widowControl/>
      </w:pPr>
      <w:r>
        <w:rPr>
          <w:rFonts w:ascii="Times New Roman" w:hAnsi="Times New Roman" w:cs="Times New Roman"/>
          <w:sz w:val="28"/>
          <w:color w:val="000000"/>
        </w:rPr>
        <w:t xml:space="preserve"/>
        <w:drawing>
          <wp:inline distT="0" distB="0" distL="0" distR="0">
            <wp:extent cx="4709291" cy="6766560"/>
            <wp:docPr id="25" name="Figure B.2 Model explanation interface" descr="Figure B.2 Model explanation interface"/>
            <ns0:graphic xmlns:ns0="http://schemas.openxmlformats.org/drawingml/2006/main">
              <ns0:graphicData uri="http://schemas.openxmlformats.org/drawingml/2006/picture">
                <ns0:pic xmlns:ns0="http://schemas.openxmlformats.org/drawingml/2006/picture">
                  <ns0:nvPicPr>
                    <ns0:cNvPr id="25" name="report-25.png"/>
                    <ns0:cNvPicPr/>
                  </ns0:nvPicPr>
                  <ns0:blipFill>
                    <ns0:blip xmlns:ns0="http://schemas.openxmlformats.org/drawingml/2006/main" r:embed="rIdReport25"/>
                    <ns0:stretch xmlns:ns0="http://schemas.openxmlformats.org/drawingml/2006/main">
                      <ns0:fillRect/>
                    </ns0:stretch>
                  </ns0:blipFill>
                  <ns0:spPr>
                    <ns0:xfrm xmlns:ns0="http://schemas.openxmlformats.org/drawingml/2006/main">
                      <ns0:off x="0" y="0"/>
                      <ns0:ext cx="4709291" cy="6766560"/>
                    </ns0:xfrm>
                    <ns0:prstGeom xmlns:ns0="http://schemas.openxmlformats.org/drawingml/2006/main" prst="rect">
                      <ns0:avLst/>
                    </ns0:prstGeom>
                  </ns0:spPr>
                </ns0:pic>
              </ns0:graphicData>
            </ns0:graphic>
          </wp:inline>
        </w:drawing>
      </w:r>
    </w:p>
    <w:p w14:paraId="33EC9078" w14:textId="77777777" w:rsidR="0087365B" w:rsidRDefault="00000000">
      <w:pPr>
        <w:pStyle w:val="BodyText"/>
        <w:spacing w:before="0" w:after="180" w:line="260" w:lineRule="auto"/>
        <w:ind w:left="720" w:right="720" w:firstLine="0"/>
        <w:jc w:val="center"/>
        <w:widowControl/>
      </w:pPr>
      <w:r>
        <w:rPr>
          <w:rFonts w:ascii="Times New Roman" w:hAnsi="Times New Roman" w:cs="Times New Roman"/>
          <w:sz w:val="24"/>
          <w:color w:val="000000"/>
        </w:rPr>
        <w:t xml:space="preserve">Figure B.2 Model explanation interface</w:t>
      </w:r>
    </w:p>
    <w:p w14:paraId="33EC9078" w14:textId="77777777" w:rsidR="0087365B" w:rsidRDefault="00000000">
      <w:pPr>
        <w:pStyle w:val="BodyText"/>
        <w:spacing w:before="0" w:after="120" w:line="260" w:lineRule="auto"/>
        <w:ind w:left="720" w:right="720" w:firstLine="0"/>
        <w:jc w:val="center"/>
        <w:widowControl/>
      </w:pPr>
      <w:r>
        <w:rPr>
          <w:rFonts w:ascii="Times New Roman" w:hAnsi="Times New Roman" w:cs="Times New Roman"/>
          <w:sz w:val="22"/>
          <w:color w:val="000000"/>
        </w:rPr>
        <w:t xml:space="preserve">Captured during the successful browser test run on 28 October 2026.</w:t>
      </w:r>
    </w:p>
    <w:p w14:paraId="5DA36485" w14:textId="77777777" w:rsidR="0087365B" w:rsidRDefault="00000000">
      <w:pPr>
        <w:pStyle w:val="Heading2"/>
        <w:spacing w:before="80" w:after="240" w:line="300" w:lineRule="auto"/>
        <w:ind w:left="720" w:right="720" w:firstLine="0"/>
        <w:jc w:val="center"/>
        <w:widowControl/>
        <w:keepNext/>
        <w:pageBreakBefore/>
      </w:pPr>
      <w:r>
        <w:rPr>
          <w:rFonts w:ascii="Times New Roman" w:hAnsi="Times New Roman" w:cs="Times New Roman"/>
          <w:sz w:val="32"/>
          <w:color w:val="000000"/>
          <w:b/>
        </w:rPr>
        <w:t xml:space="preserve">APPLICATION SCREENSHOTS</w:t>
      </w:r>
    </w:p>
    <w:p w14:paraId="33EC9078" w14:textId="77777777" w:rsidR="0087365B" w:rsidRDefault="00000000">
      <w:pPr>
        <w:pStyle w:val="BodyText"/>
        <w:spacing w:before="0" w:after="200" w:line="300" w:lineRule="auto"/>
        <w:ind w:left="720" w:right="720" w:firstLine="0"/>
        <w:jc w:val="both"/>
        <w:widowControl/>
      </w:pPr>
      <w:r>
        <w:rPr>
          <w:rFonts w:ascii="Times New Roman" w:hAnsi="Times New Roman" w:cs="Times New Roman"/>
          <w:sz w:val="24"/>
          <w:color w:val="000000"/>
        </w:rPr>
        <w:t xml:space="preserve">The NLP lab displays an extractive summary, named entities, and exploration controls for the fictional example. The workflow verifies that using the lab does not create a history record.</w:t>
      </w:r>
    </w:p>
    <w:p w14:paraId="33EC9078" w14:textId="77777777" w:rsidR="0087365B" w:rsidRDefault="00000000">
      <w:pPr>
        <w:pStyle w:val="BodyText"/>
        <w:spacing w:before="0" w:after="90" w:line="240" w:lineRule="auto"/>
        <w:ind w:left="720" w:right="720" w:firstLine="0"/>
        <w:jc w:val="center"/>
        <w:widowControl/>
      </w:pPr>
      <w:r>
        <w:rPr>
          <w:rFonts w:ascii="Times New Roman" w:hAnsi="Times New Roman" w:cs="Times New Roman"/>
          <w:sz w:val="28"/>
          <w:color w:val="000000"/>
        </w:rPr>
        <w:t xml:space="preserve"/>
        <w:drawing>
          <wp:inline distT="0" distB="0" distL="0" distR="0">
            <wp:extent cx="5577840" cy="5956958"/>
            <wp:docPr id="26" name="Figure B.3 Interactive NLP lab" descr="Figure B.3 Interactive NLP lab"/>
            <ns0:graphic xmlns:ns0="http://schemas.openxmlformats.org/drawingml/2006/main">
              <ns0:graphicData uri="http://schemas.openxmlformats.org/drawingml/2006/picture">
                <ns0:pic xmlns:ns0="http://schemas.openxmlformats.org/drawingml/2006/picture">
                  <ns0:nvPicPr>
                    <ns0:cNvPr id="26" name="report-26.png"/>
                    <ns0:cNvPicPr/>
                  </ns0:nvPicPr>
                  <ns0:blipFill>
                    <ns0:blip xmlns:ns0="http://schemas.openxmlformats.org/drawingml/2006/main" r:embed="rIdReport26"/>
                    <ns0:stretch xmlns:ns0="http://schemas.openxmlformats.org/drawingml/2006/main">
                      <ns0:fillRect/>
                    </ns0:stretch>
                  </ns0:blipFill>
                  <ns0:spPr>
                    <ns0:xfrm xmlns:ns0="http://schemas.openxmlformats.org/drawingml/2006/main">
                      <ns0:off x="0" y="0"/>
                      <ns0:ext cx="5577840" cy="5956958"/>
                    </ns0:xfrm>
                    <ns0:prstGeom xmlns:ns0="http://schemas.openxmlformats.org/drawingml/2006/main" prst="rect">
                      <ns0:avLst/>
                    </ns0:prstGeom>
                  </ns0:spPr>
                </ns0:pic>
              </ns0:graphicData>
            </ns0:graphic>
          </wp:inline>
        </w:drawing>
      </w:r>
    </w:p>
    <w:p w14:paraId="33EC9078" w14:textId="77777777" w:rsidR="0087365B" w:rsidRDefault="00000000">
      <w:pPr>
        <w:pStyle w:val="BodyText"/>
        <w:spacing w:before="0" w:after="180" w:line="260" w:lineRule="auto"/>
        <w:ind w:left="720" w:right="720" w:firstLine="0"/>
        <w:jc w:val="center"/>
        <w:widowControl/>
      </w:pPr>
      <w:r>
        <w:rPr>
          <w:rFonts w:ascii="Times New Roman" w:hAnsi="Times New Roman" w:cs="Times New Roman"/>
          <w:sz w:val="24"/>
          <w:color w:val="000000"/>
        </w:rPr>
        <w:t xml:space="preserve">Figure B.3 Interactive NLP lab</w:t>
      </w:r>
    </w:p>
    <w:p w14:paraId="33EC9078" w14:textId="77777777" w:rsidR="0087365B" w:rsidRDefault="00000000">
      <w:pPr>
        <w:pStyle w:val="BodyText"/>
        <w:spacing w:before="0" w:after="120" w:line="260" w:lineRule="auto"/>
        <w:ind w:left="720" w:right="720" w:firstLine="0"/>
        <w:jc w:val="center"/>
        <w:widowControl/>
      </w:pPr>
      <w:r>
        <w:rPr>
          <w:rFonts w:ascii="Times New Roman" w:hAnsi="Times New Roman" w:cs="Times New Roman"/>
          <w:sz w:val="22"/>
          <w:color w:val="000000"/>
        </w:rPr>
        <w:t xml:space="preserve">Captured during the successful browser test run on 28 October 2026.</w:t>
      </w:r>
    </w:p>
    <w:sectPr w:rsidR="0087365B" w:rsidSect="009440CE">
      <w:footerReference w:type="default" r:id="rId13"/>
      <w:pgSz w:w="11910" w:h="16840"/>
      <w:pgMar w:top="1320" w:right="400" w:bottom="280" w:left="780" w:header="0" w:footer="480" w:gutter="0"/>
      <w:cols w:space="720"/>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CA489" w14:textId="77777777" w:rsidR="00824319" w:rsidRDefault="00824319">
      <w:r>
        <w:separator/>
      </w:r>
    </w:p>
  </w:endnote>
  <w:endnote w:type="continuationSeparator" w:id="0">
    <w:p w14:paraId="5F913FB3" w14:textId="77777777" w:rsidR="00824319" w:rsidRDefault="00824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E509" w14:textId="77777777" w:rsidR="0087365B" w:rsidRDefault="0087365B">
    <w:pPr>
      <w:pStyle w:val="Footer"/>
      <w:jc w:val="center"/>
    </w:pPr>
  </w:p>
  <w:p w14:paraId="58BF49F5" w14:textId="77777777" w:rsidR="0087365B" w:rsidRDefault="008736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9078" w14:textId="77777777" w:rsidR="0087365B" w:rsidRDefault="00000000">
    <w:pPr>
      <w:pStyle w:val="BodyText"/>
      <w:spacing w:before="0" w:after="0" w:line="240" w:lineRule="auto"/>
      <w:ind w:left="0" w:right="0" w:firstLine="0"/>
      <w:jc w:val="center"/>
      <w:widowControl/>
    </w:pPr>
    <w:r>
      <w:rPr>
        <w:rFonts w:ascii="Times New Roman" w:hAnsi="Times New Roman" w:cs="Times New Roman"/>
        <w:sz w:val="24"/>
        <w:color w:val="000000"/>
      </w:rPr>
      <w:t xml:space="preserve"/>
      <w:fldChar w:fldCharType="begin"/>
    </w:r>
    <w:r>
      <w:instrText> PAGE </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9078" w14:textId="77777777" w:rsidR="0087365B" w:rsidRDefault="00000000">
    <w:pPr>
      <w:pStyle w:val="BodyText"/>
      <w:spacing w:before="0" w:after="0" w:line="240" w:lineRule="auto"/>
      <w:ind w:left="0" w:right="0" w:firstLine="0"/>
      <w:jc w:val="center"/>
      <w:widowControl/>
    </w:pPr>
    <w:r>
      <w:rPr>
        <w:rFonts w:ascii="Times New Roman" w:hAnsi="Times New Roman" w:cs="Times New Roman"/>
        <w:sz w:val="24"/>
        <w:color w:val="000000"/>
      </w:rPr>
      <w:t xml:space="preserve"/>
      <w:fldChar w:fldCharType="begin"/>
    </w:r>
    <w:r>
      <w:instrText> PAGE </w:instrTex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9078" w14:textId="77777777" w:rsidR="0087365B" w:rsidRDefault="00000000">
    <w:pPr>
      <w:pStyle w:val="BodyText"/>
      <w:spacing w:before="0" w:after="0" w:line="240" w:lineRule="auto"/>
      <w:ind w:left="0" w:right="0" w:firstLine="0"/>
      <w:jc w:val="center"/>
      <w:widowControl/>
    </w:pPr>
    <w:r>
      <w:rPr>
        <w:rFonts w:ascii="Times New Roman" w:hAnsi="Times New Roman" w:cs="Times New Roman"/>
        <w:sz w:val="24"/>
        <w:color w:val="000000"/>
      </w:rPr>
      <w:t xml:space="preserve"/>
      <w:fldChar w:fldCharType="begin"/>
    </w:r>
    <w:r>
      <w:instrText>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31DE7" w14:textId="77777777" w:rsidR="00824319" w:rsidRDefault="00824319">
      <w:r>
        <w:separator/>
      </w:r>
    </w:p>
  </w:footnote>
  <w:footnote w:type="continuationSeparator" w:id="0">
    <w:p w14:paraId="1921180D" w14:textId="77777777" w:rsidR="00824319" w:rsidRDefault="008243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1"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2"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4"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5"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num w:numId="1" w16cid:durableId="1974482988">
    <w:abstractNumId w:val="1"/>
  </w:num>
  <w:num w:numId="2" w16cid:durableId="520436204">
    <w:abstractNumId w:val="2"/>
  </w:num>
  <w:num w:numId="3" w16cid:durableId="610820176">
    <w:abstractNumId w:val="4"/>
  </w:num>
  <w:num w:numId="4" w16cid:durableId="1172066177">
    <w:abstractNumId w:val="5"/>
  </w:num>
  <w:num w:numId="5" w16cid:durableId="949822022">
    <w:abstractNumId w:val="0"/>
  </w:num>
  <w:num w:numId="6" w16cid:durableId="105123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4881"/>
    <w:rsid w:val="00027BBD"/>
    <w:rsid w:val="0007464A"/>
    <w:rsid w:val="000919EE"/>
    <w:rsid w:val="000D292E"/>
    <w:rsid w:val="000E2B1A"/>
    <w:rsid w:val="000F66EA"/>
    <w:rsid w:val="001033C8"/>
    <w:rsid w:val="00120E74"/>
    <w:rsid w:val="00194490"/>
    <w:rsid w:val="001948D3"/>
    <w:rsid w:val="001C4135"/>
    <w:rsid w:val="001C7A8A"/>
    <w:rsid w:val="001E73DD"/>
    <w:rsid w:val="00203F23"/>
    <w:rsid w:val="0023408F"/>
    <w:rsid w:val="0025075C"/>
    <w:rsid w:val="00267C75"/>
    <w:rsid w:val="00297248"/>
    <w:rsid w:val="002B79C0"/>
    <w:rsid w:val="002C65B7"/>
    <w:rsid w:val="002C6879"/>
    <w:rsid w:val="002D2593"/>
    <w:rsid w:val="003052DA"/>
    <w:rsid w:val="00306E0A"/>
    <w:rsid w:val="00332491"/>
    <w:rsid w:val="0037435E"/>
    <w:rsid w:val="00377485"/>
    <w:rsid w:val="003808FA"/>
    <w:rsid w:val="003B3BC0"/>
    <w:rsid w:val="003D6249"/>
    <w:rsid w:val="003E0FED"/>
    <w:rsid w:val="003F5B46"/>
    <w:rsid w:val="00443EFC"/>
    <w:rsid w:val="00463DAB"/>
    <w:rsid w:val="00465732"/>
    <w:rsid w:val="0049139E"/>
    <w:rsid w:val="004D479E"/>
    <w:rsid w:val="004D65A9"/>
    <w:rsid w:val="00531591"/>
    <w:rsid w:val="00547315"/>
    <w:rsid w:val="00577FB7"/>
    <w:rsid w:val="005A3764"/>
    <w:rsid w:val="005B54CA"/>
    <w:rsid w:val="00617E75"/>
    <w:rsid w:val="00620C8F"/>
    <w:rsid w:val="006A77E0"/>
    <w:rsid w:val="006D7461"/>
    <w:rsid w:val="00782848"/>
    <w:rsid w:val="007A6718"/>
    <w:rsid w:val="007B3861"/>
    <w:rsid w:val="007E486B"/>
    <w:rsid w:val="00816C2C"/>
    <w:rsid w:val="0082427A"/>
    <w:rsid w:val="00824319"/>
    <w:rsid w:val="0087365B"/>
    <w:rsid w:val="00897094"/>
    <w:rsid w:val="009211F7"/>
    <w:rsid w:val="009440CE"/>
    <w:rsid w:val="00967CE8"/>
    <w:rsid w:val="0098185C"/>
    <w:rsid w:val="009971FB"/>
    <w:rsid w:val="009A488A"/>
    <w:rsid w:val="009B326C"/>
    <w:rsid w:val="009E2D1E"/>
    <w:rsid w:val="00A44640"/>
    <w:rsid w:val="00A747E7"/>
    <w:rsid w:val="00AE0E74"/>
    <w:rsid w:val="00B50423"/>
    <w:rsid w:val="00B67908"/>
    <w:rsid w:val="00B75366"/>
    <w:rsid w:val="00B84623"/>
    <w:rsid w:val="00BB4AB4"/>
    <w:rsid w:val="00C12246"/>
    <w:rsid w:val="00C44716"/>
    <w:rsid w:val="00CF5D8E"/>
    <w:rsid w:val="00D20F5E"/>
    <w:rsid w:val="00D25C83"/>
    <w:rsid w:val="00D4309E"/>
    <w:rsid w:val="00D91002"/>
    <w:rsid w:val="00D91F14"/>
    <w:rsid w:val="00E00D4C"/>
    <w:rsid w:val="00E2401D"/>
    <w:rsid w:val="00E81F34"/>
    <w:rsid w:val="00E93DE0"/>
    <w:rsid w:val="00F00304"/>
    <w:rsid w:val="00F01AD8"/>
    <w:rsid w:val="00F02181"/>
    <w:rsid w:val="00F2717D"/>
    <w:rsid w:val="00F275D0"/>
    <w:rsid w:val="00F360F8"/>
    <w:rsid w:val="00F93366"/>
    <w:rsid w:val="00FD4A23"/>
    <w:rsid w:val="00FF157A"/>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531D33D"/>
  <w15:docId w15:val="{1886CFF9-96D8-40D0-A6D2-6103C798736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Report21" Type="http://schemas.openxmlformats.org/officeDocument/2006/relationships/image" Target="media/report-21.png"/><Relationship Id="rIdReport22" Type="http://schemas.openxmlformats.org/officeDocument/2006/relationships/image" Target="media/report-22.png"/><Relationship Id="rIdReport23" Type="http://schemas.openxmlformats.org/officeDocument/2006/relationships/image" Target="media/report-23.png"/><Relationship Id="rIdReport24" Type="http://schemas.openxmlformats.org/officeDocument/2006/relationships/image" Target="media/report-24.png"/><Relationship Id="rIdReport25" Type="http://schemas.openxmlformats.org/officeDocument/2006/relationships/image" Target="media/report-25.png"/><Relationship Id="rIdReport26" Type="http://schemas.openxmlformats.org/officeDocument/2006/relationships/image" Target="media/report-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1200</Words>
  <Characters>6845</Characters>
  <Application>Microsoft Office Word</Application>
  <DocSecurity>0</DocSecurity>
  <Lines>57</Lines>
  <Paragraphs>16</Paragraphs>
  <ScaleCrop>false</ScaleCrop>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DANIELRAJ D (RA2311003010669)</cp:lastModifiedBy>
  <cp:revision>7</cp:revision>
  <dcterms:created xsi:type="dcterms:W3CDTF">2026-10-07T07:15:00Z</dcterms:created>
  <dcterms:modified xsi:type="dcterms:W3CDTF">2026-10-07T07:20:00Z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