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E293B"/>
          <w:sz w:val="44"/>
          <w:szCs w:val="44"/>
        </w:rPr>
        <w:t xml:space="preserve">E-Commerce Sales Analytics &amp; Forecasting</w:t>
      </w:r>
    </w:p>
    <w:p>
      <w:pPr>
        <w:spacing w:after="300"/>
      </w:pPr>
      <w:r>
        <w:rPr>
          <w:color w:val="2563EB"/>
          <w:sz w:val="28"/>
          <w:szCs w:val="28"/>
        </w:rPr>
        <w:t xml:space="preserve">Capstone Project Report</w:t>
      </w:r>
    </w:p>
    <w:p>
      <w:pPr>
        <w:spacing w:after="120"/>
      </w:pPr>
      <w:r>
        <w:rPr>
          <w:i/>
          <w:iCs/>
        </w:rPr>
        <w:t xml:space="preserve">Dataset: Sample - Superstore (Kaggle) — 9,994 e-commerce orders, 2014–2017.</w:t>
      </w:r>
    </w:p>
    <w:p>
      <w:pPr>
        <w:spacing w:after="120"/>
      </w:pPr>
      <w:r>
        <w:rPr>
          <w:i/>
          <w:iCs/>
        </w:rPr>
        <w:t xml:space="preserve">Source link: https://www.kaggle.com/datasets/vivek468/superstore-dataset-final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This project analyzes historical e-commerce order data from a US-based retailer to answer a core business question: what is driving sales and profit performance today, and what should the business do next? Rather than presenting raw numbers, the analysis is organized the way a business owner or executive would consume it — starting from an executive summary, moving into sales and customer detail, and ending in a concrete, forward-looking action plan.</w:t>
      </w:r>
    </w:p>
    <w:p>
      <w:pPr>
        <w:spacing w:after="120"/>
      </w:pPr>
      <w:r>
        <w:t xml:space="preserve">The workflow follows: raw data → cleaning → exploratory analysis → key performance indicators (KPIs) → a forecasting model → a business narrative of fact, insight, opportunity, risk, and action.</w:t>
      </w:r>
    </w:p>
    <w:p>
      <w:pPr>
        <w:pStyle w:val="Heading1"/>
        <w:spacing w:after="150" w:before="300"/>
      </w:pPr>
      <w:r>
        <w:t xml:space="preserve">2. Data Cleaning</w:t>
      </w:r>
    </w:p>
    <w:p>
      <w:pPr>
        <w:spacing w:after="120"/>
      </w:pPr>
      <w:r>
        <w:t xml:space="preserve">The raw dataset (9,994 rows, 21 columns) required the following cleaning steps before analysis: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Parsed Order Date and Ship Date from text into proper date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Removed exact duplicate 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Dropped rows with an unparseable order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Removed rows with zero or negative Sales/Quantity (data entry errors).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Engineered helper fields: Order Month, Order Year, and Profit Margin (Profit ÷ Sales).</w:t>
      </w:r>
    </w:p>
    <w:p>
      <w:pPr>
        <w:spacing w:after="120"/>
      </w:pPr>
      <w:r>
        <w:t xml:space="preserve">After cleaning, all 9,994 rows passed validation with no missing values in any column used for analysis.</w:t>
      </w:r>
    </w:p>
    <w:p>
      <w:pPr>
        <w:pStyle w:val="Heading1"/>
        <w:spacing w:after="150" w:before="300"/>
      </w:pPr>
      <w:r>
        <w:t xml:space="preserve">3. Key Performance Indicators (KPIs)</w:t>
      </w:r>
    </w:p>
    <w:p>
      <w:pPr>
        <w:spacing w:after="120"/>
      </w:pPr>
      <w:r>
        <w:t xml:space="preserve">Six candidate KPIs were considered (revenue, orders, customers, average order value, profit, and growth %). The three highlighted below best represent overall business health without overwhelming the reader: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4700"/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700"/>
          </w:tcPr>
          <w:p>
            <w:r>
              <w:t xml:space="preserve">Total Revenue</w:t>
            </w:r>
          </w:p>
        </w:tc>
        <w:tc>
          <w:tcPr>
            <w:tcW w:type="dxa" w:w="4700"/>
          </w:tcPr>
          <w:p>
            <w:r>
              <w:t xml:space="preserve">$2,297,200.86</w:t>
            </w:r>
          </w:p>
        </w:tc>
      </w:tr>
      <w:tr>
        <w:tc>
          <w:tcPr>
            <w:tcW w:type="dxa" w:w="4700"/>
          </w:tcPr>
          <w:p>
            <w:r>
              <w:t xml:space="preserve">Total Profit</w:t>
            </w:r>
          </w:p>
        </w:tc>
        <w:tc>
          <w:tcPr>
            <w:tcW w:type="dxa" w:w="4700"/>
          </w:tcPr>
          <w:p>
            <w:r>
              <w:t xml:space="preserve">$286,397.02</w:t>
            </w:r>
          </w:p>
        </w:tc>
      </w:tr>
      <w:tr>
        <w:tc>
          <w:tcPr>
            <w:tcW w:type="dxa" w:w="4700"/>
          </w:tcPr>
          <w:p>
            <w:r>
              <w:t xml:space="preserve">Total Orders</w:t>
            </w:r>
          </w:p>
        </w:tc>
        <w:tc>
          <w:tcPr>
            <w:tcW w:type="dxa" w:w="4700"/>
          </w:tcPr>
          <w:p>
            <w:r>
              <w:t xml:space="preserve">5,009</w:t>
            </w:r>
          </w:p>
        </w:tc>
      </w:tr>
      <w:tr>
        <w:tc>
          <w:tcPr>
            <w:tcW w:type="dxa" w:w="4700"/>
          </w:tcPr>
          <w:p>
            <w:r>
              <w:t xml:space="preserve">Total Customers</w:t>
            </w:r>
          </w:p>
        </w:tc>
        <w:tc>
          <w:tcPr>
            <w:tcW w:type="dxa" w:w="4700"/>
          </w:tcPr>
          <w:p>
            <w:r>
              <w:t xml:space="preserve">793</w:t>
            </w:r>
          </w:p>
        </w:tc>
      </w:tr>
      <w:tr>
        <w:tc>
          <w:tcPr>
            <w:tcW w:type="dxa" w:w="4700"/>
          </w:tcPr>
          <w:p>
            <w:r>
              <w:t xml:space="preserve">Average Order Value</w:t>
            </w:r>
          </w:p>
        </w:tc>
        <w:tc>
          <w:tcPr>
            <w:tcW w:type="dxa" w:w="4700"/>
          </w:tcPr>
          <w:p>
            <w:r>
              <w:t xml:space="preserve">$458.61</w:t>
            </w:r>
          </w:p>
        </w:tc>
      </w:tr>
      <w:tr>
        <w:tc>
          <w:tcPr>
            <w:tcW w:type="dxa" w:w="4700"/>
          </w:tcPr>
          <w:p>
            <w:r>
              <w:t xml:space="preserve">Latest Month-over-Month Growth</w:t>
            </w:r>
          </w:p>
        </w:tc>
        <w:tc>
          <w:tcPr>
            <w:tcW w:type="dxa" w:w="4700"/>
          </w:tcPr>
          <w:p>
            <w:r>
              <w:t xml:space="preserve">-29.2%</w:t>
            </w:r>
          </w:p>
        </w:tc>
      </w:tr>
    </w:tbl>
    <w:p>
      <w:pPr>
        <w:pStyle w:val="Heading1"/>
        <w:spacing w:after="150" w:before="300"/>
      </w:pPr>
      <w:r>
        <w:t xml:space="preserve">4. Sales &amp; Product Analysis</w:t>
      </w:r>
    </w:p>
    <w:p>
      <w:pPr>
        <w:pStyle w:val="Heading2"/>
        <w:spacing w:after="120" w:before="240"/>
      </w:pPr>
      <w:r>
        <w:t xml:space="preserve">4.1 Executive Overview: Monthly Revenue Trend</w:t>
      </w:r>
    </w:p>
    <w:p>
      <w:pPr>
        <w:spacing w:after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Revenue shows a clear seasonal pattern with year-end peaks, consistent with typical US retail seasonality.</w:t>
      </w:r>
    </w:p>
    <w:p>
      <w:pPr>
        <w:pStyle w:val="Heading2"/>
        <w:spacing w:after="120" w:before="240"/>
      </w:pPr>
      <w:r>
        <w:t xml:space="preserve">4.2 Sales &amp; Profit by Category</w:t>
      </w:r>
    </w:p>
    <w:p>
      <w:pPr>
        <w:spacing w:after="20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c>
          <w:tcPr>
            <w:tcW w:type="dxa" w:w="3133"/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33"/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Sales</w:t>
            </w:r>
          </w:p>
        </w:tc>
        <w:tc>
          <w:tcPr>
            <w:tcW w:type="dxa" w:w="3133"/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Profit</w:t>
            </w:r>
          </w:p>
        </w:tc>
      </w:tr>
      <w:tr>
        <w:tc>
          <w:tcPr>
            <w:tcW w:type="dxa" w:w="3133"/>
          </w:tcPr>
          <w:p>
            <w:r>
              <w:t xml:space="preserve">Technology</w:t>
            </w:r>
          </w:p>
        </w:tc>
        <w:tc>
          <w:tcPr>
            <w:tcW w:type="dxa" w:w="3133"/>
          </w:tcPr>
          <w:p>
            <w:r>
              <w:t xml:space="preserve">$836,154</w:t>
            </w:r>
          </w:p>
        </w:tc>
        <w:tc>
          <w:tcPr>
            <w:tcW w:type="dxa" w:w="3133"/>
          </w:tcPr>
          <w:p>
            <w:r>
              <w:t xml:space="preserve">$145,455</w:t>
            </w:r>
          </w:p>
        </w:tc>
      </w:tr>
      <w:tr>
        <w:tc>
          <w:tcPr>
            <w:tcW w:type="dxa" w:w="3133"/>
          </w:tcPr>
          <w:p>
            <w:r>
              <w:t xml:space="preserve">Furniture</w:t>
            </w:r>
          </w:p>
        </w:tc>
        <w:tc>
          <w:tcPr>
            <w:tcW w:type="dxa" w:w="3133"/>
          </w:tcPr>
          <w:p>
            <w:r>
              <w:t xml:space="preserve">$741,999</w:t>
            </w:r>
          </w:p>
        </w:tc>
        <w:tc>
          <w:tcPr>
            <w:tcW w:type="dxa" w:w="3133"/>
          </w:tcPr>
          <w:p>
            <w:r>
              <w:t xml:space="preserve">$18,451</w:t>
            </w:r>
          </w:p>
        </w:tc>
      </w:tr>
      <w:tr>
        <w:tc>
          <w:tcPr>
            <w:tcW w:type="dxa" w:w="3133"/>
          </w:tcPr>
          <w:p>
            <w:r>
              <w:t xml:space="preserve">Office Supplies</w:t>
            </w:r>
          </w:p>
        </w:tc>
        <w:tc>
          <w:tcPr>
            <w:tcW w:type="dxa" w:w="3133"/>
          </w:tcPr>
          <w:p>
            <w:r>
              <w:t xml:space="preserve">$719,047</w:t>
            </w:r>
          </w:p>
        </w:tc>
        <w:tc>
          <w:tcPr>
            <w:tcW w:type="dxa" w:w="3133"/>
          </w:tcPr>
          <w:p>
            <w:r>
              <w:t xml:space="preserve">$122,491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Insight: Furniture generates revenue comparable to Technology and Office Supplies but produces dramatically less profit — a strong signal of margin erosion, likely from discounting.</w:t>
      </w:r>
    </w:p>
    <w:p>
      <w:pPr>
        <w:pStyle w:val="Heading2"/>
        <w:spacing w:after="120" w:before="240"/>
      </w:pPr>
      <w:r>
        <w:t xml:space="preserve">4.3 Sales by Region</w:t>
      </w:r>
    </w:p>
    <w:p>
      <w:pPr>
        <w:spacing w:after="20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West and East regions together account for the majority of revenue and profit, while the South lags on both dimensions.</w:t>
      </w:r>
    </w:p>
    <w:p>
      <w:pPr>
        <w:pStyle w:val="Heading1"/>
        <w:spacing w:after="150" w:before="300"/>
      </w:pPr>
      <w:r>
        <w:t xml:space="preserve">5. Customer &amp; Risk Analysis</w:t>
      </w:r>
    </w:p>
    <w:p>
      <w:pPr>
        <w:pStyle w:val="Heading2"/>
        <w:spacing w:after="120" w:before="240"/>
      </w:pPr>
      <w:r>
        <w:t xml:space="preserve">5.1 Top Customers</w:t>
      </w:r>
    </w:p>
    <w:p>
      <w:pPr>
        <w:spacing w:after="120"/>
      </w:pPr>
      <w:r>
        <w:t xml:space="preserve">The top 10 customers by total sales range from roughly $12,000 to $25,000 in lifetime purchases, representing a valuable, concentrated segment worth retention investment.</w:t>
      </w:r>
    </w:p>
    <w:p>
      <w:pPr>
        <w:pStyle w:val="Heading2"/>
        <w:spacing w:after="120" w:before="240"/>
      </w:pPr>
      <w:r>
        <w:t xml:space="preserve">5.2 Churn Risk</w:t>
      </w:r>
    </w:p>
    <w:p>
      <w:pPr>
        <w:spacing w:after="120"/>
      </w:pPr>
      <w:r>
        <w:t xml:space="preserve">Using a simple recency rule (no order placed in the last 6+ months relative to the most recent order date in the dataset), 199 of 793 customers (about 25%) are flagged as churn risk. This is a significant share of the customer base and warrants a proactive retention response.</w:t>
      </w:r>
    </w:p>
    <w:p>
      <w:pPr>
        <w:pStyle w:val="Heading1"/>
        <w:spacing w:after="150" w:before="300"/>
      </w:pPr>
      <w:r>
        <w:t xml:space="preserve">6. Forecasting Model</w:t>
      </w:r>
    </w:p>
    <w:p>
      <w:pPr>
        <w:spacing w:after="120"/>
      </w:pPr>
      <w:r>
        <w:t xml:space="preserve">A Linear Regression model was trained on monthly aggregated sales using two lag features (prior month, two months prior) and a month-of-year feature to capture seasonality. The data was split 80/20 in time order (never shuffled, since this is a time series) to evaluate the model honestly on unseen future months.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4700"/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700"/>
          </w:tcPr>
          <w:p>
            <w:r>
              <w:t xml:space="preserve">MAE (Mean Absolute Error)</w:t>
            </w:r>
          </w:p>
        </w:tc>
        <w:tc>
          <w:tcPr>
            <w:tcW w:type="dxa" w:w="4700"/>
          </w:tcPr>
          <w:p>
            <w:r>
              <w:t xml:space="preserve">$17,471</w:t>
            </w:r>
          </w:p>
        </w:tc>
      </w:tr>
      <w:tr>
        <w:tc>
          <w:tcPr>
            <w:tcW w:type="dxa" w:w="4700"/>
          </w:tcPr>
          <w:p>
            <w:r>
              <w:t xml:space="preserve">RMSE (Root Mean Squared Error)</w:t>
            </w:r>
          </w:p>
        </w:tc>
        <w:tc>
          <w:tcPr>
            <w:tcW w:type="dxa" w:w="4700"/>
          </w:tcPr>
          <w:p>
            <w:r>
              <w:t xml:space="preserve">$22,661</w:t>
            </w:r>
          </w:p>
        </w:tc>
      </w:tr>
      <w:tr>
        <w:tc>
          <w:tcPr>
            <w:tcW w:type="dxa" w:w="4700"/>
          </w:tcPr>
          <w:p>
            <w:r>
              <w:t xml:space="preserve">R² (holdout set)</w:t>
            </w:r>
          </w:p>
        </w:tc>
        <w:tc>
          <w:tcPr>
            <w:tcW w:type="dxa" w:w="4700"/>
          </w:tcPr>
          <w:p>
            <w:r>
              <w:t xml:space="preserve">0.10</w:t>
            </w:r>
          </w:p>
        </w:tc>
      </w:tr>
    </w:tbl>
    <w:p>
      <w:pPr>
        <w:spacing w:after="120"/>
      </w:pPr>
      <w:r>
        <w:rPr>
          <w:i/>
          <w:iCs/>
        </w:rPr>
        <w:t xml:space="preserve">The modest R² reflects the short history available (48 months) and the simplicity of the model, which was chosen deliberately for transparency over accuracy. The forecast below should be read as a directional guide, not a precise prediction.</w:t>
      </w:r>
    </w:p>
    <w:p>
      <w:pPr>
        <w:spacing w:after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4700"/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Forecasted Sales</w:t>
            </w:r>
          </w:p>
        </w:tc>
      </w:tr>
      <w:tr>
        <w:tc>
          <w:tcPr>
            <w:tcW w:type="dxa" w:w="4700"/>
          </w:tcPr>
          <w:p>
            <w:r>
              <w:t xml:space="preserve">January 2018</w:t>
            </w:r>
          </w:p>
        </w:tc>
        <w:tc>
          <w:tcPr>
            <w:tcW w:type="dxa" w:w="4700"/>
          </w:tcPr>
          <w:p>
            <w:r>
              <w:t xml:space="preserve">$36,062</w:t>
            </w:r>
          </w:p>
        </w:tc>
      </w:tr>
      <w:tr>
        <w:tc>
          <w:tcPr>
            <w:tcW w:type="dxa" w:w="4700"/>
          </w:tcPr>
          <w:p>
            <w:r>
              <w:t xml:space="preserve">February 2018</w:t>
            </w:r>
          </w:p>
        </w:tc>
        <w:tc>
          <w:tcPr>
            <w:tcW w:type="dxa" w:w="4700"/>
          </w:tcPr>
          <w:p>
            <w:r>
              <w:t xml:space="preserve">$33,278</w:t>
            </w:r>
          </w:p>
        </w:tc>
      </w:tr>
      <w:tr>
        <w:tc>
          <w:tcPr>
            <w:tcW w:type="dxa" w:w="4700"/>
          </w:tcPr>
          <w:p>
            <w:r>
              <w:t xml:space="preserve">March 2018</w:t>
            </w:r>
          </w:p>
        </w:tc>
        <w:tc>
          <w:tcPr>
            <w:tcW w:type="dxa" w:w="4700"/>
          </w:tcPr>
          <w:p>
            <w:r>
              <w:t xml:space="preserve">$29,066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Business Narrative: Fact → Insight → Opportunity → Risk → Action</w:t>
      </w:r>
    </w:p>
    <w:p>
      <w:pPr>
        <w:pStyle w:val="Heading2"/>
        <w:spacing w:after="120" w:before="240"/>
      </w:pPr>
      <w:r>
        <w:t xml:space="preserve">Fact</w:t>
      </w:r>
    </w:p>
    <w:p>
      <w:pPr>
        <w:spacing w:after="120"/>
      </w:pPr>
      <w:r>
        <w:t xml:space="preserve">Furniture generates high revenue but low profit; a subset of regions and customers drive most value; a quarter of customers are at churn risk.</w:t>
      </w:r>
    </w:p>
    <w:p>
      <w:pPr>
        <w:pStyle w:val="Heading2"/>
        <w:spacing w:after="120" w:before="240"/>
      </w:pPr>
      <w:r>
        <w:t xml:space="preserve">Insight</w:t>
      </w:r>
    </w:p>
    <w:p>
      <w:pPr>
        <w:spacing w:after="120"/>
      </w:pPr>
      <w:r>
        <w:t xml:space="preserve">Discount-heavy categories are quietly eroding margin, and customer value is concentrated rather than evenly spread — losing top customers would disproportionately hurt revenue.</w:t>
      </w:r>
    </w:p>
    <w:p>
      <w:pPr>
        <w:pStyle w:val="Heading2"/>
        <w:spacing w:after="120" w:before="240"/>
      </w:pPr>
      <w:r>
        <w:t xml:space="preserve">Opportunity</w:t>
      </w:r>
    </w:p>
    <w:p>
      <w:pPr>
        <w:spacing w:after="120"/>
      </w:pPr>
      <w:r>
        <w:t xml:space="preserve">Electronics/Technology outperforms on margin; increasing focus (marketing spend, inventory, promotions) on Technology and top-performing regions (West, East) can grow profit faster than revenue alone.</w:t>
      </w:r>
    </w:p>
    <w:p>
      <w:pPr>
        <w:pStyle w:val="Heading2"/>
        <w:spacing w:after="120" w:before="240"/>
      </w:pPr>
      <w:r>
        <w:t xml:space="preserve">Risk</w:t>
      </w:r>
    </w:p>
    <w:p>
      <w:pPr>
        <w:spacing w:after="120"/>
      </w:pPr>
      <w:r>
        <w:t xml:space="preserve">199 customers show high churn risk, and continued heavy discounting on Furniture threatens overall profitability even as revenue looks healthy.</w:t>
      </w:r>
    </w:p>
    <w:p>
      <w:pPr>
        <w:pStyle w:val="Heading2"/>
        <w:spacing w:after="120" w:before="240"/>
      </w:pPr>
      <w:r>
        <w:t xml:space="preserve">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a targeted retention offer for high-value, at-risk customers identified in Section 5.2.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and tighten discount policy on Furniture sub-categories to protect margin.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 a portion of marketing budget toward Technology and the West/East regions.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Re-run the forecast model monthly as new data arrives to keep the Q1 sales plan current.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8. Project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ecommerce_sales_analytics.py — single Python file: data cleaning, EDA, KPI computation, forecasting model, and Streamlit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 — Python library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— overview and run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E-Commerce_Sales_Analytics_Report.docx —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repository — hosts all of the above (link submitted separately).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1afe1f5edf764d1e0b5bb65be5b377f278e243.png"/><Relationship Id="rId8" Type="http://schemas.openxmlformats.org/officeDocument/2006/relationships/image" Target="media/4cb2c8a09b07f1a4a21bf2951802cf418bae1080.png"/><Relationship Id="rId9" Type="http://schemas.openxmlformats.org/officeDocument/2006/relationships/image" Target="media/15fb90b52f6f42cfa35f35c401a5e03e9949f2ea.png"/><Relationship Id="rId10" Type="http://schemas.openxmlformats.org/officeDocument/2006/relationships/image" Target="media/b949941bb0e382d416a463f7d5e7f396b930f16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2026-09-21T06:37:54.118Z</dcterms:created>
  <dcterms:modified xsi:type="dcterms:W3CDTF">2026-09-21T06:37:54.118Z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