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300"/>
        <w:jc w:val="center"/>
      </w:pPr>
      <w:r>
        <w:rPr>
          <w:rFonts w:ascii="Calibri" w:cs="Calibri" w:eastAsia="Calibri" w:hAnsi="Calibri"/>
          <w:b/>
          <w:bCs/>
          <w:color w:val="1F3864"/>
          <w:sz w:val="44"/>
          <w:szCs w:val="44"/>
        </w:rPr>
        <w:t xml:space="preserve">PROJECT PLAN &amp; STRATEGY DOCUMENT</w:t>
      </w:r>
    </w:p>
    <w:p>
      <w:pPr>
        <w:pBdr>
          <w:bottom w:val="single" w:color="2E74B5" w:sz="12" w:space="8"/>
        </w:pBdr>
        <w:spacing w:after="100"/>
        <w:jc w:val="center"/>
      </w:pPr>
      <w:r>
        <w:rPr>
          <w:rFonts w:ascii="Calibri" w:cs="Calibri" w:eastAsia="Calibri" w:hAnsi="Calibri"/>
          <w:b/>
          <w:bCs/>
          <w:color w:val="2E74B5"/>
          <w:sz w:val="28"/>
          <w:szCs w:val="28"/>
        </w:rPr>
        <w:t xml:space="preserve">Predictive Maintenance &amp; Performance Analytics for a DIY Robotics Platform</w:t>
      </w:r>
    </w:p>
    <w:p>
      <w:pPr>
        <w:spacing w:after="200"/>
      </w:pPr>
    </w:p>
    <w:p>
      <w:pPr>
        <w:spacing w:after="40"/>
        <w:jc w:val="center"/>
      </w:pPr>
      <w:r>
        <w:rPr>
          <w:rFonts w:ascii="Calibri" w:cs="Calibri" w:eastAsia="Calibri" w:hAnsi="Calibri"/>
          <w:i/>
          <w:iCs/>
          <w:color w:val="595959"/>
          <w:sz w:val="22"/>
          <w:szCs w:val="22"/>
        </w:rPr>
        <w:t xml:space="preserve">An R-Based Data Science Analysis of Sensor Telemetry from an Embedded Robotics System</w:t>
      </w:r>
    </w:p>
    <w:p>
      <w:pPr>
        <w:spacing w:after="1200"/>
      </w:pPr>
    </w:p>
    <w:p>
      <w:pPr>
        <w:spacing w:after="60"/>
        <w:jc w:val="center"/>
      </w:pPr>
      <w:r>
        <w:rPr>
          <w:rFonts w:ascii="Calibri" w:cs="Calibri" w:eastAsia="Calibri" w:hAnsi="Calibri"/>
          <w:b/>
          <w:bCs/>
          <w:sz w:val="22"/>
          <w:szCs w:val="22"/>
        </w:rPr>
        <w:t xml:space="preserve">Yuva Intern (NSDC) — Virtual Data Science with R Apprentice Intern</w:t>
      </w:r>
    </w:p>
    <w:p>
      <w:pPr>
        <w:spacing w:after="60"/>
        <w:jc w:val="center"/>
      </w:pPr>
      <w:r>
        <w:rPr>
          <w:rFonts w:ascii="Calibri" w:cs="Calibri" w:eastAsia="Calibri" w:hAnsi="Calibri"/>
          <w:sz w:val="22"/>
          <w:szCs w:val="22"/>
        </w:rPr>
        <w:t xml:space="preserve">Week 1 of 5 — Project Planning and Strategy Development</w:t>
      </w:r>
    </w:p>
    <w:p>
      <w:pPr>
        <w:spacing w:after="60"/>
        <w:jc w:val="center"/>
      </w:pPr>
      <w:r>
        <w:rPr>
          <w:rFonts w:ascii="Calibri" w:cs="Calibri" w:eastAsia="Calibri" w:hAnsi="Calibri"/>
          <w:sz w:val="22"/>
          <w:szCs w:val="22"/>
        </w:rPr>
        <w:t xml:space="preserve">Program Duration: 30-Jul-2026 to 03-Sep-2026</w:t>
      </w:r>
    </w:p>
    <w:p>
      <w:pPr>
        <w:spacing w:after="60"/>
        <w:jc w:val="center"/>
      </w:pPr>
      <w:r>
        <w:rPr>
          <w:rFonts w:ascii="Calibri" w:cs="Calibri" w:eastAsia="Calibri" w:hAnsi="Calibri"/>
          <w:sz w:val="22"/>
          <w:szCs w:val="22"/>
        </w:rPr>
        <w:t xml:space="preserve">Prepared by: Abhishek</w:t>
      </w:r>
    </w:p>
    <w:p>
      <w:pPr>
        <w:spacing w:after="60"/>
        <w:jc w:val="center"/>
      </w:pPr>
      <w:r>
        <w:rPr>
          <w:rFonts w:ascii="Calibri" w:cs="Calibri" w:eastAsia="Calibri" w:hAnsi="Calibri"/>
          <w:sz w:val="22"/>
          <w:szCs w:val="22"/>
        </w:rPr>
        <w:t xml:space="preserve">Role: Data Science Intern (Analyst / Programmer / Project Manager)</w:t>
      </w:r>
    </w:p>
    <w:p>
      <w:pPr>
        <w:spacing w:after="60"/>
        <w:jc w:val="center"/>
      </w:pPr>
      <w:r>
        <w:rPr>
          <w:rFonts w:ascii="Calibri" w:cs="Calibri" w:eastAsia="Calibri" w:hAnsi="Calibri"/>
          <w:sz w:val="22"/>
          <w:szCs w:val="22"/>
        </w:rPr>
        <w:t xml:space="preserve">Tooling: RStudio (R 4.x)</w:t>
      </w:r>
    </w:p>
    <w:p>
      <w:pPr>
        <w:spacing w:after="60"/>
        <w:jc w:val="center"/>
      </w:pPr>
      <w:r>
        <w:rPr>
          <w:rFonts w:ascii="Calibri" w:cs="Calibri" w:eastAsia="Calibri" w:hAnsi="Calibri"/>
          <w:sz w:val="22"/>
          <w:szCs w:val="22"/>
        </w:rPr>
        <w:t xml:space="preserve">Estimated Effort: 30–35 hours</w:t>
      </w:r>
    </w:p>
    <w:p>
      <w:pPr>
        <w:jc w:val="center"/>
      </w:pPr>
      <w:r>
        <w:rPr>
          <w:rFonts w:ascii="Calibri" w:cs="Calibri" w:eastAsia="Calibri" w:hAnsi="Calibri"/>
          <w:sz w:val="22"/>
          <w:szCs w:val="22"/>
        </w:rPr>
        <w:t xml:space="preserve">Date: August 2026</w:t>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74B5" w:sz="6" w:space="4"/>
        </w:pBdr>
        <w:spacing w:after="200" w:before="400"/>
      </w:pPr>
      <w:r>
        <w:rPr>
          <w:rFonts w:ascii="Calibri" w:cs="Calibri" w:eastAsia="Calibri" w:hAnsi="Calibri"/>
          <w:b/>
          <w:bCs/>
          <w:color w:val="1F3864"/>
          <w:sz w:val="30"/>
          <w:szCs w:val="30"/>
        </w:rPr>
        <w:t xml:space="preserve">Executive Summary</w:t>
      </w:r>
    </w:p>
    <w:p>
      <w:pPr>
        <w:spacing w:after="160" w:line="276"/>
        <w:jc w:val="both"/>
      </w:pPr>
      <w:r>
        <w:rPr>
          <w:rFonts w:ascii="Calibri" w:cs="Calibri" w:eastAsia="Calibri" w:hAnsi="Calibri"/>
          <w:b w:val="false"/>
          <w:bCs w:val="false"/>
          <w:i w:val="false"/>
          <w:iCs w:val="false"/>
          <w:color w:val="000000"/>
          <w:sz w:val="22"/>
          <w:szCs w:val="22"/>
        </w:rPr>
        <w:t xml:space="preserve">This document presents a comprehensive project plan for a data science analysis to be carried out in RStudio, developed as the Week 1 (of 5) deliverable for the Yuva Intern (NSDC) “Virtual Data Science with R Apprentice Intern” program. The project applies predictive analytics to sensor telemetry generated by a self-built embedded robotics platform — specifically motor current draw, battery voltage, and PID-controlled infrared sensor readings from a line-following robot — in order to detect early signs of component degradation and predict maintenance needs before failure occurs.</w:t>
      </w:r>
    </w:p>
    <w:p>
      <w:pPr>
        <w:spacing w:after="160" w:line="276"/>
        <w:jc w:val="both"/>
      </w:pPr>
      <w:r>
        <w:rPr>
          <w:rFonts w:ascii="Calibri" w:cs="Calibri" w:eastAsia="Calibri" w:hAnsi="Calibri"/>
          <w:b w:val="false"/>
          <w:bCs w:val="false"/>
          <w:i w:val="false"/>
          <w:iCs w:val="false"/>
          <w:color w:val="000000"/>
          <w:sz w:val="22"/>
          <w:szCs w:val="22"/>
        </w:rPr>
        <w:t xml:space="preserve">The plan below defines the objective, scope, background rationale, phase-wise timeline, roles and responsibilities, resource allocation, and risk management strategy for the project, and is scoped to an estimated 30–35 hours of total effort across a four-week execution window.</w:t>
      </w:r>
    </w:p>
    <w:p>
      <w:pPr>
        <w:pStyle w:val="Heading1"/>
        <w:pBdr>
          <w:bottom w:val="single" w:color="2E74B5" w:sz="6" w:space="4"/>
        </w:pBdr>
        <w:spacing w:after="200" w:before="400"/>
      </w:pPr>
      <w:r>
        <w:rPr>
          <w:rFonts w:ascii="Calibri" w:cs="Calibri" w:eastAsia="Calibri" w:hAnsi="Calibri"/>
          <w:b/>
          <w:bCs/>
          <w:color w:val="1F3864"/>
          <w:sz w:val="30"/>
          <w:szCs w:val="30"/>
        </w:rPr>
        <w:t xml:space="preserve">1. Project Objective</w:t>
      </w:r>
    </w:p>
    <w:p>
      <w:pPr>
        <w:spacing w:after="160" w:line="276"/>
        <w:jc w:val="both"/>
      </w:pPr>
      <w:r>
        <w:rPr>
          <w:rFonts w:ascii="Calibri" w:cs="Calibri" w:eastAsia="Calibri" w:hAnsi="Calibri"/>
          <w:b w:val="false"/>
          <w:bCs w:val="false"/>
          <w:i w:val="false"/>
          <w:iCs w:val="false"/>
          <w:color w:val="000000"/>
          <w:sz w:val="22"/>
          <w:szCs w:val="22"/>
        </w:rPr>
        <w:t xml:space="preserve">The central question this project seeks to answer is:</w:t>
      </w:r>
    </w:p>
    <w:p>
      <w:pPr>
        <w:pBdr>
          <w:left w:val="single" w:color="2E74B5" w:sz="18" w:space="8"/>
        </w:pBdr>
        <w:spacing w:after="200"/>
        <w:ind w:left="480"/>
      </w:pPr>
      <w:r>
        <w:rPr>
          <w:rFonts w:ascii="Calibri" w:cs="Calibri" w:eastAsia="Calibri" w:hAnsi="Calibri"/>
          <w:i/>
          <w:iCs/>
          <w:color w:val="1F3864"/>
          <w:sz w:val="22"/>
          <w:szCs w:val="22"/>
        </w:rPr>
        <w:t xml:space="preserve">“Can sensor telemetry from a low-cost embedded robotics platform (motor current, battery voltage, and IR-array readings) be used to predict impending performance degradation or component failure, using statistical and machine learning techniques in R?”</w:t>
      </w:r>
    </w:p>
    <w:p>
      <w:pPr>
        <w:spacing w:after="160" w:line="276"/>
        <w:jc w:val="both"/>
      </w:pPr>
      <w:r>
        <w:rPr>
          <w:rFonts w:ascii="Calibri" w:cs="Calibri" w:eastAsia="Calibri" w:hAnsi="Calibri"/>
          <w:b w:val="false"/>
          <w:bCs w:val="false"/>
          <w:i w:val="false"/>
          <w:iCs w:val="false"/>
          <w:color w:val="000000"/>
          <w:sz w:val="22"/>
          <w:szCs w:val="22"/>
        </w:rPr>
        <w:t xml:space="preserve">Specific objectives:</w:t>
      </w:r>
    </w:p>
    <w:p>
      <w:pPr>
        <w:pStyle w:val="ListParagraph"/>
        <w:numPr>
          <w:ilvl w:val="0"/>
          <w:numId w:val="2"/>
        </w:numPr>
        <w:spacing w:after="80"/>
      </w:pPr>
      <w:r>
        <w:rPr>
          <w:rFonts w:ascii="Calibri" w:cs="Calibri" w:eastAsia="Calibri" w:hAnsi="Calibri"/>
          <w:sz w:val="22"/>
          <w:szCs w:val="22"/>
        </w:rPr>
        <w:t xml:space="preserve">Collect and structure time-series sensor data from an embedded robotics platform (or a representative simulated/public IoT sensor dataset where hardware logging is impractical within the timeline).</w:t>
      </w:r>
    </w:p>
    <w:p>
      <w:pPr>
        <w:pStyle w:val="ListParagraph"/>
        <w:numPr>
          <w:ilvl w:val="0"/>
          <w:numId w:val="2"/>
        </w:numPr>
        <w:spacing w:after="80"/>
      </w:pPr>
      <w:r>
        <w:rPr>
          <w:rFonts w:ascii="Calibri" w:cs="Calibri" w:eastAsia="Calibri" w:hAnsi="Calibri"/>
          <w:sz w:val="22"/>
          <w:szCs w:val="22"/>
        </w:rPr>
        <w:t xml:space="preserve">Clean and pre-process the data to handle noise, missing values, and sensor drift typical of low-cost hardware.</w:t>
      </w:r>
    </w:p>
    <w:p>
      <w:pPr>
        <w:pStyle w:val="ListParagraph"/>
        <w:numPr>
          <w:ilvl w:val="0"/>
          <w:numId w:val="2"/>
        </w:numPr>
        <w:spacing w:after="80"/>
      </w:pPr>
      <w:r>
        <w:rPr>
          <w:rFonts w:ascii="Calibri" w:cs="Calibri" w:eastAsia="Calibri" w:hAnsi="Calibri"/>
          <w:sz w:val="22"/>
          <w:szCs w:val="22"/>
        </w:rPr>
        <w:t xml:space="preserve">Perform exploratory data analysis (EDA) to identify patterns correlated with degraded performance (e.g., rising motor current preceding stall, voltage sag under load).</w:t>
      </w:r>
    </w:p>
    <w:p>
      <w:pPr>
        <w:pStyle w:val="ListParagraph"/>
        <w:numPr>
          <w:ilvl w:val="0"/>
          <w:numId w:val="2"/>
        </w:numPr>
        <w:spacing w:after="80"/>
      </w:pPr>
      <w:r>
        <w:rPr>
          <w:rFonts w:ascii="Calibri" w:cs="Calibri" w:eastAsia="Calibri" w:hAnsi="Calibri"/>
          <w:sz w:val="22"/>
          <w:szCs w:val="22"/>
        </w:rPr>
        <w:t xml:space="preserve">Develop a predictive model in R (classification for failure/no-failure, or regression for remaining-useful-life estimation) to flag at-risk conditions.</w:t>
      </w:r>
    </w:p>
    <w:p>
      <w:pPr>
        <w:pStyle w:val="ListParagraph"/>
        <w:numPr>
          <w:ilvl w:val="0"/>
          <w:numId w:val="2"/>
        </w:numPr>
        <w:spacing w:after="80"/>
      </w:pPr>
      <w:r>
        <w:rPr>
          <w:rFonts w:ascii="Calibri" w:cs="Calibri" w:eastAsia="Calibri" w:hAnsi="Calibri"/>
          <w:sz w:val="22"/>
          <w:szCs w:val="22"/>
        </w:rPr>
        <w:t xml:space="preserve">Communicate findings through a clear, reproducible report with visualizations suitable for both technical and non-technical stakeholders.</w:t>
      </w:r>
    </w:p>
    <w:p>
      <w:pPr>
        <w:spacing w:after="160" w:line="276"/>
        <w:jc w:val="both"/>
      </w:pPr>
      <w:r>
        <w:rPr>
          <w:rFonts w:ascii="Calibri" w:cs="Calibri" w:eastAsia="Calibri" w:hAnsi="Calibri"/>
          <w:b w:val="false"/>
          <w:bCs w:val="false"/>
          <w:i w:val="false"/>
          <w:iCs w:val="false"/>
          <w:color w:val="000000"/>
          <w:sz w:val="22"/>
          <w:szCs w:val="22"/>
        </w:rPr>
        <w:t xml:space="preserve">This topic was deliberately chosen instead of a generic public dataset (sales, Titanic, housing prices, etc.) to demonstrate an end-to-end data science workflow grounded in an actual embedded systems context, aligning data science practice with real hardware behaviour rather than a purely academic exercise.</w:t>
      </w:r>
    </w:p>
    <w:p>
      <w:pPr>
        <w:pStyle w:val="Heading1"/>
        <w:pBdr>
          <w:bottom w:val="single" w:color="2E74B5" w:sz="6" w:space="4"/>
        </w:pBdr>
        <w:spacing w:after="200" w:before="400"/>
      </w:pPr>
      <w:r>
        <w:rPr>
          <w:rFonts w:ascii="Calibri" w:cs="Calibri" w:eastAsia="Calibri" w:hAnsi="Calibri"/>
          <w:b/>
          <w:bCs/>
          <w:color w:val="1F3864"/>
          <w:sz w:val="30"/>
          <w:szCs w:val="30"/>
        </w:rPr>
        <w:t xml:space="preserve">2. Background and Research Rationale</w:t>
      </w:r>
    </w:p>
    <w:p>
      <w:pPr>
        <w:spacing w:after="160" w:line="276"/>
        <w:jc w:val="both"/>
      </w:pPr>
      <w:r>
        <w:rPr>
          <w:rFonts w:ascii="Calibri" w:cs="Calibri" w:eastAsia="Calibri" w:hAnsi="Calibri"/>
          <w:b w:val="false"/>
          <w:bCs w:val="false"/>
          <w:i w:val="false"/>
          <w:iCs w:val="false"/>
          <w:color w:val="000000"/>
          <w:sz w:val="22"/>
          <w:szCs w:val="22"/>
        </w:rPr>
        <w:t xml:space="preserve">Predictive maintenance is a well-established application of data science in industrial and robotics contexts. Instead of maintaining equipment on a fixed schedule (preventive maintenance) or only after failure (reactive maintenance), predictive maintenance uses sensor data and statistical models to estimate when a component is likely to fail, allowing intervention at the optimal time. This approach is widely used in manufacturing, aerospace, and increasingly in consumer and hobbyist robotics as sensors and microcontrollers (ESP32, ESP8266, Arduino-class boards) have become inexpensive enough to instrument small-scale systems.</w:t>
      </w:r>
    </w:p>
    <w:p>
      <w:pPr>
        <w:spacing w:after="160" w:line="276"/>
        <w:jc w:val="both"/>
      </w:pPr>
      <w:r>
        <w:rPr>
          <w:rFonts w:ascii="Calibri" w:cs="Calibri" w:eastAsia="Calibri" w:hAnsi="Calibri"/>
          <w:b w:val="false"/>
          <w:bCs w:val="false"/>
          <w:i w:val="false"/>
          <w:iCs w:val="false"/>
          <w:color w:val="000000"/>
          <w:sz w:val="22"/>
          <w:szCs w:val="22"/>
        </w:rPr>
        <w:t xml:space="preserve">Relevant background areas informing this project:</w:t>
      </w:r>
    </w:p>
    <w:p>
      <w:pPr>
        <w:pStyle w:val="ListParagraph"/>
        <w:numPr>
          <w:ilvl w:val="0"/>
          <w:numId w:val="2"/>
        </w:numPr>
        <w:spacing w:after="80"/>
      </w:pPr>
      <w:r>
        <w:rPr>
          <w:rFonts w:ascii="Calibri" w:cs="Calibri" w:eastAsia="Calibri" w:hAnsi="Calibri"/>
          <w:sz w:val="22"/>
          <w:szCs w:val="22"/>
        </w:rPr>
        <w:t xml:space="preserve">Time-series and signal analysis: motor current and voltage traces are time-dependent signals; standard techniques include rolling statistics, smoothing, and change-point detection to identify anomalies.</w:t>
      </w:r>
    </w:p>
    <w:p>
      <w:pPr>
        <w:pStyle w:val="ListParagraph"/>
        <w:numPr>
          <w:ilvl w:val="0"/>
          <w:numId w:val="2"/>
        </w:numPr>
        <w:spacing w:after="80"/>
      </w:pPr>
      <w:r>
        <w:rPr>
          <w:rFonts w:ascii="Calibri" w:cs="Calibri" w:eastAsia="Calibri" w:hAnsi="Calibri"/>
          <w:sz w:val="22"/>
          <w:szCs w:val="22"/>
        </w:rPr>
        <w:t xml:space="preserve">Sensor noise characteristics in low-cost embedded hardware: IR sensor arrays (e.g., QTR-8C style) and ADC-based current/voltage sensing on boards such as ESP8266/ESP32 exhibit quantization noise and drift, which any analysis pipeline must account for.</w:t>
      </w:r>
    </w:p>
    <w:p>
      <w:pPr>
        <w:pStyle w:val="ListParagraph"/>
        <w:numPr>
          <w:ilvl w:val="0"/>
          <w:numId w:val="2"/>
        </w:numPr>
        <w:spacing w:after="80"/>
      </w:pPr>
      <w:r>
        <w:rPr>
          <w:rFonts w:ascii="Calibri" w:cs="Calibri" w:eastAsia="Calibri" w:hAnsi="Calibri"/>
          <w:sz w:val="22"/>
          <w:szCs w:val="22"/>
        </w:rPr>
        <w:t xml:space="preserve">Classical predictive-maintenance literature (e.g., remaining-useful-life estimation, condition-based monitoring) provides the modelling framing, adapted here to a small-scale, resource-constrained platform.</w:t>
      </w:r>
    </w:p>
    <w:p>
      <w:pPr>
        <w:pStyle w:val="ListParagraph"/>
        <w:numPr>
          <w:ilvl w:val="0"/>
          <w:numId w:val="2"/>
        </w:numPr>
        <w:spacing w:after="80"/>
      </w:pPr>
      <w:r>
        <w:rPr>
          <w:rFonts w:ascii="Calibri" w:cs="Calibri" w:eastAsia="Calibri" w:hAnsi="Calibri"/>
          <w:sz w:val="22"/>
          <w:szCs w:val="22"/>
        </w:rPr>
        <w:t xml:space="preserve">R's ecosystem for this work: tidyverse for wrangling, ggplot2 for visualization, caret/tidymodels for model training and cross-validation, and zoo or slider for rolling time-series features.</w:t>
      </w:r>
    </w:p>
    <w:p>
      <w:pPr>
        <w:spacing w:after="160" w:line="276"/>
        <w:jc w:val="both"/>
      </w:pPr>
      <w:r>
        <w:rPr>
          <w:rFonts w:ascii="Calibri" w:cs="Calibri" w:eastAsia="Calibri" w:hAnsi="Calibri"/>
          <w:b w:val="false"/>
          <w:bCs w:val="false"/>
          <w:i w:val="false"/>
          <w:iCs w:val="false"/>
          <w:color w:val="000000"/>
          <w:sz w:val="22"/>
          <w:szCs w:val="22"/>
        </w:rPr>
        <w:t xml:space="preserve">Where live hardware logging is not feasible within the Week 1–2 timeline, a fallback of a representative public IoT/sensor telemetry dataset (e.g., a UCI or Kaggle predictive-maintenance dataset) will be substituted, with the modelling approach kept identical so the pipeline remains transferable to the actual robotics hardware later.</w:t>
      </w:r>
    </w:p>
    <w:p>
      <w:pPr>
        <w:pStyle w:val="Heading1"/>
        <w:pBdr>
          <w:bottom w:val="single" w:color="2E74B5" w:sz="6" w:space="4"/>
        </w:pBdr>
        <w:spacing w:after="200" w:before="400"/>
      </w:pPr>
      <w:r>
        <w:rPr>
          <w:rFonts w:ascii="Calibri" w:cs="Calibri" w:eastAsia="Calibri" w:hAnsi="Calibri"/>
          <w:b/>
          <w:bCs/>
          <w:color w:val="1F3864"/>
          <w:sz w:val="30"/>
          <w:szCs w:val="30"/>
        </w:rPr>
        <w:t xml:space="preserve">3. Project Scope</w:t>
      </w:r>
    </w:p>
    <w:p>
      <w:pPr>
        <w:pStyle w:val="Heading3"/>
        <w:spacing w:after="100" w:before="200"/>
      </w:pPr>
      <w:r>
        <w:rPr>
          <w:rFonts w:ascii="Calibri" w:cs="Calibri" w:eastAsia="Calibri" w:hAnsi="Calibri"/>
          <w:b/>
          <w:bCs/>
          <w:color w:val="595959"/>
          <w:sz w:val="22"/>
          <w:szCs w:val="22"/>
        </w:rPr>
        <w:t xml:space="preserve">In Scope</w:t>
      </w:r>
    </w:p>
    <w:p>
      <w:pPr>
        <w:pStyle w:val="ListParagraph"/>
        <w:numPr>
          <w:ilvl w:val="0"/>
          <w:numId w:val="2"/>
        </w:numPr>
        <w:spacing w:after="80"/>
      </w:pPr>
      <w:r>
        <w:rPr>
          <w:rFonts w:ascii="Calibri" w:cs="Calibri" w:eastAsia="Calibri" w:hAnsi="Calibri"/>
          <w:sz w:val="22"/>
          <w:szCs w:val="22"/>
        </w:rPr>
        <w:t xml:space="preserve">Data acquisition planning and/or sourcing of a representative sensor dataset.</w:t>
      </w:r>
    </w:p>
    <w:p>
      <w:pPr>
        <w:pStyle w:val="ListParagraph"/>
        <w:numPr>
          <w:ilvl w:val="0"/>
          <w:numId w:val="2"/>
        </w:numPr>
        <w:spacing w:after="80"/>
      </w:pPr>
      <w:r>
        <w:rPr>
          <w:rFonts w:ascii="Calibri" w:cs="Calibri" w:eastAsia="Calibri" w:hAnsi="Calibri"/>
          <w:sz w:val="22"/>
          <w:szCs w:val="22"/>
        </w:rPr>
        <w:t xml:space="preserve">Data cleaning, transformation, and feature engineering in R.</w:t>
      </w:r>
    </w:p>
    <w:p>
      <w:pPr>
        <w:pStyle w:val="ListParagraph"/>
        <w:numPr>
          <w:ilvl w:val="0"/>
          <w:numId w:val="2"/>
        </w:numPr>
        <w:spacing w:after="80"/>
      </w:pPr>
      <w:r>
        <w:rPr>
          <w:rFonts w:ascii="Calibri" w:cs="Calibri" w:eastAsia="Calibri" w:hAnsi="Calibri"/>
          <w:sz w:val="22"/>
          <w:szCs w:val="22"/>
        </w:rPr>
        <w:t xml:space="preserve">Exploratory data analysis with visualizations.</w:t>
      </w:r>
    </w:p>
    <w:p>
      <w:pPr>
        <w:pStyle w:val="ListParagraph"/>
        <w:numPr>
          <w:ilvl w:val="0"/>
          <w:numId w:val="2"/>
        </w:numPr>
        <w:spacing w:after="80"/>
      </w:pPr>
      <w:r>
        <w:rPr>
          <w:rFonts w:ascii="Calibri" w:cs="Calibri" w:eastAsia="Calibri" w:hAnsi="Calibri"/>
          <w:sz w:val="22"/>
          <w:szCs w:val="22"/>
        </w:rPr>
        <w:t xml:space="preserve">Development and evaluation of at least one predictive model (baseline + one improved model).</w:t>
      </w:r>
    </w:p>
    <w:p>
      <w:pPr>
        <w:pStyle w:val="ListParagraph"/>
        <w:numPr>
          <w:ilvl w:val="0"/>
          <w:numId w:val="2"/>
        </w:numPr>
        <w:spacing w:after="80"/>
      </w:pPr>
      <w:r>
        <w:rPr>
          <w:rFonts w:ascii="Calibri" w:cs="Calibri" w:eastAsia="Calibri" w:hAnsi="Calibri"/>
          <w:sz w:val="22"/>
          <w:szCs w:val="22"/>
        </w:rPr>
        <w:t xml:space="preserve">A written report and presentation-ready summary of findings.</w:t>
      </w:r>
    </w:p>
    <w:p>
      <w:pPr>
        <w:pStyle w:val="Heading3"/>
        <w:spacing w:after="100" w:before="200"/>
      </w:pPr>
      <w:r>
        <w:rPr>
          <w:rFonts w:ascii="Calibri" w:cs="Calibri" w:eastAsia="Calibri" w:hAnsi="Calibri"/>
          <w:b/>
          <w:bCs/>
          <w:color w:val="595959"/>
          <w:sz w:val="22"/>
          <w:szCs w:val="22"/>
        </w:rPr>
        <w:t xml:space="preserve">Out of Scope</w:t>
      </w:r>
    </w:p>
    <w:p>
      <w:pPr>
        <w:pStyle w:val="ListParagraph"/>
        <w:numPr>
          <w:ilvl w:val="0"/>
          <w:numId w:val="2"/>
        </w:numPr>
        <w:spacing w:after="80"/>
      </w:pPr>
      <w:r>
        <w:rPr>
          <w:rFonts w:ascii="Calibri" w:cs="Calibri" w:eastAsia="Calibri" w:hAnsi="Calibri"/>
          <w:sz w:val="22"/>
          <w:szCs w:val="22"/>
        </w:rPr>
        <w:t xml:space="preserve">Real-time deployment of the model onto embedded hardware (flagged as a future extension).</w:t>
      </w:r>
    </w:p>
    <w:p>
      <w:pPr>
        <w:pStyle w:val="ListParagraph"/>
        <w:numPr>
          <w:ilvl w:val="0"/>
          <w:numId w:val="2"/>
        </w:numPr>
        <w:spacing w:after="80"/>
      </w:pPr>
      <w:r>
        <w:rPr>
          <w:rFonts w:ascii="Calibri" w:cs="Calibri" w:eastAsia="Calibri" w:hAnsi="Calibri"/>
          <w:sz w:val="22"/>
          <w:szCs w:val="22"/>
        </w:rPr>
        <w:t xml:space="preserve">Large-scale data collection requiring custom PCB or long-duration field logging beyond the internship timeline.</w:t>
      </w:r>
    </w:p>
    <w:p>
      <w:pPr>
        <w:pStyle w:val="ListParagraph"/>
        <w:numPr>
          <w:ilvl w:val="0"/>
          <w:numId w:val="2"/>
        </w:numPr>
        <w:spacing w:after="80"/>
      </w:pPr>
      <w:r>
        <w:rPr>
          <w:rFonts w:ascii="Calibri" w:cs="Calibri" w:eastAsia="Calibri" w:hAnsi="Calibri"/>
          <w:sz w:val="22"/>
          <w:szCs w:val="22"/>
        </w:rPr>
        <w:t xml:space="preserve">Production-grade MLOps (model serving infrastructure, CI/CD, monitoring dashboards).</w:t>
      </w:r>
    </w:p>
    <w:p>
      <w:pPr>
        <w:pStyle w:val="Heading1"/>
        <w:pBdr>
          <w:bottom w:val="single" w:color="2E74B5" w:sz="6" w:space="4"/>
        </w:pBdr>
        <w:spacing w:after="200" w:before="400"/>
      </w:pPr>
      <w:r>
        <w:rPr>
          <w:rFonts w:ascii="Calibri" w:cs="Calibri" w:eastAsia="Calibri" w:hAnsi="Calibri"/>
          <w:b/>
          <w:bCs/>
          <w:color w:val="1F3864"/>
          <w:sz w:val="30"/>
          <w:szCs w:val="30"/>
        </w:rPr>
        <w:t xml:space="preserve">4. Methodology and Project Phases</w:t>
      </w:r>
    </w:p>
    <w:p>
      <w:pPr>
        <w:spacing w:after="160" w:line="276"/>
        <w:jc w:val="both"/>
      </w:pPr>
      <w:r>
        <w:rPr>
          <w:rFonts w:ascii="Calibri" w:cs="Calibri" w:eastAsia="Calibri" w:hAnsi="Calibri"/>
          <w:b w:val="false"/>
          <w:bCs w:val="false"/>
          <w:i w:val="false"/>
          <w:iCs w:val="false"/>
          <w:color w:val="000000"/>
          <w:sz w:val="22"/>
          <w:szCs w:val="22"/>
        </w:rPr>
        <w:t xml:space="preserve">The project follows a standard applied data science lifecycle (CRISP-DM-inspired), broken into seven phases across a four-week window. The Gantt-style summary below shows phase overlap, followed by a detailed breakdown with effort estimates totalling the 30–35 hour budget.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800"/>
        <w:gridCol w:w="950"/>
        <w:gridCol w:w="950"/>
        <w:gridCol w:w="950"/>
        <w:gridCol w:w="950"/>
      </w:tblGrid>
      <w:tr>
        <w:trPr>
          <w:tblHeader/>
        </w:trPr>
        <w:tc>
          <w:tcPr>
            <w:tcW w:type="dxa" w:w="38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Project Phase</w:t>
            </w:r>
          </w:p>
        </w:tc>
        <w:tc>
          <w:tcPr>
            <w:tcW w:type="dxa" w:w="9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Wk1</w:t>
            </w:r>
          </w:p>
        </w:tc>
        <w:tc>
          <w:tcPr>
            <w:tcW w:type="dxa" w:w="9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Wk2</w:t>
            </w:r>
          </w:p>
        </w:tc>
        <w:tc>
          <w:tcPr>
            <w:tcW w:type="dxa" w:w="9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Wk3</w:t>
            </w:r>
          </w:p>
        </w:tc>
        <w:tc>
          <w:tcPr>
            <w:tcW w:type="dxa" w:w="95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Wk4</w:t>
            </w:r>
          </w:p>
        </w:tc>
      </w:tr>
      <w:tr>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Phase 1: Planning &amp; Setup</w:t>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r>
      <w:tr>
        <w:tc>
          <w:tcPr>
            <w:tcW w:type="dxa" w:w="380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Phase 2: Data Acquisition</w:t>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r>
      <w:tr>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Phase 3: Data Cleaning &amp; Wrangling</w:t>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r>
      <w:tr>
        <w:tc>
          <w:tcPr>
            <w:tcW w:type="dxa" w:w="380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Phase 4: Exploratory Data Analysis</w:t>
            </w:r>
          </w:p>
        </w:tc>
        <w:tc>
          <w:tcPr>
            <w:tcW w:type="dxa" w:w="950"/>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r>
      <w:tr>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Phase 5: Model Development</w:t>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r>
      <w:tr>
        <w:tc>
          <w:tcPr>
            <w:tcW w:type="dxa" w:w="380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Phase 6: Validation &amp; Testing</w:t>
            </w:r>
          </w:p>
        </w:tc>
        <w:tc>
          <w:tcPr>
            <w:tcW w:type="dxa" w:w="950"/>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F2F2F2"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r>
      <w:tr>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Phase 7: Reporting &amp; Documentation</w:t>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w:r>
          </w:p>
        </w:tc>
        <w:tc>
          <w:tcPr>
            <w:tcW w:type="dxa" w:w="950"/>
            <w:shd w:fill="2E74B5"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E74B5"/>
                <w:sz w:val="20"/>
                <w:szCs w:val="20"/>
              </w:rPr>
              <w:t xml:space="preserve">███</w:t>
            </w:r>
          </w:p>
        </w:tc>
      </w:tr>
    </w:tbl>
    <w:p>
      <w:pPr>
        <w:spacing w:after="240" w:before="60"/>
        <w:jc w:val="center"/>
      </w:pPr>
      <w:r>
        <w:rPr>
          <w:rFonts w:ascii="Calibri" w:cs="Calibri" w:eastAsia="Calibri" w:hAnsi="Calibri"/>
          <w:i/>
          <w:iCs/>
          <w:color w:val="595959"/>
          <w:sz w:val="18"/>
          <w:szCs w:val="18"/>
        </w:rPr>
        <w:t xml:space="preserve">Figure 1: High-level phase timeline across the 4-week execution window.</w:t>
      </w:r>
    </w:p>
    <w:p>
      <w:pPr>
        <w:pStyle w:val="Heading2"/>
        <w:spacing w:after="150" w:before="300"/>
      </w:pPr>
      <w:r>
        <w:rPr>
          <w:rFonts w:ascii="Calibri" w:cs="Calibri" w:eastAsia="Calibri" w:hAnsi="Calibri"/>
          <w:b/>
          <w:bCs/>
          <w:color w:val="2E74B5"/>
          <w:sz w:val="25"/>
          <w:szCs w:val="25"/>
        </w:rPr>
        <w:t xml:space="preserve">4.1 Detailed Phase Breakdown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600"/>
        <w:gridCol w:w="1600"/>
      </w:tblGrid>
      <w:tr>
        <w:trPr>
          <w:tblHeader/>
        </w:trPr>
        <w:tc>
          <w:tcPr>
            <w:tcW w:type="dxa" w:w="14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Phase</w:t>
            </w:r>
          </w:p>
        </w:tc>
        <w:tc>
          <w:tcPr>
            <w:tcW w:type="dxa" w:w="33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Key Activities</w:t>
            </w:r>
          </w:p>
        </w:tc>
        <w:tc>
          <w:tcPr>
            <w:tcW w:type="dxa" w:w="2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Deliverable</w:t>
            </w:r>
          </w:p>
        </w:tc>
        <w:tc>
          <w:tcPr>
            <w:tcW w:type="dxa" w:w="1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 Hours</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1
Planning &amp; Setup</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Define objective and scope; set up R/RStudio environment and project (renv) structure; identify data source (hardware log or fallback dataset).</w:t>
            </w:r>
          </w:p>
        </w:tc>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Project charter (this document); configured R project</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 hrs</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2
Data Acquisition</w:t>
            </w:r>
          </w:p>
        </w:tc>
        <w:tc>
          <w:tcPr>
            <w:tcW w:type="dxa" w:w="3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 or download sensor telemetry (motor current, voltage, IR array); document data dictionary and collection method.</w:t>
            </w:r>
          </w:p>
        </w:tc>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Raw dataset + data dictionary</w:t>
            </w:r>
          </w:p>
        </w:tc>
        <w:tc>
          <w:tcPr>
            <w:tcW w:type="dxa" w:w="1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 hrs</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3
Data Cleaning</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Handle missing values, remove sensor noise/outliers, align timestamps, engineer rolling-window features.</w:t>
            </w:r>
          </w:p>
        </w:tc>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Cleaned, analysis-ready dataset</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 hrs</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4
Exploratory Analysis</w:t>
            </w:r>
          </w:p>
        </w:tc>
        <w:tc>
          <w:tcPr>
            <w:tcW w:type="dxa" w:w="3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Summary statistics, distribution plots, correlation analysis, time-series visualizations of pre-failure patterns.</w:t>
            </w:r>
          </w:p>
        </w:tc>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EDA report with visualizations</w:t>
            </w:r>
          </w:p>
        </w:tc>
        <w:tc>
          <w:tcPr>
            <w:tcW w:type="dxa" w:w="1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 hrs</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5
Model Development</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Train/test split, baseline model (logistic regression), improved model (random forest / gradient boosting), hyperparameter tuning.</w:t>
            </w:r>
          </w:p>
        </w:tc>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Trained R model objects</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 hrs</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6
Validation &amp; Testing</w:t>
            </w:r>
          </w:p>
        </w:tc>
        <w:tc>
          <w:tcPr>
            <w:tcW w:type="dxa" w:w="3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Cross-validation, confusion matrix / RMSE evaluation, sensitivity checks, model comparison.</w:t>
            </w:r>
          </w:p>
        </w:tc>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Validation metrics summary</w:t>
            </w:r>
          </w:p>
        </w:tc>
        <w:tc>
          <w:tcPr>
            <w:tcW w:type="dxa" w:w="1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 hrs</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7
Reporting</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Compile findings into a written report and slide summary; document reproducibility (R Markdown).</w:t>
            </w:r>
          </w:p>
        </w:tc>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Final report + R Markdown notebook</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 hrs</w:t>
            </w:r>
          </w:p>
        </w:tc>
      </w:tr>
      <w:tr>
        <w:tc>
          <w:tcPr>
            <w:tcW w:type="dxa" w:w="1400"/>
            <w:shd w:fill="DCE6F1"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Total</w:t>
            </w:r>
          </w:p>
        </w:tc>
        <w:tc>
          <w:tcPr>
            <w:tcW w:type="dxa" w:w="3300"/>
            <w:shd w:fill="DCE6F1"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600"/>
            <w:shd w:fill="DCE6F1"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600"/>
            <w:shd w:fill="DCE6F1" w:color="auto"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34 hrs</w:t>
            </w:r>
          </w:p>
        </w:tc>
      </w:tr>
    </w:tbl>
    <w:p>
      <w:pPr>
        <w:spacing w:after="240" w:before="60"/>
        <w:jc w:val="center"/>
      </w:pPr>
      <w:r>
        <w:rPr>
          <w:rFonts w:ascii="Calibri" w:cs="Calibri" w:eastAsia="Calibri" w:hAnsi="Calibri"/>
          <w:i/>
          <w:iCs/>
          <w:color w:val="595959"/>
          <w:sz w:val="18"/>
          <w:szCs w:val="18"/>
        </w:rPr>
        <w:t xml:space="preserve">Table 1: Phase-wise activities, deliverables, and effort estimate (within the 30–35 hour budget).</w:t>
      </w:r>
    </w:p>
    <w:p>
      <w:pPr>
        <w:pStyle w:val="Heading2"/>
        <w:spacing w:after="150" w:before="300"/>
      </w:pPr>
      <w:r>
        <w:rPr>
          <w:rFonts w:ascii="Calibri" w:cs="Calibri" w:eastAsia="Calibri" w:hAnsi="Calibri"/>
          <w:b/>
          <w:bCs/>
          <w:color w:val="2E74B5"/>
          <w:sz w:val="25"/>
          <w:szCs w:val="25"/>
        </w:rPr>
        <w:t xml:space="preserve">4.2 Tools and Technical Approach</w:t>
      </w:r>
    </w:p>
    <w:p>
      <w:pPr>
        <w:pStyle w:val="ListParagraph"/>
        <w:numPr>
          <w:ilvl w:val="0"/>
          <w:numId w:val="2"/>
        </w:numPr>
        <w:spacing w:after="80"/>
      </w:pPr>
      <w:r>
        <w:rPr>
          <w:rFonts w:ascii="Calibri" w:cs="Calibri" w:eastAsia="Calibri" w:hAnsi="Calibri"/>
          <w:sz w:val="22"/>
          <w:szCs w:val="22"/>
        </w:rPr>
        <w:t xml:space="preserve">Language/Environment: R 4.x, RStudio, renv for dependency management.</w:t>
      </w:r>
    </w:p>
    <w:p>
      <w:pPr>
        <w:pStyle w:val="ListParagraph"/>
        <w:numPr>
          <w:ilvl w:val="0"/>
          <w:numId w:val="2"/>
        </w:numPr>
        <w:spacing w:after="80"/>
      </w:pPr>
      <w:r>
        <w:rPr>
          <w:rFonts w:ascii="Calibri" w:cs="Calibri" w:eastAsia="Calibri" w:hAnsi="Calibri"/>
          <w:sz w:val="22"/>
          <w:szCs w:val="22"/>
        </w:rPr>
        <w:t xml:space="preserve">Data wrangling: tidyverse (dplyr, tidyr), lubridate for timestamps.</w:t>
      </w:r>
    </w:p>
    <w:p>
      <w:pPr>
        <w:pStyle w:val="ListParagraph"/>
        <w:numPr>
          <w:ilvl w:val="0"/>
          <w:numId w:val="2"/>
        </w:numPr>
        <w:spacing w:after="80"/>
      </w:pPr>
      <w:r>
        <w:rPr>
          <w:rFonts w:ascii="Calibri" w:cs="Calibri" w:eastAsia="Calibri" w:hAnsi="Calibri"/>
          <w:sz w:val="22"/>
          <w:szCs w:val="22"/>
        </w:rPr>
        <w:t xml:space="preserve">Visualization: ggplot2, patchwork for multi-panel figures.</w:t>
      </w:r>
    </w:p>
    <w:p>
      <w:pPr>
        <w:pStyle w:val="ListParagraph"/>
        <w:numPr>
          <w:ilvl w:val="0"/>
          <w:numId w:val="2"/>
        </w:numPr>
        <w:spacing w:after="80"/>
      </w:pPr>
      <w:r>
        <w:rPr>
          <w:rFonts w:ascii="Calibri" w:cs="Calibri" w:eastAsia="Calibri" w:hAnsi="Calibri"/>
          <w:sz w:val="22"/>
          <w:szCs w:val="22"/>
        </w:rPr>
        <w:t xml:space="preserve">Modelling: caret or tidymodels; randomForest / xgboost for the improved model; glm for the baseline.</w:t>
      </w:r>
    </w:p>
    <w:p>
      <w:pPr>
        <w:pStyle w:val="ListParagraph"/>
        <w:numPr>
          <w:ilvl w:val="0"/>
          <w:numId w:val="2"/>
        </w:numPr>
        <w:spacing w:after="80"/>
      </w:pPr>
      <w:r>
        <w:rPr>
          <w:rFonts w:ascii="Calibri" w:cs="Calibri" w:eastAsia="Calibri" w:hAnsi="Calibri"/>
          <w:sz w:val="22"/>
          <w:szCs w:val="22"/>
        </w:rPr>
        <w:t xml:space="preserve">Reproducibility: R Markdown (.Rmd) notebook rendering to HTML/PDF, version-controlled via Git.</w:t>
      </w:r>
    </w:p>
    <w:p>
      <w:pPr>
        <w:pStyle w:val="Heading1"/>
        <w:pBdr>
          <w:bottom w:val="single" w:color="2E74B5" w:sz="6" w:space="4"/>
        </w:pBdr>
        <w:spacing w:after="200" w:before="400"/>
      </w:pPr>
      <w:r>
        <w:rPr>
          <w:rFonts w:ascii="Calibri" w:cs="Calibri" w:eastAsia="Calibri" w:hAnsi="Calibri"/>
          <w:b/>
          <w:bCs/>
          <w:color w:val="1F3864"/>
          <w:sz w:val="30"/>
          <w:szCs w:val="30"/>
        </w:rPr>
        <w:t xml:space="preserve">5. Roles and Responsibilities</w:t>
      </w:r>
    </w:p>
    <w:p>
      <w:pPr>
        <w:spacing w:after="160" w:line="276"/>
        <w:jc w:val="both"/>
      </w:pPr>
      <w:r>
        <w:rPr>
          <w:rFonts w:ascii="Calibri" w:cs="Calibri" w:eastAsia="Calibri" w:hAnsi="Calibri"/>
          <w:b w:val="false"/>
          <w:bCs w:val="false"/>
          <w:i w:val="false"/>
          <w:iCs w:val="false"/>
          <w:color w:val="000000"/>
          <w:sz w:val="22"/>
          <w:szCs w:val="22"/>
        </w:rPr>
        <w:t xml:space="preserve">As this is an individually executed project, all roles below are assumed by the same person (Abhishek), with responsibilities separated to ensure each function of a real project team is deliberately covered rather than blurred together.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100"/>
      </w:tblGrid>
      <w:tr>
        <w:trPr>
          <w:tblHeader/>
        </w:trPr>
        <w:tc>
          <w:tcPr>
            <w:tcW w:type="dxa" w:w="2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Role</w:t>
            </w:r>
          </w:p>
        </w:tc>
        <w:tc>
          <w:tcPr>
            <w:tcW w:type="dxa" w:w="3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Responsibilities</w:t>
            </w:r>
          </w:p>
        </w:tc>
        <w:tc>
          <w:tcPr>
            <w:tcW w:type="dxa" w:w="31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Primary Phases</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Project Manager</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Owns the schedule and scope; tracks progress against the 30–35 hour budget; manages risk register; ensures deliverables meet evaluation criteria.</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1, 7 (ongoing oversight)</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Analyst</w:t>
            </w:r>
          </w:p>
        </w:tc>
        <w:tc>
          <w:tcPr>
            <w:tcW w:type="dxa" w:w="3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Explores and interprets the dataset; performs statistical analysis and produces visualizations; identifies meaningful patterns and anomalies.</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3, 4</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Programmer / Data Engineer</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Writes and maintains R code for data cleaning, feature engineering, and pipeline automation; ensures code is modular and reproducible.</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2, 3, 5</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Scientist / Modeller</w:t>
            </w:r>
          </w:p>
        </w:tc>
        <w:tc>
          <w:tcPr>
            <w:tcW w:type="dxa" w:w="3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Selects modelling approach, trains and validates models, tunes hyperparameters, interprets model performance.</w:t>
            </w:r>
          </w:p>
        </w:tc>
        <w:tc>
          <w:tcPr>
            <w:tcW w:type="dxa" w:w="3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5, 6</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Technical Writer</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Documents methodology and results in the final report; prepares the R Markdown notebook and any presentation summary.</w:t>
            </w:r>
          </w:p>
        </w:tc>
        <w:tc>
          <w:tcPr>
            <w:tcW w:type="dxa" w:w="3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Phase 7</w:t>
            </w:r>
          </w:p>
        </w:tc>
      </w:tr>
    </w:tbl>
    <w:p>
      <w:pPr>
        <w:spacing w:after="240" w:before="60"/>
        <w:jc w:val="center"/>
      </w:pPr>
      <w:r>
        <w:rPr>
          <w:rFonts w:ascii="Calibri" w:cs="Calibri" w:eastAsia="Calibri" w:hAnsi="Calibri"/>
          <w:i/>
          <w:iCs/>
          <w:color w:val="595959"/>
          <w:sz w:val="18"/>
          <w:szCs w:val="18"/>
        </w:rPr>
        <w:t xml:space="preserve">Table 2: Role definitions mapped to project phases.</w:t>
      </w:r>
    </w:p>
    <w:p>
      <w:pPr>
        <w:pStyle w:val="Heading1"/>
        <w:pBdr>
          <w:bottom w:val="single" w:color="2E74B5" w:sz="6" w:space="4"/>
        </w:pBdr>
        <w:spacing w:after="200" w:before="400"/>
      </w:pPr>
      <w:r>
        <w:rPr>
          <w:rFonts w:ascii="Calibri" w:cs="Calibri" w:eastAsia="Calibri" w:hAnsi="Calibri"/>
          <w:b/>
          <w:bCs/>
          <w:color w:val="1F3864"/>
          <w:sz w:val="30"/>
          <w:szCs w:val="30"/>
        </w:rPr>
        <w:t xml:space="preserve">6. Resource Allocation</w:t>
      </w:r>
    </w:p>
    <w:p>
      <w:pPr>
        <w:pStyle w:val="Heading3"/>
        <w:spacing w:after="100" w:before="200"/>
      </w:pPr>
      <w:r>
        <w:rPr>
          <w:rFonts w:ascii="Calibri" w:cs="Calibri" w:eastAsia="Calibri" w:hAnsi="Calibri"/>
          <w:b/>
          <w:bCs/>
          <w:color w:val="595959"/>
          <w:sz w:val="22"/>
          <w:szCs w:val="22"/>
        </w:rPr>
        <w:t xml:space="preserve">6.1 Time Budget</w:t>
      </w:r>
    </w:p>
    <w:p>
      <w:pPr>
        <w:spacing w:after="160" w:line="276"/>
        <w:jc w:val="both"/>
      </w:pPr>
      <w:r>
        <w:rPr>
          <w:rFonts w:ascii="Calibri" w:cs="Calibri" w:eastAsia="Calibri" w:hAnsi="Calibri"/>
          <w:b w:val="false"/>
          <w:bCs w:val="false"/>
          <w:i w:val="false"/>
          <w:iCs w:val="false"/>
          <w:color w:val="000000"/>
          <w:sz w:val="22"/>
          <w:szCs w:val="22"/>
        </w:rPr>
        <w:t xml:space="preserve">Total estimated effort: 30–35 hours, allocated as shown in Table 1 (Section 4.1), with a 1-hour contingency buffer distributed across Phases 3 and 5 where effort is most likely to overrun (data cleaning and model tuning are historically the least predictable stages of a data science project).</w:t>
      </w:r>
    </w:p>
    <w:p>
      <w:pPr>
        <w:pStyle w:val="Heading3"/>
        <w:spacing w:after="100" w:before="200"/>
      </w:pPr>
      <w:r>
        <w:rPr>
          <w:rFonts w:ascii="Calibri" w:cs="Calibri" w:eastAsia="Calibri" w:hAnsi="Calibri"/>
          <w:b/>
          <w:bCs/>
          <w:color w:val="595959"/>
          <w:sz w:val="22"/>
          <w:szCs w:val="22"/>
        </w:rPr>
        <w:t xml:space="preserve">6.2 Technical Resources</w:t>
      </w:r>
    </w:p>
    <w:p>
      <w:pPr>
        <w:pStyle w:val="ListParagraph"/>
        <w:numPr>
          <w:ilvl w:val="0"/>
          <w:numId w:val="2"/>
        </w:numPr>
        <w:spacing w:after="80"/>
      </w:pPr>
      <w:r>
        <w:rPr>
          <w:rFonts w:ascii="Calibri" w:cs="Calibri" w:eastAsia="Calibri" w:hAnsi="Calibri"/>
          <w:sz w:val="22"/>
          <w:szCs w:val="22"/>
        </w:rPr>
        <w:t xml:space="preserve">Hardware: laptop/desktop with R 4.x and RStudio installed; optional — ESP32/ESP8266-based robotics platform and USB/serial connection for live telemetry logging.</w:t>
      </w:r>
    </w:p>
    <w:p>
      <w:pPr>
        <w:pStyle w:val="ListParagraph"/>
        <w:numPr>
          <w:ilvl w:val="0"/>
          <w:numId w:val="2"/>
        </w:numPr>
        <w:spacing w:after="80"/>
      </w:pPr>
      <w:r>
        <w:rPr>
          <w:rFonts w:ascii="Calibri" w:cs="Calibri" w:eastAsia="Calibri" w:hAnsi="Calibri"/>
          <w:sz w:val="22"/>
          <w:szCs w:val="22"/>
        </w:rPr>
        <w:t xml:space="preserve">Software: R, RStudio, Git, R Markdown, relevant CRAN packages (tidyverse, caret/tidymodels, ggplot2, randomForest/xgboost).</w:t>
      </w:r>
    </w:p>
    <w:p>
      <w:pPr>
        <w:pStyle w:val="ListParagraph"/>
        <w:numPr>
          <w:ilvl w:val="0"/>
          <w:numId w:val="2"/>
        </w:numPr>
        <w:spacing w:after="80"/>
      </w:pPr>
      <w:r>
        <w:rPr>
          <w:rFonts w:ascii="Calibri" w:cs="Calibri" w:eastAsia="Calibri" w:hAnsi="Calibri"/>
          <w:sz w:val="22"/>
          <w:szCs w:val="22"/>
        </w:rPr>
        <w:t xml:space="preserve">Data: either self-logged sensor telemetry from an existing robotics build, or a fallback public predictive-maintenance/IoT sensor dataset.</w:t>
      </w:r>
    </w:p>
    <w:p>
      <w:pPr>
        <w:pStyle w:val="Heading3"/>
        <w:spacing w:after="100" w:before="200"/>
      </w:pPr>
      <w:r>
        <w:rPr>
          <w:rFonts w:ascii="Calibri" w:cs="Calibri" w:eastAsia="Calibri" w:hAnsi="Calibri"/>
          <w:b/>
          <w:bCs/>
          <w:color w:val="595959"/>
          <w:sz w:val="22"/>
          <w:szCs w:val="22"/>
        </w:rPr>
        <w:t xml:space="preserve">6.3 Knowledge Resources</w:t>
      </w:r>
    </w:p>
    <w:p>
      <w:pPr>
        <w:pStyle w:val="ListParagraph"/>
        <w:numPr>
          <w:ilvl w:val="0"/>
          <w:numId w:val="2"/>
        </w:numPr>
        <w:spacing w:after="80"/>
      </w:pPr>
      <w:r>
        <w:rPr>
          <w:rFonts w:ascii="Calibri" w:cs="Calibri" w:eastAsia="Calibri" w:hAnsi="Calibri"/>
          <w:sz w:val="22"/>
          <w:szCs w:val="22"/>
        </w:rPr>
        <w:t xml:space="preserve">R for Data Science (Wickham &amp; Grolemund) — wrangling and tidy-data reference.</w:t>
      </w:r>
    </w:p>
    <w:p>
      <w:pPr>
        <w:pStyle w:val="ListParagraph"/>
        <w:numPr>
          <w:ilvl w:val="0"/>
          <w:numId w:val="2"/>
        </w:numPr>
        <w:spacing w:after="80"/>
      </w:pPr>
      <w:r>
        <w:rPr>
          <w:rFonts w:ascii="Calibri" w:cs="Calibri" w:eastAsia="Calibri" w:hAnsi="Calibri"/>
          <w:sz w:val="22"/>
          <w:szCs w:val="22"/>
        </w:rPr>
        <w:t xml:space="preserve">CRAN task views for Machine Learning and Time Series.</w:t>
      </w:r>
    </w:p>
    <w:p>
      <w:pPr>
        <w:pStyle w:val="ListParagraph"/>
        <w:numPr>
          <w:ilvl w:val="0"/>
          <w:numId w:val="2"/>
        </w:numPr>
        <w:spacing w:after="80"/>
      </w:pPr>
      <w:r>
        <w:rPr>
          <w:rFonts w:ascii="Calibri" w:cs="Calibri" w:eastAsia="Calibri" w:hAnsi="Calibri"/>
          <w:sz w:val="22"/>
          <w:szCs w:val="22"/>
        </w:rPr>
        <w:t xml:space="preserve">Internal reference: prior embedded/robotics builds (line follower with QTR-8C array, ESP32/ESP8266-based platforms) as the technical basis for the sensor data model.</w:t>
      </w:r>
    </w:p>
    <w:p>
      <w:pPr>
        <w:pStyle w:val="Heading1"/>
        <w:pBdr>
          <w:bottom w:val="single" w:color="2E74B5" w:sz="6" w:space="4"/>
        </w:pBdr>
        <w:spacing w:after="200" w:before="400"/>
      </w:pPr>
      <w:r>
        <w:rPr>
          <w:rFonts w:ascii="Calibri" w:cs="Calibri" w:eastAsia="Calibri" w:hAnsi="Calibri"/>
          <w:b/>
          <w:bCs/>
          <w:color w:val="1F3864"/>
          <w:sz w:val="30"/>
          <w:szCs w:val="30"/>
        </w:rPr>
        <w:t xml:space="preserve">7. Risk Management Plan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3700"/>
      </w:tblGrid>
      <w:tr>
        <w:trPr>
          <w:tblHeader/>
        </w:trPr>
        <w:tc>
          <w:tcPr>
            <w:tcW w:type="dxa" w:w="2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Risk</w:t>
            </w:r>
          </w:p>
        </w:tc>
        <w:tc>
          <w:tcPr>
            <w:tcW w:type="dxa" w:w="13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Likelihood</w:t>
            </w:r>
          </w:p>
        </w:tc>
        <w:tc>
          <w:tcPr>
            <w:tcW w:type="dxa" w:w="13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Impact</w:t>
            </w:r>
          </w:p>
        </w:tc>
        <w:tc>
          <w:tcPr>
            <w:tcW w:type="dxa" w:w="37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Mitigation Strategy</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sensor data collection takes longer than planned or hardware is unavailable.</w:t>
            </w:r>
          </w:p>
        </w:tc>
        <w:tc>
          <w:tcPr>
            <w:tcW w:type="dxa" w:w="1300"/>
            <w:shd w:fill="FFF2CC" w:color="auto" w:val="clear"/>
            <w:tcMar>
              <w:top w:type="dxa" w:w="80"/>
              <w:left w:type="dxa" w:w="100"/>
              <w:bottom w:type="dxa" w:w="80"/>
              <w:right w:type="dxa" w:w="100"/>
            </w:tcMar>
            <w:vAlign w:val="center"/>
          </w:tcPr>
          <w:p>
            <w:pPr>
              <w:jc w:val="center"/>
            </w:pPr>
            <w:r>
              <w:rPr>
                <w:rFonts w:ascii="Calibri" w:cs="Calibri" w:eastAsia="Calibri" w:hAnsi="Calibri"/>
                <w:b/>
                <w:bCs/>
                <w:color w:val="BF8F00"/>
                <w:sz w:val="20"/>
                <w:szCs w:val="20"/>
              </w:rPr>
              <w:t xml:space="preserve">Medium</w:t>
            </w:r>
          </w:p>
        </w:tc>
        <w:tc>
          <w:tcPr>
            <w:tcW w:type="dxa" w:w="1300"/>
            <w:shd w:fill="FCE4E4" w:color="auto" w:val="clear"/>
            <w:tcMar>
              <w:top w:type="dxa" w:w="80"/>
              <w:left w:type="dxa" w:w="100"/>
              <w:bottom w:type="dxa" w:w="80"/>
              <w:right w:type="dxa" w:w="100"/>
            </w:tcMar>
            <w:vAlign w:val="center"/>
          </w:tcPr>
          <w:p>
            <w:pPr>
              <w:jc w:val="center"/>
            </w:pPr>
            <w:r>
              <w:rPr>
                <w:rFonts w:ascii="Calibri" w:cs="Calibri" w:eastAsia="Calibri" w:hAnsi="Calibri"/>
                <w:b/>
                <w:bCs/>
                <w:color w:val="C00000"/>
                <w:sz w:val="20"/>
                <w:szCs w:val="20"/>
              </w:rPr>
              <w:t xml:space="preserve">High</w:t>
            </w:r>
          </w:p>
        </w:tc>
        <w:tc>
          <w:tcPr>
            <w:tcW w:type="dxa" w:w="3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 a fallback public predictive-maintenance/IoT dataset with an equivalent structure; keep the analysis pipeline dataset-agnostic so either source plugs in without rework.</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Sensor data is noisy or contains significant gaps (common with low-cost ADCs).</w:t>
            </w:r>
          </w:p>
        </w:tc>
        <w:tc>
          <w:tcPr>
            <w:tcW w:type="dxa" w:w="1300"/>
            <w:shd w:fill="FCE4E4" w:color="auto" w:val="clear"/>
            <w:tcMar>
              <w:top w:type="dxa" w:w="80"/>
              <w:left w:type="dxa" w:w="100"/>
              <w:bottom w:type="dxa" w:w="80"/>
              <w:right w:type="dxa" w:w="100"/>
            </w:tcMar>
            <w:vAlign w:val="center"/>
          </w:tcPr>
          <w:p>
            <w:pPr>
              <w:jc w:val="center"/>
            </w:pPr>
            <w:r>
              <w:rPr>
                <w:rFonts w:ascii="Calibri" w:cs="Calibri" w:eastAsia="Calibri" w:hAnsi="Calibri"/>
                <w:b/>
                <w:bCs/>
                <w:color w:val="C00000"/>
                <w:sz w:val="20"/>
                <w:szCs w:val="20"/>
              </w:rPr>
              <w:t xml:space="preserve">High</w:t>
            </w:r>
          </w:p>
        </w:tc>
        <w:tc>
          <w:tcPr>
            <w:tcW w:type="dxa" w:w="1300"/>
            <w:shd w:fill="FFF2CC" w:color="auto" w:val="clear"/>
            <w:tcMar>
              <w:top w:type="dxa" w:w="80"/>
              <w:left w:type="dxa" w:w="100"/>
              <w:bottom w:type="dxa" w:w="80"/>
              <w:right w:type="dxa" w:w="100"/>
            </w:tcMar>
            <w:vAlign w:val="center"/>
          </w:tcPr>
          <w:p>
            <w:pPr>
              <w:jc w:val="center"/>
            </w:pPr>
            <w:r>
              <w:rPr>
                <w:rFonts w:ascii="Calibri" w:cs="Calibri" w:eastAsia="Calibri" w:hAnsi="Calibri"/>
                <w:b/>
                <w:bCs/>
                <w:color w:val="BF8F00"/>
                <w:sz w:val="20"/>
                <w:szCs w:val="20"/>
              </w:rPr>
              <w:t xml:space="preserve">Medium</w:t>
            </w:r>
          </w:p>
        </w:tc>
        <w:tc>
          <w:tcPr>
            <w:tcW w:type="dxa" w:w="3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Budget explicit cleaning time in Phase 3; use rolling-average smoothing and documented imputation rules rather than dropping data ad hoc.</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 performance is poor due to limited data volume.</w:t>
            </w:r>
          </w:p>
        </w:tc>
        <w:tc>
          <w:tcPr>
            <w:tcW w:type="dxa" w:w="1300"/>
            <w:shd w:fill="FFF2CC" w:color="auto" w:val="clear"/>
            <w:tcMar>
              <w:top w:type="dxa" w:w="80"/>
              <w:left w:type="dxa" w:w="100"/>
              <w:bottom w:type="dxa" w:w="80"/>
              <w:right w:type="dxa" w:w="100"/>
            </w:tcMar>
            <w:vAlign w:val="center"/>
          </w:tcPr>
          <w:p>
            <w:pPr>
              <w:jc w:val="center"/>
            </w:pPr>
            <w:r>
              <w:rPr>
                <w:rFonts w:ascii="Calibri" w:cs="Calibri" w:eastAsia="Calibri" w:hAnsi="Calibri"/>
                <w:b/>
                <w:bCs/>
                <w:color w:val="BF8F00"/>
                <w:sz w:val="20"/>
                <w:szCs w:val="20"/>
              </w:rPr>
              <w:t xml:space="preserve">Medium</w:t>
            </w:r>
          </w:p>
        </w:tc>
        <w:tc>
          <w:tcPr>
            <w:tcW w:type="dxa" w:w="1300"/>
            <w:shd w:fill="FFF2CC" w:color="auto" w:val="clear"/>
            <w:tcMar>
              <w:top w:type="dxa" w:w="80"/>
              <w:left w:type="dxa" w:w="100"/>
              <w:bottom w:type="dxa" w:w="80"/>
              <w:right w:type="dxa" w:w="100"/>
            </w:tcMar>
            <w:vAlign w:val="center"/>
          </w:tcPr>
          <w:p>
            <w:pPr>
              <w:jc w:val="center"/>
            </w:pPr>
            <w:r>
              <w:rPr>
                <w:rFonts w:ascii="Calibri" w:cs="Calibri" w:eastAsia="Calibri" w:hAnsi="Calibri"/>
                <w:b/>
                <w:bCs/>
                <w:color w:val="BF8F00"/>
                <w:sz w:val="20"/>
                <w:szCs w:val="20"/>
              </w:rPr>
              <w:t xml:space="preserve">Medium</w:t>
            </w:r>
          </w:p>
        </w:tc>
        <w:tc>
          <w:tcPr>
            <w:tcW w:type="dxa" w:w="3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Favor simpler, interpretable models (logistic regression, decision trees) suited to small datasets; use cross-validation instead of a single train/test split to make efficient use of limited data.</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Scope creep — attempting real-time deployment or overly ambitious modelling within Week 1.</w:t>
            </w:r>
          </w:p>
        </w:tc>
        <w:tc>
          <w:tcPr>
            <w:tcW w:type="dxa" w:w="1300"/>
            <w:shd w:fill="FFF2CC" w:color="auto" w:val="clear"/>
            <w:tcMar>
              <w:top w:type="dxa" w:w="80"/>
              <w:left w:type="dxa" w:w="100"/>
              <w:bottom w:type="dxa" w:w="80"/>
              <w:right w:type="dxa" w:w="100"/>
            </w:tcMar>
            <w:vAlign w:val="center"/>
          </w:tcPr>
          <w:p>
            <w:pPr>
              <w:jc w:val="center"/>
            </w:pPr>
            <w:r>
              <w:rPr>
                <w:rFonts w:ascii="Calibri" w:cs="Calibri" w:eastAsia="Calibri" w:hAnsi="Calibri"/>
                <w:b/>
                <w:bCs/>
                <w:color w:val="BF8F00"/>
                <w:sz w:val="20"/>
                <w:szCs w:val="20"/>
              </w:rPr>
              <w:t xml:space="preserve">Medium</w:t>
            </w:r>
          </w:p>
        </w:tc>
        <w:tc>
          <w:tcPr>
            <w:tcW w:type="dxa" w:w="1300"/>
            <w:shd w:fill="FFF2CC" w:color="auto" w:val="clear"/>
            <w:tcMar>
              <w:top w:type="dxa" w:w="80"/>
              <w:left w:type="dxa" w:w="100"/>
              <w:bottom w:type="dxa" w:w="80"/>
              <w:right w:type="dxa" w:w="100"/>
            </w:tcMar>
            <w:vAlign w:val="center"/>
          </w:tcPr>
          <w:p>
            <w:pPr>
              <w:jc w:val="center"/>
            </w:pPr>
            <w:r>
              <w:rPr>
                <w:rFonts w:ascii="Calibri" w:cs="Calibri" w:eastAsia="Calibri" w:hAnsi="Calibri"/>
                <w:b/>
                <w:bCs/>
                <w:color w:val="BF8F00"/>
                <w:sz w:val="20"/>
                <w:szCs w:val="20"/>
              </w:rPr>
              <w:t xml:space="preserve">Medium</w:t>
            </w:r>
          </w:p>
        </w:tc>
        <w:tc>
          <w:tcPr>
            <w:tcW w:type="dxa" w:w="3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Explicit Out-of-Scope section (Section 3); real-time deployment logged as a future-work item, not a Week 1 deliverable.</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 overrun beyond the 30–35 hour budget.</w:t>
            </w:r>
          </w:p>
        </w:tc>
        <w:tc>
          <w:tcPr>
            <w:tcW w:type="dxa" w:w="1300"/>
            <w:shd w:fill="FFF2CC" w:color="auto" w:val="clear"/>
            <w:tcMar>
              <w:top w:type="dxa" w:w="80"/>
              <w:left w:type="dxa" w:w="100"/>
              <w:bottom w:type="dxa" w:w="80"/>
              <w:right w:type="dxa" w:w="100"/>
            </w:tcMar>
            <w:vAlign w:val="center"/>
          </w:tcPr>
          <w:p>
            <w:pPr>
              <w:jc w:val="center"/>
            </w:pPr>
            <w:r>
              <w:rPr>
                <w:rFonts w:ascii="Calibri" w:cs="Calibri" w:eastAsia="Calibri" w:hAnsi="Calibri"/>
                <w:b/>
                <w:bCs/>
                <w:color w:val="BF8F00"/>
                <w:sz w:val="20"/>
                <w:szCs w:val="20"/>
              </w:rPr>
              <w:t xml:space="preserve">Medium</w:t>
            </w:r>
          </w:p>
        </w:tc>
        <w:tc>
          <w:tcPr>
            <w:tcW w:type="dxa" w:w="1300"/>
            <w:shd w:fill="E2EFDA" w:color="auto" w:val="clear"/>
            <w:tcMar>
              <w:top w:type="dxa" w:w="80"/>
              <w:left w:type="dxa" w:w="100"/>
              <w:bottom w:type="dxa" w:w="80"/>
              <w:right w:type="dxa" w:w="100"/>
            </w:tcMar>
            <w:vAlign w:val="center"/>
          </w:tcPr>
          <w:p>
            <w:pPr>
              <w:jc w:val="center"/>
            </w:pPr>
            <w:r>
              <w:rPr>
                <w:rFonts w:ascii="Calibri" w:cs="Calibri" w:eastAsia="Calibri" w:hAnsi="Calibri"/>
                <w:b/>
                <w:bCs/>
                <w:color w:val="375623"/>
                <w:sz w:val="20"/>
                <w:szCs w:val="20"/>
              </w:rPr>
              <w:t xml:space="preserve">Low</w:t>
            </w:r>
          </w:p>
        </w:tc>
        <w:tc>
          <w:tcPr>
            <w:tcW w:type="dxa" w:w="3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Track hours per phase against Table 1 budget; contingency buffer built into Phases 3 and 5; de-scope the improved model to the baseline model only if time runs short.</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 package/dependency or environment issues disrupt reproducibility.</w:t>
            </w:r>
          </w:p>
        </w:tc>
        <w:tc>
          <w:tcPr>
            <w:tcW w:type="dxa" w:w="1300"/>
            <w:shd w:fill="E2EFDA" w:color="auto" w:val="clear"/>
            <w:tcMar>
              <w:top w:type="dxa" w:w="80"/>
              <w:left w:type="dxa" w:w="100"/>
              <w:bottom w:type="dxa" w:w="80"/>
              <w:right w:type="dxa" w:w="100"/>
            </w:tcMar>
            <w:vAlign w:val="center"/>
          </w:tcPr>
          <w:p>
            <w:pPr>
              <w:jc w:val="center"/>
            </w:pPr>
            <w:r>
              <w:rPr>
                <w:rFonts w:ascii="Calibri" w:cs="Calibri" w:eastAsia="Calibri" w:hAnsi="Calibri"/>
                <w:b/>
                <w:bCs/>
                <w:color w:val="375623"/>
                <w:sz w:val="20"/>
                <w:szCs w:val="20"/>
              </w:rPr>
              <w:t xml:space="preserve">Low</w:t>
            </w:r>
          </w:p>
        </w:tc>
        <w:tc>
          <w:tcPr>
            <w:tcW w:type="dxa" w:w="1300"/>
            <w:shd w:fill="FFF2CC" w:color="auto" w:val="clear"/>
            <w:tcMar>
              <w:top w:type="dxa" w:w="80"/>
              <w:left w:type="dxa" w:w="100"/>
              <w:bottom w:type="dxa" w:w="80"/>
              <w:right w:type="dxa" w:w="100"/>
            </w:tcMar>
            <w:vAlign w:val="center"/>
          </w:tcPr>
          <w:p>
            <w:pPr>
              <w:jc w:val="center"/>
            </w:pPr>
            <w:r>
              <w:rPr>
                <w:rFonts w:ascii="Calibri" w:cs="Calibri" w:eastAsia="Calibri" w:hAnsi="Calibri"/>
                <w:b/>
                <w:bCs/>
                <w:color w:val="BF8F00"/>
                <w:sz w:val="20"/>
                <w:szCs w:val="20"/>
              </w:rPr>
              <w:t xml:space="preserve">Medium</w:t>
            </w:r>
          </w:p>
        </w:tc>
        <w:tc>
          <w:tcPr>
            <w:tcW w:type="dxa" w:w="3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 renv to lock package versions; document the R version and session info in the final R Markdown output.</w:t>
            </w:r>
          </w:p>
        </w:tc>
      </w:tr>
    </w:tbl>
    <w:p>
      <w:pPr>
        <w:spacing w:after="240" w:before="60"/>
        <w:jc w:val="center"/>
      </w:pPr>
      <w:r>
        <w:rPr>
          <w:rFonts w:ascii="Calibri" w:cs="Calibri" w:eastAsia="Calibri" w:hAnsi="Calibri"/>
          <w:i/>
          <w:iCs/>
          <w:color w:val="595959"/>
          <w:sz w:val="18"/>
          <w:szCs w:val="18"/>
        </w:rPr>
        <w:t xml:space="preserve">Table 3: Risk register with likelihood, impact, and mitigation strategy.</w:t>
      </w:r>
    </w:p>
    <w:p>
      <w:pPr>
        <w:pStyle w:val="Heading1"/>
        <w:pBdr>
          <w:bottom w:val="single" w:color="2E74B5" w:sz="6" w:space="4"/>
        </w:pBdr>
        <w:spacing w:after="200" w:before="400"/>
      </w:pPr>
      <w:r>
        <w:rPr>
          <w:rFonts w:ascii="Calibri" w:cs="Calibri" w:eastAsia="Calibri" w:hAnsi="Calibri"/>
          <w:b/>
          <w:bCs/>
          <w:color w:val="1F3864"/>
          <w:sz w:val="30"/>
          <w:szCs w:val="30"/>
        </w:rPr>
        <w:t xml:space="preserve">8. Evaluation Criteria and Success Metrics</w:t>
      </w:r>
    </w:p>
    <w:p>
      <w:pPr>
        <w:spacing w:after="160" w:line="276"/>
        <w:jc w:val="both"/>
      </w:pPr>
      <w:r>
        <w:rPr>
          <w:rFonts w:ascii="Calibri" w:cs="Calibri" w:eastAsia="Calibri" w:hAnsi="Calibri"/>
          <w:b w:val="false"/>
          <w:bCs w:val="false"/>
          <w:i w:val="false"/>
          <w:iCs w:val="false"/>
          <w:color w:val="000000"/>
          <w:sz w:val="22"/>
          <w:szCs w:val="22"/>
        </w:rPr>
        <w:t xml:space="preserve">Success for this project will be assessed against both the internship's stated evaluation criteria and project-specific technical benchmarks:</w:t>
      </w:r>
    </w:p>
    <w:p>
      <w:pPr>
        <w:pStyle w:val="Heading3"/>
        <w:spacing w:after="100" w:before="200"/>
      </w:pPr>
      <w:r>
        <w:rPr>
          <w:rFonts w:ascii="Calibri" w:cs="Calibri" w:eastAsia="Calibri" w:hAnsi="Calibri"/>
          <w:b/>
          <w:bCs/>
          <w:color w:val="595959"/>
          <w:sz w:val="22"/>
          <w:szCs w:val="22"/>
        </w:rPr>
        <w:t xml:space="preserve">8.1 Internship Evaluation Alignment</w:t>
      </w:r>
    </w:p>
    <w:p>
      <w:pPr>
        <w:pStyle w:val="ListParagraph"/>
        <w:numPr>
          <w:ilvl w:val="0"/>
          <w:numId w:val="2"/>
        </w:numPr>
        <w:spacing w:after="80"/>
      </w:pPr>
      <w:r>
        <w:rPr>
          <w:rFonts w:ascii="Calibri" w:cs="Calibri" w:eastAsia="Calibri" w:hAnsi="Calibri"/>
          <w:sz w:val="22"/>
          <w:szCs w:val="22"/>
        </w:rPr>
        <w:t xml:space="preserve">Clarity: each section of this document uses plain, unambiguous language with defined terms.</w:t>
      </w:r>
    </w:p>
    <w:p>
      <w:pPr>
        <w:pStyle w:val="ListParagraph"/>
        <w:numPr>
          <w:ilvl w:val="0"/>
          <w:numId w:val="2"/>
        </w:numPr>
        <w:spacing w:after="80"/>
      </w:pPr>
      <w:r>
        <w:rPr>
          <w:rFonts w:ascii="Calibri" w:cs="Calibri" w:eastAsia="Calibri" w:hAnsi="Calibri"/>
          <w:sz w:val="22"/>
          <w:szCs w:val="22"/>
        </w:rPr>
        <w:t xml:space="preserve">Comprehensiveness: objectives, background, timeline, roles, resources, and risk are all addressed.</w:t>
      </w:r>
    </w:p>
    <w:p>
      <w:pPr>
        <w:pStyle w:val="ListParagraph"/>
        <w:numPr>
          <w:ilvl w:val="0"/>
          <w:numId w:val="2"/>
        </w:numPr>
        <w:spacing w:after="80"/>
      </w:pPr>
      <w:r>
        <w:rPr>
          <w:rFonts w:ascii="Calibri" w:cs="Calibri" w:eastAsia="Calibri" w:hAnsi="Calibri"/>
          <w:sz w:val="22"/>
          <w:szCs w:val="22"/>
        </w:rPr>
        <w:t xml:space="preserve">Organization: numbered sections, tables, and a Gantt-style visual for the timeline.</w:t>
      </w:r>
    </w:p>
    <w:p>
      <w:pPr>
        <w:pStyle w:val="ListParagraph"/>
        <w:numPr>
          <w:ilvl w:val="0"/>
          <w:numId w:val="2"/>
        </w:numPr>
        <w:spacing w:after="80"/>
      </w:pPr>
      <w:r>
        <w:rPr>
          <w:rFonts w:ascii="Calibri" w:cs="Calibri" w:eastAsia="Calibri" w:hAnsi="Calibri"/>
          <w:sz w:val="22"/>
          <w:szCs w:val="22"/>
        </w:rPr>
        <w:t xml:space="preserve">Practicality: effort estimates sum to the assigned 30–35 hour budget; risks include realistic fallbacks.</w:t>
      </w:r>
    </w:p>
    <w:p>
      <w:pPr>
        <w:pStyle w:val="Heading3"/>
        <w:spacing w:after="100" w:before="200"/>
      </w:pPr>
      <w:r>
        <w:rPr>
          <w:rFonts w:ascii="Calibri" w:cs="Calibri" w:eastAsia="Calibri" w:hAnsi="Calibri"/>
          <w:b/>
          <w:bCs/>
          <w:color w:val="595959"/>
          <w:sz w:val="22"/>
          <w:szCs w:val="22"/>
        </w:rPr>
        <w:t xml:space="preserve">8.2 Technical Success Metrics</w:t>
      </w:r>
    </w:p>
    <w:p>
      <w:pPr>
        <w:pStyle w:val="ListParagraph"/>
        <w:numPr>
          <w:ilvl w:val="0"/>
          <w:numId w:val="2"/>
        </w:numPr>
        <w:spacing w:after="80"/>
      </w:pPr>
      <w:r>
        <w:rPr>
          <w:rFonts w:ascii="Calibri" w:cs="Calibri" w:eastAsia="Calibri" w:hAnsi="Calibri"/>
          <w:sz w:val="22"/>
          <w:szCs w:val="22"/>
        </w:rPr>
        <w:t xml:space="preserve">Data pipeline runs end-to-end without manual intervention (single R Markdown render).</w:t>
      </w:r>
    </w:p>
    <w:p>
      <w:pPr>
        <w:pStyle w:val="ListParagraph"/>
        <w:numPr>
          <w:ilvl w:val="0"/>
          <w:numId w:val="2"/>
        </w:numPr>
        <w:spacing w:after="80"/>
      </w:pPr>
      <w:r>
        <w:rPr>
          <w:rFonts w:ascii="Calibri" w:cs="Calibri" w:eastAsia="Calibri" w:hAnsi="Calibri"/>
          <w:sz w:val="22"/>
          <w:szCs w:val="22"/>
        </w:rPr>
        <w:t xml:space="preserve">Baseline and improved models both evaluated on held-out data with a documented metric (accuracy/F1 for classification, or RMSE for regression).</w:t>
      </w:r>
    </w:p>
    <w:p>
      <w:pPr>
        <w:pStyle w:val="ListParagraph"/>
        <w:numPr>
          <w:ilvl w:val="0"/>
          <w:numId w:val="2"/>
        </w:numPr>
        <w:spacing w:after="80"/>
      </w:pPr>
      <w:r>
        <w:rPr>
          <w:rFonts w:ascii="Calibri" w:cs="Calibri" w:eastAsia="Calibri" w:hAnsi="Calibri"/>
          <w:sz w:val="22"/>
          <w:szCs w:val="22"/>
        </w:rPr>
        <w:t xml:space="preserve">At least one actionable insight identified (e.g., a specific sensor threshold or pattern that precedes failure).</w:t>
      </w:r>
    </w:p>
    <w:p>
      <w:pPr>
        <w:pStyle w:val="Heading1"/>
        <w:pBdr>
          <w:bottom w:val="single" w:color="2E74B5" w:sz="6" w:space="4"/>
        </w:pBdr>
        <w:spacing w:after="200" w:before="400"/>
      </w:pPr>
      <w:r>
        <w:rPr>
          <w:rFonts w:ascii="Calibri" w:cs="Calibri" w:eastAsia="Calibri" w:hAnsi="Calibri"/>
          <w:b/>
          <w:bCs/>
          <w:color w:val="1F3864"/>
          <w:sz w:val="30"/>
          <w:szCs w:val="30"/>
        </w:rPr>
        <w:t xml:space="preserve">9. Conclusion</w:t>
      </w:r>
    </w:p>
    <w:p>
      <w:pPr>
        <w:spacing w:after="160" w:line="276"/>
        <w:jc w:val="both"/>
      </w:pPr>
      <w:r>
        <w:rPr>
          <w:rFonts w:ascii="Calibri" w:cs="Calibri" w:eastAsia="Calibri" w:hAnsi="Calibri"/>
          <w:b w:val="false"/>
          <w:bCs w:val="false"/>
          <w:i w:val="false"/>
          <w:iCs w:val="false"/>
          <w:color w:val="000000"/>
          <w:sz w:val="22"/>
          <w:szCs w:val="22"/>
        </w:rPr>
        <w:t xml:space="preserve">This plan lays out a scoped, realistic, and technically grounded approach to a data science project in R, applying predictive maintenance concepts to embedded robotics telemetry rather than a generic public dataset. The phase-wise breakdown, defined roles, resource plan, and risk register together provide a roadmap that can be executed within the allotted 30–35 hours while remaining adaptable if data collection constraints require the fallback dataset path described in Section 7.</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and Strategy Document</dc:title>
  <dc:creator>Abhishek</dc:creator>
  <cp:lastModifiedBy>Un-named</cp:lastModifiedBy>
  <cp:revision>1</cp:revision>
  <dcterms:created xsi:type="dcterms:W3CDTF">2026-08-27T12:38:30.357Z</dcterms:created>
  <dcterms:modified xsi:type="dcterms:W3CDTF">2026-08-27T12:38:30.371Z</dcterms:modified>
</cp:coreProperties>
</file>

<file path=docProps/custom.xml><?xml version="1.0" encoding="utf-8"?>
<Properties xmlns="http://schemas.openxmlformats.org/officeDocument/2006/custom-properties" xmlns:vt="http://schemas.openxmlformats.org/officeDocument/2006/docPropsVTypes"/>
</file>