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Governance &amp; AI Ethics Policy</w:t>
      </w:r>
    </w:p>
    <w:p>
      <w:r>
        <w:t>This document outlines the standard operating procedures for deploying ethical AI assistants.</w:t>
      </w:r>
    </w:p>
    <w:p>
      <w:pPr>
        <w:pStyle w:val="Heading2"/>
      </w:pPr>
      <w:r>
        <w:t>1. Data Privacy &amp; Anonymous Sessions</w:t>
      </w:r>
    </w:p>
    <w:p>
      <w:r>
        <w:t>No personal identifiable information (PII) shall be retained without explicit user authorization. Anonymous session identifiers are used to isolate conversation histories in the database.</w:t>
      </w:r>
    </w:p>
    <w:p>
      <w:pPr>
        <w:pStyle w:val="Heading2"/>
      </w:pPr>
      <w:r>
        <w:t>2. Model Attribution &amp; Citations</w:t>
      </w:r>
    </w:p>
    <w:p>
      <w:r>
        <w:t>Whenever external knowledge chunks or web search snippets inform an answer, transparent citations must be surfaced to the user.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