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7.png" ContentType="image/png"/>
  <Override PartName="/word/media/rId41.png" ContentType="image/png"/>
  <Override PartName="/word/media/rId73.png" ContentType="image/png"/>
  <Override PartName="/word/media/rId136.png" ContentType="image/png"/>
  <Override PartName="/word/media/" ContentType="application/octet-stream"/>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Gudsky</w:t>
      </w:r>
      <w:r>
        <w:t xml:space="preserve"> </w:t>
      </w:r>
      <w:r>
        <w:t xml:space="preserve">Research</w:t>
      </w:r>
      <w:r>
        <w:t xml:space="preserve"> </w:t>
      </w:r>
      <w:r>
        <w:t xml:space="preserve">Management</w:t>
      </w:r>
      <w:r>
        <w:t xml:space="preserve"> </w:t>
      </w:r>
      <w:r>
        <w:t xml:space="preserve">Tool</w:t>
      </w:r>
      <w:r>
        <w:t xml:space="preserve"> </w:t>
      </w:r>
      <w:r>
        <w:t xml:space="preserve">(GRMT)</w:t>
      </w:r>
    </w:p>
    <w:p>
      <w:pPr>
        <w:pStyle w:val="Subtitle"/>
      </w:pPr>
      <w:r>
        <w:t xml:space="preserve">Final</w:t>
      </w:r>
      <w:r>
        <w:t xml:space="preserve"> </w:t>
      </w:r>
      <w:r>
        <w:t xml:space="preserve">Consolidated</w:t>
      </w:r>
      <w:r>
        <w:t xml:space="preserve"> </w:t>
      </w:r>
      <w:r>
        <w:t xml:space="preserve">Technical</w:t>
      </w:r>
      <w:r>
        <w:t xml:space="preserve"> </w:t>
      </w:r>
      <w:r>
        <w:t xml:space="preserve">Build</w:t>
      </w:r>
      <w:r>
        <w:t xml:space="preserve"> </w:t>
      </w:r>
      <w:r>
        <w:t xml:space="preserve">Document</w:t>
      </w:r>
      <w:r>
        <w:t xml:space="preserve"> </w:t>
      </w:r>
      <w:r>
        <w:t xml:space="preserve">—</w:t>
      </w:r>
      <w:r>
        <w:t xml:space="preserve"> </w:t>
      </w:r>
      <w:r>
        <w:t xml:space="preserve">Product</w:t>
      </w:r>
      <w:r>
        <w:t xml:space="preserve"> </w:t>
      </w:r>
      <w:r>
        <w:t xml:space="preserve">Spec,</w:t>
      </w:r>
      <w:r>
        <w:t xml:space="preserve"> </w:t>
      </w:r>
      <w:r>
        <w:t xml:space="preserve">Architecture,</w:t>
      </w:r>
      <w:r>
        <w:t xml:space="preserve"> </w:t>
      </w:r>
      <w:r>
        <w:t xml:space="preserve">AI</w:t>
      </w:r>
      <w:r>
        <w:t xml:space="preserve"> </w:t>
      </w:r>
      <w:r>
        <w:t xml:space="preserve">Stack,</w:t>
      </w:r>
      <w:r>
        <w:t xml:space="preserve"> </w:t>
      </w:r>
      <w:r>
        <w:t xml:space="preserve">Schema,</w:t>
      </w:r>
      <w:r>
        <w:t xml:space="preserve"> </w:t>
      </w:r>
      <w:r>
        <w:t xml:space="preserve">API,</w:t>
      </w:r>
      <w:r>
        <w:t xml:space="preserve"> </w:t>
      </w:r>
      <w:r>
        <w:t xml:space="preserve">Frontend</w:t>
      </w:r>
      <w:r>
        <w:t xml:space="preserve"> </w:t>
      </w:r>
      <w:r>
        <w:t xml:space="preserve">&amp;</w:t>
      </w:r>
      <w:r>
        <w:t xml:space="preserve"> </w:t>
      </w:r>
      <w:r>
        <w:t xml:space="preserve">Roadmap</w:t>
      </w:r>
    </w:p>
    <w:p>
      <w:pPr>
        <w:numPr>
          <w:ilvl w:val="0"/>
          <w:numId w:val="1001"/>
        </w:numPr>
        <w:pStyle w:val="Compact"/>
      </w:pPr>
      <w:r>
        <w:rPr>
          <w:bCs/>
          <w:b/>
        </w:rPr>
        <w:t xml:space="preserve">Software name:</w:t>
      </w:r>
      <w:r>
        <w:t xml:space="preserve"> </w:t>
      </w:r>
      <w:r>
        <w:t xml:space="preserve">Gudsky Research Management Tool (GRMT)</w:t>
      </w:r>
    </w:p>
    <w:p>
      <w:pPr>
        <w:numPr>
          <w:ilvl w:val="0"/>
          <w:numId w:val="1001"/>
        </w:numPr>
        <w:pStyle w:val="Compact"/>
      </w:pPr>
      <w:r>
        <w:rPr>
          <w:bCs/>
          <w:b/>
        </w:rPr>
        <w:t xml:space="preserve">Research &amp; development by:</w:t>
      </w:r>
      <w:r>
        <w:t xml:space="preserve"> </w:t>
      </w:r>
      <w:r>
        <w:t xml:space="preserve">Gudsky Research Foundation (GRF) —</w:t>
      </w:r>
      <w:r>
        <w:t xml:space="preserve"> </w:t>
      </w:r>
      <w:hyperlink r:id="rId20">
        <w:r>
          <w:rPr>
            <w:rStyle w:val="Hyperlink"/>
          </w:rPr>
          <w:t xml:space="preserve">www.gudsky.org</w:t>
        </w:r>
      </w:hyperlink>
    </w:p>
    <w:p>
      <w:pPr>
        <w:numPr>
          <w:ilvl w:val="0"/>
          <w:numId w:val="1001"/>
        </w:numPr>
        <w:pStyle w:val="Compact"/>
      </w:pPr>
      <w:r>
        <w:rPr>
          <w:bCs/>
          <w:b/>
        </w:rPr>
        <w:t xml:space="preserve">Product developed &amp; maintained by:</w:t>
      </w:r>
      <w:r>
        <w:t xml:space="preserve"> </w:t>
      </w:r>
      <w:r>
        <w:t xml:space="preserve">GRMT Pvt. Ltd.</w:t>
      </w:r>
    </w:p>
    <w:p>
      <w:pPr>
        <w:numPr>
          <w:ilvl w:val="0"/>
          <w:numId w:val="1001"/>
        </w:numPr>
        <w:pStyle w:val="Compact"/>
      </w:pPr>
      <w:r>
        <w:rPr>
          <w:bCs/>
          <w:b/>
        </w:rPr>
        <w:t xml:space="preserve">Document status:</w:t>
      </w:r>
      <w:r>
        <w:t xml:space="preserve"> </w:t>
      </w:r>
      <w:r>
        <w:t xml:space="preserve">Final, developer-ready — supersedes the separate product spec and draft technical roadmap</w:t>
      </w:r>
    </w:p>
    <w:p>
      <w:pPr>
        <w:numPr>
          <w:ilvl w:val="0"/>
          <w:numId w:val="1001"/>
        </w:numPr>
        <w:pStyle w:val="Compact"/>
      </w:pPr>
      <w:r>
        <w:rPr>
          <w:bCs/>
          <w:b/>
        </w:rPr>
        <w:t xml:space="preserve">Target submission date:</w:t>
      </w:r>
      <w:r>
        <w:t xml:space="preserve"> </w:t>
      </w:r>
      <w:r>
        <w:t xml:space="preserve">15 September 2026</w:t>
      </w:r>
    </w:p>
    <w:p>
      <w:pPr>
        <w:numPr>
          <w:ilvl w:val="0"/>
          <w:numId w:val="1001"/>
        </w:numPr>
        <w:pStyle w:val="Compact"/>
      </w:pPr>
      <w:r>
        <w:rPr>
          <w:bCs/>
          <w:b/>
        </w:rPr>
        <w:t xml:space="preserve">Document date:</w:t>
      </w:r>
      <w:r>
        <w:t xml:space="preserve"> </w:t>
      </w:r>
      <w:r>
        <w:t xml:space="preserve">13 August 2026</w:t>
      </w:r>
    </w:p>
    <w:p>
      <w:pPr>
        <w:numPr>
          <w:ilvl w:val="0"/>
          <w:numId w:val="1001"/>
        </w:numPr>
        <w:pStyle w:val="Compact"/>
      </w:pPr>
      <w:r>
        <w:rPr>
          <w:bCs/>
          <w:b/>
        </w:rPr>
        <w:t xml:space="preserve">Source documents consolidated here:</w:t>
      </w:r>
      <w:r>
        <w:t xml:space="preserve"> </w:t>
      </w:r>
      <w:r>
        <w:rPr>
          <w:rStyle w:val="VerbatimChar"/>
        </w:rPr>
        <w:t xml:space="preserve">GRF_AI_Conference_Management_System_Spec.md</w:t>
      </w:r>
      <w:r>
        <w:t xml:space="preserve">,</w:t>
      </w:r>
      <w:r>
        <w:t xml:space="preserve"> </w:t>
      </w:r>
      <w:r>
        <w:rPr>
          <w:rStyle w:val="VerbatimChar"/>
        </w:rPr>
        <w:t xml:space="preserve">GRF_Prototype_Technical_Roadmap.md</w:t>
      </w:r>
      <w:r>
        <w:t xml:space="preserve">, and the validated research findings on tooling, benchmarks, corpus strategy, IEEE formatting, timeline realism, and GPU pricing.</w:t>
      </w:r>
    </w:p>
    <w:bookmarkStart w:id="21" w:name="table-of-contents"/>
    <w:p>
      <w:pPr>
        <w:pStyle w:val="Heading2"/>
      </w:pPr>
      <w:r>
        <w:t xml:space="preserve">Table of Contents</w:t>
      </w:r>
    </w:p>
    <w:p>
      <w:pPr>
        <w:numPr>
          <w:ilvl w:val="0"/>
          <w:numId w:val="1002"/>
        </w:numPr>
        <w:pStyle w:val="Compact"/>
      </w:pPr>
      <w:hyperlink w:anchor="final-product-spec">
        <w:r>
          <w:rPr>
            <w:rStyle w:val="Hyperlink"/>
          </w:rPr>
          <w:t xml:space="preserve">Final Product Spec</w:t>
        </w:r>
      </w:hyperlink>
    </w:p>
    <w:p>
      <w:pPr>
        <w:numPr>
          <w:ilvl w:val="0"/>
          <w:numId w:val="1002"/>
        </w:numPr>
        <w:pStyle w:val="Compact"/>
      </w:pPr>
      <w:hyperlink w:anchor="system-architecture">
        <w:r>
          <w:rPr>
            <w:rStyle w:val="Hyperlink"/>
          </w:rPr>
          <w:t xml:space="preserve">System Architecture</w:t>
        </w:r>
      </w:hyperlink>
    </w:p>
    <w:p>
      <w:pPr>
        <w:numPr>
          <w:ilvl w:val="0"/>
          <w:numId w:val="1002"/>
        </w:numPr>
        <w:pStyle w:val="Compact"/>
      </w:pPr>
      <w:hyperlink w:anchor="ai-model-tooling-setup-guide">
        <w:r>
          <w:rPr>
            <w:rStyle w:val="Hyperlink"/>
          </w:rPr>
          <w:t xml:space="preserve">AI Model &amp; Tooling Setup Guide</w:t>
        </w:r>
      </w:hyperlink>
    </w:p>
    <w:p>
      <w:pPr>
        <w:numPr>
          <w:ilvl w:val="0"/>
          <w:numId w:val="1002"/>
        </w:numPr>
        <w:pStyle w:val="Compact"/>
      </w:pPr>
      <w:hyperlink w:anchor="database-schema">
        <w:r>
          <w:rPr>
            <w:rStyle w:val="Hyperlink"/>
          </w:rPr>
          <w:t xml:space="preserve">Database Schema</w:t>
        </w:r>
      </w:hyperlink>
    </w:p>
    <w:p>
      <w:pPr>
        <w:numPr>
          <w:ilvl w:val="0"/>
          <w:numId w:val="1002"/>
        </w:numPr>
        <w:pStyle w:val="Compact"/>
      </w:pPr>
      <w:hyperlink w:anchor="api-specification">
        <w:r>
          <w:rPr>
            <w:rStyle w:val="Hyperlink"/>
          </w:rPr>
          <w:t xml:space="preserve">API Specification</w:t>
        </w:r>
      </w:hyperlink>
    </w:p>
    <w:p>
      <w:pPr>
        <w:numPr>
          <w:ilvl w:val="0"/>
          <w:numId w:val="1002"/>
        </w:numPr>
        <w:pStyle w:val="Compact"/>
      </w:pPr>
      <w:hyperlink w:anchor="frontend-page-specifications">
        <w:r>
          <w:rPr>
            <w:rStyle w:val="Hyperlink"/>
          </w:rPr>
          <w:t xml:space="preserve">Frontend Page Specifications</w:t>
        </w:r>
      </w:hyperlink>
    </w:p>
    <w:p>
      <w:pPr>
        <w:numPr>
          <w:ilvl w:val="0"/>
          <w:numId w:val="1002"/>
        </w:numPr>
        <w:pStyle w:val="Compact"/>
      </w:pPr>
      <w:hyperlink w:anchor="final-day-wise-build-roadmap">
        <w:r>
          <w:rPr>
            <w:rStyle w:val="Hyperlink"/>
          </w:rPr>
          <w:t xml:space="preserve">Final Day-Wise Build Roadmap</w:t>
        </w:r>
      </w:hyperlink>
    </w:p>
    <w:p>
      <w:pPr>
        <w:numPr>
          <w:ilvl w:val="0"/>
          <w:numId w:val="1002"/>
        </w:numPr>
        <w:pStyle w:val="Compact"/>
      </w:pPr>
      <w:hyperlink w:anchor="demo-day-checklist">
        <w:r>
          <w:rPr>
            <w:rStyle w:val="Hyperlink"/>
          </w:rPr>
          <w:t xml:space="preserve">Demo-Day Checklist</w:t>
        </w:r>
      </w:hyperlink>
    </w:p>
    <w:p>
      <w:r>
        <w:br w:type="page"/>
      </w:r>
    </w:p>
    <w:bookmarkEnd w:id="21"/>
    <w:bookmarkStart w:id="22" w:name="how-to-read-this-document"/>
    <w:p>
      <w:pPr>
        <w:pStyle w:val="Heading2"/>
      </w:pPr>
      <w:r>
        <w:t xml:space="preserve">How to read this document</w:t>
      </w:r>
    </w:p>
    <w:p>
      <w:pPr>
        <w:pStyle w:val="FirstParagraph"/>
      </w:pPr>
      <w:r>
        <w:t xml:space="preserve">This is a single reference a developer can build from top to bottom without needing the two source documents. Section 1 states the product intent and every place research changed a decision from the original plan. Section 2 is the system architecture. Section 3 is a copy-pasteable setup guide for every self-hosted AI tool. Section 4 is the full database schema. Section 5 is the complete API surface. Section 6 specs every frontend page. Section 7 is the corrected day-by-day build roadmap with an explicit descope plan. Section 8 is the pre-submission checklist.</w:t>
      </w:r>
    </w:p>
    <w:p>
      <w:pPr>
        <w:pStyle w:val="BodyText"/>
      </w:pPr>
      <w:r>
        <w:t xml:space="preserve">Where a decision was not fully resolved by research and this document makes a judgment call, it is marked inline as</w:t>
      </w:r>
      <w:r>
        <w:t xml:space="preserve"> </w:t>
      </w:r>
      <w:r>
        <w:rPr>
          <w:bCs/>
          <w:b/>
        </w:rPr>
        <w:t xml:space="preserve">[ASSUMPTION]</w:t>
      </w:r>
      <w:r>
        <w:t xml:space="preserve">. Treat these as defaults to override with real information as it becomes available (e.g., a specific conference’s CFP, an organizer’s actual threshold preferences), not as facts.</w:t>
      </w:r>
    </w:p>
    <w:p>
      <w:r>
        <w:br w:type="page"/>
      </w:r>
    </w:p>
    <w:bookmarkEnd w:id="22"/>
    <w:bookmarkStart w:id="40" w:name="final-product-spec"/>
    <w:p>
      <w:pPr>
        <w:pStyle w:val="Heading1"/>
      </w:pPr>
      <w:r>
        <w:t xml:space="preserve">1. Final Product Spec</w:t>
      </w:r>
    </w:p>
    <w:bookmarkStart w:id="23" w:name="overview-core-philosophy"/>
    <w:p>
      <w:pPr>
        <w:pStyle w:val="Heading2"/>
      </w:pPr>
      <w:r>
        <w:t xml:space="preserve">1.1 Overview &amp; core philosophy</w:t>
      </w:r>
    </w:p>
    <w:p>
      <w:pPr>
        <w:pStyle w:val="FirstParagraph"/>
      </w:pPr>
      <w:r>
        <w:t xml:space="preserve">Gudsky Research Management Tool (GRMT) places an AI pre-review layer between researchers and human reviewers. The core principle carried through unchanged from the original spec:</w:t>
      </w:r>
      <w:r>
        <w:t xml:space="preserve"> </w:t>
      </w:r>
      <w:r>
        <w:rPr>
          <w:bCs/>
          <w:b/>
        </w:rPr>
        <w:t xml:space="preserve">AI handles repetitive, mechanical, preliminary checks; humans focus exclusively on intellectual and scientific evaluation.</w:t>
      </w:r>
      <w:r>
        <w:t xml:space="preserve"> </w:t>
      </w:r>
      <w:r>
        <w:t xml:space="preserve">The system serves two primary user types —</w:t>
      </w:r>
      <w:r>
        <w:t xml:space="preserve"> </w:t>
      </w:r>
      <w:r>
        <w:rPr>
          <w:bCs/>
          <w:b/>
        </w:rPr>
        <w:t xml:space="preserve">Researchers</w:t>
      </w:r>
      <w:r>
        <w:t xml:space="preserve">, who submit papers and receive instant structured feedback, and</w:t>
      </w:r>
      <w:r>
        <w:t xml:space="preserve"> </w:t>
      </w:r>
      <w:r>
        <w:rPr>
          <w:bCs/>
          <w:b/>
        </w:rPr>
        <w:t xml:space="preserve">Conference Organizers / Reviewers</w:t>
      </w:r>
      <w:r>
        <w:t xml:space="preserve">, who configure rules and review pre-screened papers. Organizers configure their own gate thresholds per conference, so the system adapts to different disciplines, publishers, and quality bars rather than applying one rigid standard everywhere.</w:t>
      </w:r>
    </w:p>
    <w:p>
      <w:pPr>
        <w:pStyle w:val="BodyText"/>
      </w:pPr>
      <w:r>
        <w:rPr>
          <w:bCs/>
          <w:b/>
        </w:rPr>
        <w:t xml:space="preserve">What research changed at the product level:</w:t>
      </w:r>
      <w:r>
        <w:t xml:space="preserve"> </w:t>
      </w:r>
      <w:r>
        <w:t xml:space="preserve">nothing in the core philosophy or user journeys changed. Research confirmed the soft-gate-by-default design for AI-content and plagiarism checks is not just a reasonable caution but a load-bearing requirement — the evidence on detector false-positive rates against non-native-English writing (see §1.7 and §3.6) is strong enough that this document upgrades it from a design preference to a hard product constraint:</w:t>
      </w:r>
      <w:r>
        <w:t xml:space="preserve"> </w:t>
      </w:r>
      <w:r>
        <w:rPr>
          <w:bCs/>
          <w:b/>
        </w:rPr>
        <w:t xml:space="preserve">the prototype must not allow an organizer to configure AI-content or plagiarism detection as an auto-hard-reject rule.</w:t>
      </w:r>
      <w:r>
        <w:t xml:space="preserve"> </w:t>
      </w:r>
      <w:r>
        <w:t xml:space="preserve">Formatting/template compliance and page-limit checks may remain hard gates, since those are deterministic and don’t carry the same bias risk.</w:t>
      </w:r>
    </w:p>
    <w:bookmarkEnd w:id="23"/>
    <w:bookmarkStart w:id="24" w:name="researcher-user-journey"/>
    <w:p>
      <w:pPr>
        <w:pStyle w:val="Heading2"/>
      </w:pPr>
      <w:r>
        <w:t xml:space="preserve">1.2 Researcher user journey</w:t>
      </w:r>
    </w:p>
    <w:p>
      <w:pPr>
        <w:numPr>
          <w:ilvl w:val="0"/>
          <w:numId w:val="1003"/>
        </w:numPr>
        <w:pStyle w:val="Compact"/>
      </w:pPr>
      <w:r>
        <w:rPr>
          <w:bCs/>
          <w:b/>
        </w:rPr>
        <w:t xml:space="preserve">Account creation</w:t>
      </w:r>
      <w:r>
        <w:t xml:space="preserve"> </w:t>
      </w:r>
      <w:r>
        <w:t xml:space="preserve">— profile setup (affiliation, ORCID optional, past publication history optional).</w:t>
      </w:r>
    </w:p>
    <w:p>
      <w:pPr>
        <w:numPr>
          <w:ilvl w:val="0"/>
          <w:numId w:val="1003"/>
        </w:numPr>
        <w:pStyle w:val="Compact"/>
      </w:pPr>
      <w:r>
        <w:rPr>
          <w:bCs/>
          <w:b/>
        </w:rPr>
        <w:t xml:space="preserve">Browse conferences</w:t>
      </w:r>
      <w:r>
        <w:t xml:space="preserve"> </w:t>
      </w:r>
      <w:r>
        <w:t xml:space="preserve">— filter by theme, deadline, scope, track.</w:t>
      </w:r>
    </w:p>
    <w:p>
      <w:pPr>
        <w:numPr>
          <w:ilvl w:val="0"/>
          <w:numId w:val="1003"/>
        </w:numPr>
        <w:pStyle w:val="Compact"/>
      </w:pPr>
      <w:r>
        <w:rPr>
          <w:bCs/>
          <w:b/>
        </w:rPr>
        <w:t xml:space="preserve">Select conference</w:t>
      </w:r>
      <w:r>
        <w:t xml:space="preserve"> </w:t>
      </w:r>
      <w:r>
        <w:t xml:space="preserve">— view that conference’s submission rules and AI gate thresholds (organizer-configured, §1.4).</w:t>
      </w:r>
    </w:p>
    <w:p>
      <w:pPr>
        <w:numPr>
          <w:ilvl w:val="0"/>
          <w:numId w:val="1003"/>
        </w:numPr>
        <w:pStyle w:val="Compact"/>
      </w:pPr>
      <w:r>
        <w:rPr>
          <w:bCs/>
          <w:b/>
        </w:rPr>
        <w:t xml:space="preserve">Upload paper</w:t>
      </w:r>
      <w:r>
        <w:t xml:space="preserve"> </w:t>
      </w:r>
      <w:r>
        <w:t xml:space="preserve">(PDF / LaTeX / Word).</w:t>
      </w:r>
      <w:r>
        <w:t xml:space="preserve"> </w:t>
      </w:r>
      <w:r>
        <w:rPr>
          <w:bCs/>
          <w:b/>
        </w:rPr>
        <w:t xml:space="preserve">[ASSUMPTION]</w:t>
      </w:r>
      <w:r>
        <w:t xml:space="preserve"> </w:t>
      </w:r>
      <w:r>
        <w:t xml:space="preserve">The prototype accepts PDF only at first; LaTeX/Word upload with server-side conversion to PDF is scoped as a stretch goal, not core — the AI pipeline (GROBID, PyMuPDF) is built against PDF input and supporting three input formats natively would add non-trivial parsing branches with no proportional demo value.</w:t>
      </w:r>
    </w:p>
    <w:p>
      <w:pPr>
        <w:numPr>
          <w:ilvl w:val="0"/>
          <w:numId w:val="1003"/>
        </w:numPr>
        <w:pStyle w:val="Compact"/>
      </w:pPr>
      <w:r>
        <w:rPr>
          <w:bCs/>
          <w:b/>
        </w:rPr>
        <w:t xml:space="preserve">AI Pre-Review Engine runs automatically</w:t>
      </w:r>
      <w:r>
        <w:t xml:space="preserve"> </w:t>
      </w:r>
      <w:r>
        <w:t xml:space="preserve">— no manual trigger needed (full check list in §1.6).</w:t>
      </w:r>
    </w:p>
    <w:p>
      <w:pPr>
        <w:numPr>
          <w:ilvl w:val="0"/>
          <w:numId w:val="1003"/>
        </w:numPr>
        <w:pStyle w:val="Compact"/>
      </w:pPr>
      <w:r>
        <w:rPr>
          <w:bCs/>
          <w:b/>
        </w:rPr>
        <w:t xml:space="preserve">Instant structured feedback report</w:t>
      </w:r>
      <w:r>
        <w:t xml:space="preserve">: pass/fail against hard-gate rules; soft-flag warnings with confidence and highlighted spans (e.g.,</w:t>
      </w:r>
      <w:r>
        <w:t xml:space="preserve"> </w:t>
      </w:r>
      <w:r>
        <w:t xml:space="preserve">“</w:t>
      </w:r>
      <w:r>
        <w:t xml:space="preserve">12% similarity detected — review recommended but not blocking</w:t>
      </w:r>
      <w:r>
        <w:t xml:space="preserve">”</w:t>
      </w:r>
      <w:r>
        <w:t xml:space="preserve">); actionable line-item feedback (grammar, structure, citations, tables/images, format compliance).</w:t>
      </w:r>
    </w:p>
    <w:p>
      <w:pPr>
        <w:numPr>
          <w:ilvl w:val="0"/>
          <w:numId w:val="1003"/>
        </w:numPr>
        <w:pStyle w:val="Compact"/>
      </w:pPr>
      <w:r>
        <w:rPr>
          <w:bCs/>
          <w:b/>
        </w:rPr>
        <w:t xml:space="preserve">Two outcomes:</w:t>
      </w:r>
      <w:r>
        <w:t xml:space="preserve"> </w:t>
      </w:r>
      <w:r>
        <w:t xml:space="preserve">Passes gate → queued for human reviewer assignment. Fails a hard gate → returned to researcher with a revise-and-resubmit path that edits and re-triggers the AI check without starting a new submission from scratch.</w:t>
      </w:r>
    </w:p>
    <w:p>
      <w:pPr>
        <w:numPr>
          <w:ilvl w:val="0"/>
          <w:numId w:val="1003"/>
        </w:numPr>
        <w:pStyle w:val="Compact"/>
      </w:pPr>
      <w:r>
        <w:rPr>
          <w:bCs/>
          <w:b/>
        </w:rPr>
        <w:t xml:space="preserve">Live status tracking</w:t>
      </w:r>
      <w:r>
        <w:t xml:space="preserve"> </w:t>
      </w:r>
      <w:r>
        <w:t xml:space="preserve">— in review / decision pending / accepted / rejected.</w:t>
      </w:r>
    </w:p>
    <w:p>
      <w:pPr>
        <w:numPr>
          <w:ilvl w:val="0"/>
          <w:numId w:val="1003"/>
        </w:numPr>
        <w:pStyle w:val="Compact"/>
      </w:pPr>
      <w:r>
        <w:rPr>
          <w:bCs/>
          <w:b/>
        </w:rPr>
        <w:t xml:space="preserve">On rejection</w:t>
      </w:r>
      <w:r>
        <w:t xml:space="preserve">, researcher receives full, unfiltered reviewer comments from</w:t>
      </w:r>
      <w:r>
        <w:t xml:space="preserve"> </w:t>
      </w:r>
      <w:r>
        <w:rPr>
          <w:iCs/>
          <w:i/>
        </w:rPr>
        <w:t xml:space="preserve">that</w:t>
      </w:r>
      <w:r>
        <w:t xml:space="preserve"> </w:t>
      </w:r>
      <w:r>
        <w:t xml:space="preserve">conference — distinct from the cross-conference summary organizers see about</w:t>
      </w:r>
      <w:r>
        <w:t xml:space="preserve"> </w:t>
      </w:r>
      <w:r>
        <w:rPr>
          <w:iCs/>
          <w:i/>
        </w:rPr>
        <w:t xml:space="preserve">other</w:t>
      </w:r>
      <w:r>
        <w:t xml:space="preserve"> </w:t>
      </w:r>
      <w:r>
        <w:t xml:space="preserve">conferences (§1.5).</w:t>
      </w:r>
    </w:p>
    <w:p>
      <w:pPr>
        <w:numPr>
          <w:ilvl w:val="0"/>
          <w:numId w:val="1003"/>
        </w:numPr>
        <w:pStyle w:val="Compact"/>
      </w:pPr>
      <w:r>
        <w:rPr>
          <w:bCs/>
          <w:b/>
        </w:rPr>
        <w:t xml:space="preserve">Resubmission to a new conference</w:t>
      </w:r>
      <w:r>
        <w:t xml:space="preserve"> </w:t>
      </w:r>
      <w:r>
        <w:t xml:space="preserve">— an edited resubmission auto-links to prior history in the backend; visible only to reviewers/organizers of the</w:t>
      </w:r>
      <w:r>
        <w:t xml:space="preserve"> </w:t>
      </w:r>
      <w:r>
        <w:rPr>
          <w:iCs/>
          <w:i/>
        </w:rPr>
        <w:t xml:space="preserve">new</w:t>
      </w:r>
      <w:r>
        <w:t xml:space="preserve"> </w:t>
      </w:r>
      <w:r>
        <w:t xml:space="preserve">conference as a short summary, never surfaced to the researcher in this cross-conference form.</w:t>
      </w:r>
    </w:p>
    <w:p>
      <w:pPr>
        <w:numPr>
          <w:ilvl w:val="0"/>
          <w:numId w:val="1003"/>
        </w:numPr>
        <w:pStyle w:val="Compact"/>
      </w:pPr>
      <w:r>
        <w:rPr>
          <w:bCs/>
          <w:b/>
        </w:rPr>
        <w:t xml:space="preserve">Unified submission history</w:t>
      </w:r>
      <w:r>
        <w:t xml:space="preserve"> </w:t>
      </w:r>
      <w:r>
        <w:t xml:space="preserve">— every submission across every conference on the platform.</w:t>
      </w:r>
    </w:p>
    <w:bookmarkEnd w:id="24"/>
    <w:bookmarkStart w:id="25" w:name="Xa623f634dd28e24037340b9e109e9a8811c51dc"/>
    <w:p>
      <w:pPr>
        <w:pStyle w:val="Heading2"/>
      </w:pPr>
      <w:r>
        <w:t xml:space="preserve">1.3 Conference organizer user journey (onboarding)</w:t>
      </w:r>
    </w:p>
    <w:p>
      <w:pPr>
        <w:numPr>
          <w:ilvl w:val="0"/>
          <w:numId w:val="1004"/>
        </w:numPr>
        <w:pStyle w:val="Compact"/>
      </w:pPr>
      <w:r>
        <w:t xml:space="preserve">Sign up and create a conference profile (name, theme, dates, tracks).</w:t>
      </w:r>
    </w:p>
    <w:p>
      <w:pPr>
        <w:numPr>
          <w:ilvl w:val="0"/>
          <w:numId w:val="1004"/>
        </w:numPr>
        <w:pStyle w:val="Compact"/>
      </w:pPr>
      <w:r>
        <w:t xml:space="preserve">Define submission rules and AI gate thresholds (§1.4).</w:t>
      </w:r>
    </w:p>
    <w:p>
      <w:pPr>
        <w:numPr>
          <w:ilvl w:val="0"/>
          <w:numId w:val="1004"/>
        </w:numPr>
        <w:pStyle w:val="Compact"/>
      </w:pPr>
      <w:r>
        <w:t xml:space="preserve">Invite co-admins.</w:t>
      </w:r>
    </w:p>
    <w:p>
      <w:pPr>
        <w:numPr>
          <w:ilvl w:val="0"/>
          <w:numId w:val="1004"/>
        </w:numPr>
        <w:pStyle w:val="Compact"/>
      </w:pPr>
      <w:r>
        <w:t xml:space="preserve">Onboard a reviewer pool; assign reviewers to tracks/topics.</w:t>
      </w:r>
    </w:p>
    <w:p>
      <w:pPr>
        <w:numPr>
          <w:ilvl w:val="0"/>
          <w:numId w:val="1004"/>
        </w:numPr>
        <w:pStyle w:val="Compact"/>
      </w:pPr>
      <w:r>
        <w:t xml:space="preserve">Open the submission window.</w:t>
      </w:r>
    </w:p>
    <w:p>
      <w:pPr>
        <w:numPr>
          <w:ilvl w:val="0"/>
          <w:numId w:val="1004"/>
        </w:numPr>
        <w:pStyle w:val="Compact"/>
      </w:pPr>
      <w:r>
        <w:t xml:space="preserve">Monitor AI-stage metrics in real time (submissions, pass rate, flagged rate, AI-stage rejection rate).</w:t>
      </w:r>
    </w:p>
    <w:p>
      <w:pPr>
        <w:numPr>
          <w:ilvl w:val="0"/>
          <w:numId w:val="1004"/>
        </w:numPr>
        <w:pStyle w:val="Compact"/>
      </w:pPr>
      <w:r>
        <w:t xml:space="preserve">Assign passed papers to reviewers — manual assignment is the prototype scope; auto-match by topic/track is a documented post-prototype feature (§1.9, §7).</w:t>
      </w:r>
    </w:p>
    <w:p>
      <w:pPr>
        <w:numPr>
          <w:ilvl w:val="0"/>
          <w:numId w:val="1004"/>
        </w:numPr>
        <w:pStyle w:val="Compact"/>
      </w:pPr>
      <w:r>
        <w:t xml:space="preserve">Track reviewer progress and final review report generation.</w:t>
      </w:r>
    </w:p>
    <w:p>
      <w:pPr>
        <w:numPr>
          <w:ilvl w:val="0"/>
          <w:numId w:val="1004"/>
        </w:numPr>
        <w:pStyle w:val="Compact"/>
      </w:pPr>
      <w:r>
        <w:t xml:space="preserve">Manage decisions and communicate outcomes through the platform.</w:t>
      </w:r>
    </w:p>
    <w:p>
      <w:pPr>
        <w:numPr>
          <w:ilvl w:val="0"/>
          <w:numId w:val="1004"/>
        </w:numPr>
        <w:pStyle w:val="Compact"/>
      </w:pPr>
      <w:r>
        <w:t xml:space="preserve">Access cross-conference history — short auto-generated summaries, never full reviewer comments from other conferences.</w:t>
      </w:r>
    </w:p>
    <w:p>
      <w:pPr>
        <w:numPr>
          <w:ilvl w:val="0"/>
          <w:numId w:val="1004"/>
        </w:numPr>
        <w:pStyle w:val="Compact"/>
      </w:pPr>
      <w:r>
        <w:t xml:space="preserve">Post-conference analytics export — submission volume, AI-flag trends, reviewer turnaround, acceptance rate.</w:t>
      </w:r>
    </w:p>
    <w:p>
      <w:pPr>
        <w:pStyle w:val="FirstParagraph"/>
      </w:pPr>
      <w:r>
        <w:rPr>
          <w:bCs/>
          <w:b/>
        </w:rPr>
        <w:t xml:space="preserve">Organizer onboarding requirements checklist:</w:t>
      </w:r>
      <w:r>
        <w:t xml:space="preserve"> </w:t>
      </w:r>
      <w:r>
        <w:t xml:space="preserve">conference name/dates/scope/track structure; reviewer pool (names/emails, topic tags); co-admin list and permission levels; selected publisher/format target (§1.8); gate rule configuration (§1.4); institutional/organizational verification.</w:t>
      </w:r>
    </w:p>
    <w:bookmarkEnd w:id="25"/>
    <w:bookmarkStart w:id="26" w:name="Xcc54a892e241ecce3ac1c09c2ceb91d053b2124"/>
    <w:p>
      <w:pPr>
        <w:pStyle w:val="Heading2"/>
      </w:pPr>
      <w:r>
        <w:t xml:space="preserve">1.4 Configurable gate system (soft gate + hard gate)</w:t>
      </w:r>
    </w:p>
    <w:p>
      <w:pPr>
        <w:pStyle w:val="FirstParagraph"/>
      </w:pPr>
      <w:r>
        <w:t xml:space="preserve">Organizers set their own thresholds per conference. Some checks are hard blockers (paper cannot proceed until fixed); others are soft flags (paper proceeds, reviewer sees a warning).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Example configuration</w:t>
            </w:r>
          </w:p>
        </w:tc>
        <w:tc>
          <w:tcPr/>
          <w:p>
            <w:pPr>
              <w:pStyle w:val="Compact"/>
              <w:jc w:val="left"/>
            </w:pPr>
            <w:r>
              <w:t xml:space="preserve">Gate type allowed</w:t>
            </w:r>
          </w:p>
        </w:tc>
      </w:tr>
      <w:tr>
        <w:tc>
          <w:tcPr/>
          <w:p>
            <w:pPr>
              <w:pStyle w:val="Compact"/>
              <w:jc w:val="left"/>
            </w:pPr>
            <w:r>
              <w:t xml:space="preserve">Max AI-generated content %</w:t>
            </w:r>
          </w:p>
        </w:tc>
        <w:tc>
          <w:tcPr/>
          <w:p>
            <w:pPr>
              <w:pStyle w:val="Compact"/>
              <w:jc w:val="left"/>
            </w:pPr>
            <w:r>
              <w:t xml:space="preserve">Accept up to 15%, flag above that</w:t>
            </w:r>
          </w:p>
        </w:tc>
        <w:tc>
          <w:tcPr/>
          <w:p>
            <w:pPr>
              <w:pStyle w:val="Compact"/>
              <w:jc w:val="left"/>
            </w:pPr>
            <w:r>
              <w:rPr>
                <w:bCs/>
                <w:b/>
              </w:rPr>
              <w:t xml:space="preserve">Soft only</w:t>
            </w:r>
            <w:r>
              <w:t xml:space="preserve"> </w:t>
            </w:r>
            <w:r>
              <w:t xml:space="preserve">(see §1.1 constraint)</w:t>
            </w:r>
          </w:p>
        </w:tc>
      </w:tr>
      <w:tr>
        <w:tc>
          <w:tcPr/>
          <w:p>
            <w:pPr>
              <w:pStyle w:val="Compact"/>
              <w:jc w:val="left"/>
            </w:pPr>
            <w:r>
              <w:t xml:space="preserve">Max plagiarism/similarity %</w:t>
            </w:r>
          </w:p>
        </w:tc>
        <w:tc>
          <w:tcPr/>
          <w:p>
            <w:pPr>
              <w:pStyle w:val="Compact"/>
              <w:jc w:val="left"/>
            </w:pPr>
            <w:r>
              <w:t xml:space="preserve">Accept up to 5%, soft-flag 5–10%, flag above 10%</w:t>
            </w:r>
          </w:p>
        </w:tc>
        <w:tc>
          <w:tcPr/>
          <w:p>
            <w:pPr>
              <w:pStyle w:val="Compact"/>
              <w:jc w:val="left"/>
            </w:pPr>
            <w:r>
              <w:rPr>
                <w:bCs/>
                <w:b/>
              </w:rPr>
              <w:t xml:space="preserve">Soft only</w:t>
            </w:r>
            <w:r>
              <w:t xml:space="preserve"> </w:t>
            </w:r>
            <w:r>
              <w:t xml:space="preserve">for anything derived from the semantic-similarity/AI-text signal; a literal, high-confidence exact-match (MinHash near-duplicate of a specific prior paper) may be organizer-configured as hard, since exact-match evidence does not carry the same false-positive profile as statistical/embedding-based scores</w:t>
            </w:r>
          </w:p>
        </w:tc>
      </w:tr>
      <w:tr>
        <w:tc>
          <w:tcPr/>
          <w:p>
            <w:pPr>
              <w:pStyle w:val="Compact"/>
              <w:jc w:val="left"/>
            </w:pPr>
            <w:r>
              <w:t xml:space="preserve">Max AI-generated images allowed</w:t>
            </w:r>
          </w:p>
        </w:tc>
        <w:tc>
          <w:tcPr/>
          <w:p>
            <w:pPr>
              <w:pStyle w:val="Compact"/>
              <w:jc w:val="left"/>
            </w:pPr>
            <w:r>
              <w:t xml:space="preserve">e.g. hard-block above 5 images</w:t>
            </w:r>
          </w:p>
        </w:tc>
        <w:tc>
          <w:tcPr/>
          <w:p>
            <w:pPr>
              <w:pStyle w:val="Compact"/>
              <w:jc w:val="left"/>
            </w:pPr>
            <w:r>
              <w:rPr>
                <w:bCs/>
                <w:b/>
              </w:rPr>
              <w:t xml:space="preserve">Advisory/soft only, and out of the prototype’s core scope</w:t>
            </w:r>
            <w:r>
              <w:t xml:space="preserve"> </w:t>
            </w:r>
            <w:r>
              <w:t xml:space="preserve">— see §1.6 for why</w:t>
            </w:r>
          </w:p>
        </w:tc>
      </w:tr>
      <w:tr>
        <w:tc>
          <w:tcPr/>
          <w:p>
            <w:pPr>
              <w:pStyle w:val="Compact"/>
              <w:jc w:val="left"/>
            </w:pPr>
            <w:r>
              <w:t xml:space="preserve">Formatting/template compliance</w:t>
            </w:r>
          </w:p>
        </w:tc>
        <w:tc>
          <w:tcPr/>
          <w:p>
            <w:pPr>
              <w:pStyle w:val="Compact"/>
              <w:jc w:val="left"/>
            </w:pPr>
            <w:r>
              <w:t xml:space="preserve">Typically hard gate — cannot bypass</w:t>
            </w:r>
          </w:p>
        </w:tc>
        <w:tc>
          <w:tcPr/>
          <w:p>
            <w:pPr>
              <w:pStyle w:val="Compact"/>
              <w:jc w:val="left"/>
            </w:pPr>
            <w:r>
              <w:t xml:space="preserve">Hard or soft, organizer’s choice</w:t>
            </w:r>
          </w:p>
        </w:tc>
      </w:tr>
      <w:tr>
        <w:tc>
          <w:tcPr/>
          <w:p>
            <w:pPr>
              <w:pStyle w:val="Compact"/>
              <w:jc w:val="left"/>
            </w:pPr>
            <w:r>
              <w:t xml:space="preserve">Citation completeness</w:t>
            </w:r>
          </w:p>
        </w:tc>
        <w:tc>
          <w:tcPr/>
          <w:p>
            <w:pPr>
              <w:pStyle w:val="Compact"/>
              <w:jc w:val="left"/>
            </w:pPr>
            <w:r>
              <w:t xml:space="preserve">Organizer’s choice</w:t>
            </w:r>
          </w:p>
        </w:tc>
        <w:tc>
          <w:tcPr/>
          <w:p>
            <w:pPr>
              <w:pStyle w:val="Compact"/>
              <w:jc w:val="left"/>
            </w:pPr>
            <w:r>
              <w:t xml:space="preserve">Hard or soft</w:t>
            </w:r>
          </w:p>
        </w:tc>
      </w:tr>
      <w:tr>
        <w:tc>
          <w:tcPr/>
          <w:p>
            <w:pPr>
              <w:pStyle w:val="Compact"/>
              <w:jc w:val="left"/>
            </w:pPr>
            <w:r>
              <w:t xml:space="preserve">Table/figure consistency</w:t>
            </w:r>
          </w:p>
        </w:tc>
        <w:tc>
          <w:tcPr/>
          <w:p>
            <w:pPr>
              <w:pStyle w:val="Compact"/>
              <w:jc w:val="left"/>
            </w:pPr>
            <w:r>
              <w:t xml:space="preserve">Soft flag by default</w:t>
            </w:r>
          </w:p>
        </w:tc>
        <w:tc>
          <w:tcPr/>
          <w:p>
            <w:pPr>
              <w:pStyle w:val="Compact"/>
              <w:jc w:val="left"/>
            </w:pPr>
            <w:r>
              <w:t xml:space="preserve">Hard or soft</w:t>
            </w:r>
          </w:p>
        </w:tc>
      </w:tr>
      <w:tr>
        <w:tc>
          <w:tcPr/>
          <w:p>
            <w:pPr>
              <w:pStyle w:val="Compact"/>
              <w:jc w:val="left"/>
            </w:pPr>
            <w:r>
              <w:t xml:space="preserve">Page-limit compliance</w:t>
            </w:r>
          </w:p>
        </w:tc>
        <w:tc>
          <w:tcPr/>
          <w:p>
            <w:pPr>
              <w:pStyle w:val="Compact"/>
              <w:jc w:val="left"/>
            </w:pPr>
            <w:r>
              <w:t xml:space="preserve">e.g. reject over 6 pages (IEEE default)</w:t>
            </w:r>
          </w:p>
        </w:tc>
        <w:tc>
          <w:tcPr/>
          <w:p>
            <w:pPr>
              <w:pStyle w:val="Compact"/>
              <w:jc w:val="left"/>
            </w:pPr>
            <w:r>
              <w:t xml:space="preserve">Hard or soft, organizer’s choice</w:t>
            </w:r>
          </w:p>
        </w:tc>
      </w:tr>
    </w:tbl>
    <w:p>
      <w:pPr>
        <w:pStyle w:val="BodyText"/>
      </w:pPr>
      <w:r>
        <w:rPr>
          <w:bCs/>
          <w:b/>
        </w:rPr>
        <w:t xml:space="preserve">Outcome logic</w:t>
      </w:r>
      <w:r>
        <w:t xml:space="preserve"> </w:t>
      </w:r>
      <w:r>
        <w:t xml:space="preserve">(see Figure 2 for the full decision diagram):</w:t>
      </w:r>
    </w:p>
    <w:p>
      <w:pPr>
        <w:numPr>
          <w:ilvl w:val="0"/>
          <w:numId w:val="1005"/>
        </w:numPr>
        <w:pStyle w:val="Compact"/>
      </w:pPr>
      <w:r>
        <w:t xml:space="preserve">Fails a</w:t>
      </w:r>
      <w:r>
        <w:t xml:space="preserve"> </w:t>
      </w:r>
      <w:r>
        <w:rPr>
          <w:bCs/>
          <w:b/>
        </w:rPr>
        <w:t xml:space="preserve">HARD</w:t>
      </w:r>
      <w:r>
        <w:t xml:space="preserve"> </w:t>
      </w:r>
      <w:r>
        <w:t xml:space="preserve">gate rule → automatically rejected at the AI stage, returned to researcher with clear reasoning, never reaches a human reviewer.</w:t>
      </w:r>
    </w:p>
    <w:p>
      <w:pPr>
        <w:numPr>
          <w:ilvl w:val="0"/>
          <w:numId w:val="1005"/>
        </w:numPr>
        <w:pStyle w:val="Compact"/>
      </w:pPr>
      <w:r>
        <w:t xml:space="preserve">Fails only</w:t>
      </w:r>
      <w:r>
        <w:t xml:space="preserve"> </w:t>
      </w:r>
      <w:r>
        <w:rPr>
          <w:bCs/>
          <w:b/>
        </w:rPr>
        <w:t xml:space="preserve">SOFT</w:t>
      </w:r>
      <w:r>
        <w:t xml:space="preserve"> </w:t>
      </w:r>
      <w:r>
        <w:t xml:space="preserve">gate rules → proceeds to human review, flags visible to the reviewer.</w:t>
      </w:r>
    </w:p>
    <w:p>
      <w:pPr>
        <w:numPr>
          <w:ilvl w:val="0"/>
          <w:numId w:val="1005"/>
        </w:numPr>
        <w:pStyle w:val="Compact"/>
      </w:pPr>
      <w:r>
        <w:t xml:space="preserve">Passes all gates → proceeds cleanly with a clean AI pre-review report attached.</w:t>
      </w:r>
    </w:p>
    <w:bookmarkEnd w:id="26"/>
    <w:bookmarkStart w:id="27" w:name="cross-conference-paper-history-feature"/>
    <w:p>
      <w:pPr>
        <w:pStyle w:val="Heading2"/>
      </w:pPr>
      <w:r>
        <w:t xml:space="preserve">1.5 Cross-conference paper history feature</w:t>
      </w:r>
    </w:p>
    <w:p>
      <w:pPr>
        <w:pStyle w:val="FirstParagraph"/>
      </w:pPr>
      <w:r>
        <w:t xml:space="preserve">Every paper has a persistent record across every conference it’s submitted to. If a paper was previously rejected elsewhere and is resubmitted (even edited) to a new conference, the new conference’s reviewers/organizers see a short auto-generated summary (~200 words) covering why it was previously rejected and what has changed. This summary is generated by the same LLM used for logical-consistency checks (§1.6, §3.5) and is never shown to the researcher in this cross-conference form, and the underlying full paper/reviewer comments from the other conference are never exposed to the new conference — only the generated summary.</w:t>
      </w:r>
      <w:r>
        <w:t xml:space="preserve"> </w:t>
      </w:r>
      <w:r>
        <w:rPr>
          <w:bCs/>
          <w:b/>
        </w:rPr>
        <w:t xml:space="preserve">[ASSUMPTION]</w:t>
      </w:r>
      <w:r>
        <w:t xml:space="preserve"> </w:t>
      </w:r>
      <w:r>
        <w:t xml:space="preserve">Resubmission linkage in the prototype is matched by (a) exact title similarity above a fixed threshold using the same embedding model as plagiarism detection, plus (b) overlapping author list — a fuzzy match, not a guaranteed-correct one; this is acceptable for a demo but should be flagged to the organizer as</w:t>
      </w:r>
      <w:r>
        <w:t xml:space="preserve"> </w:t>
      </w:r>
      <w:r>
        <w:t xml:space="preserve">“</w:t>
      </w:r>
      <w:r>
        <w:t xml:space="preserve">possible match</w:t>
      </w:r>
      <w:r>
        <w:t xml:space="preserve">”</w:t>
      </w:r>
      <w:r>
        <w:t xml:space="preserve"> </w:t>
      </w:r>
      <w:r>
        <w:t xml:space="preserve">rather than presented as certain identity.</w:t>
      </w:r>
    </w:p>
    <w:bookmarkEnd w:id="27"/>
    <w:bookmarkStart w:id="29" w:name="Xbddc80111ac97deb43d1034ff29d948d8adba99"/>
    <w:p>
      <w:pPr>
        <w:pStyle w:val="Heading2"/>
      </w:pPr>
      <w:r>
        <w:t xml:space="preserve">1.6 AI features for researchers (pre-review checks)</w:t>
      </w:r>
    </w:p>
    <w:p>
      <w:pPr>
        <w:pStyle w:val="FirstParagraph"/>
      </w:pPr>
      <w:r>
        <w:t xml:space="preserve">Full detail on tooling is in §3; this section states what each check does at the product level and notes every place research changed the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What it does</w:t>
            </w:r>
          </w:p>
        </w:tc>
        <w:tc>
          <w:tcPr/>
          <w:p>
            <w:pPr>
              <w:pStyle w:val="Compact"/>
              <w:jc w:val="left"/>
            </w:pPr>
            <w:r>
              <w:t xml:space="preserve">Status vs. original roadmap</w:t>
            </w:r>
          </w:p>
        </w:tc>
      </w:tr>
      <w:tr>
        <w:tc>
          <w:tcPr/>
          <w:p>
            <w:pPr>
              <w:pStyle w:val="Compact"/>
              <w:jc w:val="left"/>
            </w:pPr>
            <w:r>
              <w:t xml:space="preserve">Grammar &amp; language quality</w:t>
            </w:r>
          </w:p>
        </w:tc>
        <w:tc>
          <w:tcPr/>
          <w:p>
            <w:pPr>
              <w:pStyle w:val="Compact"/>
              <w:jc w:val="left"/>
            </w:pPr>
            <w:r>
              <w:t xml:space="preserve">Line-item grammar/style/clarity feedback</w:t>
            </w:r>
          </w:p>
        </w:tc>
        <w:tc>
          <w:tcPr/>
          <w:p>
            <w:pPr>
              <w:pStyle w:val="Compact"/>
              <w:jc w:val="left"/>
            </w:pPr>
            <w:r>
              <w:rPr>
                <w:bCs/>
                <w:b/>
              </w:rPr>
              <w:t xml:space="preserve">Unchanged</w:t>
            </w:r>
            <w:r>
              <w:t xml:space="preserve"> </w:t>
            </w:r>
            <w:r>
              <w:t xml:space="preserve">— LanguageTool confirmed still best free/self-hosted option</w:t>
            </w:r>
          </w:p>
        </w:tc>
      </w:tr>
      <w:tr>
        <w:tc>
          <w:tcPr/>
          <w:p>
            <w:pPr>
              <w:pStyle w:val="Compact"/>
              <w:jc w:val="left"/>
            </w:pPr>
            <w:r>
              <w:t xml:space="preserve">Citation &amp; reference parsing</w:t>
            </w:r>
          </w:p>
        </w:tc>
        <w:tc>
          <w:tcPr/>
          <w:p>
            <w:pPr>
              <w:pStyle w:val="Compact"/>
              <w:jc w:val="left"/>
            </w:pPr>
            <w:r>
              <w:t xml:space="preserve">Extracts and validates reference completeness/structure</w:t>
            </w:r>
          </w:p>
        </w:tc>
        <w:tc>
          <w:tcPr/>
          <w:p>
            <w:pPr>
              <w:pStyle w:val="Compact"/>
              <w:jc w:val="left"/>
            </w:pPr>
            <w:r>
              <w:rPr>
                <w:bCs/>
                <w:b/>
              </w:rPr>
              <w:t xml:space="preserve">Unchanged</w:t>
            </w:r>
            <w:r>
              <w:t xml:space="preserve"> </w:t>
            </w:r>
            <w:r>
              <w:t xml:space="preserve">— GROBID confirmed still the standard tool for this</w:t>
            </w:r>
          </w:p>
        </w:tc>
      </w:tr>
      <w:tr>
        <w:tc>
          <w:tcPr/>
          <w:p>
            <w:pPr>
              <w:pStyle w:val="Compact"/>
              <w:jc w:val="left"/>
            </w:pPr>
            <w:r>
              <w:t xml:space="preserve">Formatting/structure compliance</w:t>
            </w:r>
          </w:p>
        </w:tc>
        <w:tc>
          <w:tcPr/>
          <w:p>
            <w:pPr>
              <w:pStyle w:val="Compact"/>
              <w:jc w:val="left"/>
            </w:pPr>
            <w:r>
              <w:t xml:space="preserve">Checks against the selected publisher template (IEEE first, §1.8)</w:t>
            </w:r>
          </w:p>
        </w:tc>
        <w:tc>
          <w:tcPr/>
          <w:p>
            <w:pPr>
              <w:pStyle w:val="Compact"/>
              <w:jc w:val="left"/>
            </w:pPr>
            <w:r>
              <w:rPr>
                <w:bCs/>
                <w:b/>
              </w:rPr>
              <w:t xml:space="preserve">Unchanged</w:t>
            </w:r>
            <w:r>
              <w:t xml:space="preserve"> </w:t>
            </w:r>
            <w:r>
              <w:t xml:space="preserve">in approach;</w:t>
            </w:r>
            <w:r>
              <w:t xml:space="preserve"> </w:t>
            </w:r>
            <w:r>
              <w:rPr>
                <w:bCs/>
                <w:b/>
              </w:rPr>
              <w:t xml:space="preserve">rules now fully specified</w:t>
            </w:r>
            <w:r>
              <w:t xml:space="preserve"> </w:t>
            </w:r>
            <w:r>
              <w:t xml:space="preserve">(§1.8, §3.7)</w:t>
            </w:r>
          </w:p>
        </w:tc>
      </w:tr>
      <w:tr>
        <w:tc>
          <w:tcPr/>
          <w:p>
            <w:pPr>
              <w:pStyle w:val="Compact"/>
              <w:jc w:val="left"/>
            </w:pPr>
            <w:r>
              <w:t xml:space="preserve">Plagiarism/similarity detection</w:t>
            </w:r>
          </w:p>
        </w:tc>
        <w:tc>
          <w:tcPr/>
          <w:p>
            <w:pPr>
              <w:pStyle w:val="Compact"/>
              <w:jc w:val="left"/>
            </w:pPr>
            <w:r>
              <w:t xml:space="preserve">Semantic similarity against a reference corpus + exact n-gram matching</w:t>
            </w:r>
          </w:p>
        </w:tc>
        <w:tc>
          <w:tcPr/>
          <w:p>
            <w:pPr>
              <w:pStyle w:val="Compact"/>
              <w:jc w:val="left"/>
            </w:pPr>
            <w:r>
              <w:rPr>
                <w:bCs/>
                <w:b/>
              </w:rPr>
              <w:t xml:space="preserve">Embedding model upgraded</w:t>
            </w:r>
            <w:r>
              <w:t xml:space="preserve">: BGE-M3 (or SPECTER2 for paper-level scientific similarity) replaces all-MiniLM-L6-v2, which is now several generations behind current open embedding models. MinHash/SimHash for verbatim copying is unchanged.</w:t>
            </w:r>
          </w:p>
        </w:tc>
      </w:tr>
      <w:tr>
        <w:tc>
          <w:tcPr/>
          <w:p>
            <w:pPr>
              <w:pStyle w:val="Compact"/>
              <w:jc w:val="left"/>
            </w:pPr>
            <w:r>
              <w:t xml:space="preserve">AI-generated text detection</w:t>
            </w:r>
          </w:p>
        </w:tc>
        <w:tc>
          <w:tcPr/>
          <w:p>
            <w:pPr>
              <w:pStyle w:val="Compact"/>
              <w:jc w:val="left"/>
            </w:pPr>
            <w:r>
              <w:t xml:space="preserve">Flags likely AI-written passages</w:t>
            </w:r>
          </w:p>
        </w:tc>
        <w:tc>
          <w:tcPr/>
          <w:p>
            <w:pPr>
              <w:pStyle w:val="Compact"/>
              <w:jc w:val="left"/>
            </w:pPr>
            <w:r>
              <w:rPr>
                <w:bCs/>
                <w:b/>
              </w:rPr>
              <w:t xml:space="preserve">Unchanged primary tool</w:t>
            </w:r>
            <w:r>
              <w:t xml:space="preserve"> </w:t>
            </w:r>
            <w:r>
              <w:t xml:space="preserve">(Binoculars) but</w:t>
            </w:r>
            <w:r>
              <w:t xml:space="preserve"> </w:t>
            </w:r>
            <w:r>
              <w:rPr>
                <w:bCs/>
                <w:b/>
              </w:rPr>
              <w:t xml:space="preserve">a second detector (Fast-DetectGPT) is added</w:t>
            </w:r>
            <w:r>
              <w:t xml:space="preserve"> </w:t>
            </w:r>
            <w:r>
              <w:t xml:space="preserve">as a cross-check; a flag is only surfaced when both agree, reducing false-positive exposure. Always soft-gate — non-negotiable (§1.1, §1.4).</w:t>
            </w:r>
          </w:p>
        </w:tc>
      </w:tr>
      <w:tr>
        <w:tc>
          <w:tcPr/>
          <w:p>
            <w:pPr>
              <w:pStyle w:val="Compact"/>
              <w:jc w:val="left"/>
            </w:pPr>
            <w:r>
              <w:t xml:space="preserve">Table/figure consistency</w:t>
            </w:r>
          </w:p>
        </w:tc>
        <w:tc>
          <w:tcPr/>
          <w:p>
            <w:pPr>
              <w:pStyle w:val="Compact"/>
              <w:jc w:val="left"/>
            </w:pPr>
            <w:r>
              <w:t xml:space="preserve">Confirms tables/figures exist, are numbered and captioned</w:t>
            </w:r>
          </w:p>
        </w:tc>
        <w:tc>
          <w:tcPr/>
          <w:p>
            <w:pPr>
              <w:pStyle w:val="Compact"/>
              <w:jc w:val="left"/>
            </w:pPr>
            <w:r>
              <w:rPr>
                <w:bCs/>
                <w:b/>
              </w:rPr>
              <w:t xml:space="preserve">Unchanged</w:t>
            </w:r>
          </w:p>
        </w:tc>
      </w:tr>
      <w:tr>
        <w:tc>
          <w:tcPr/>
          <w:p>
            <w:pPr>
              <w:pStyle w:val="Compact"/>
              <w:jc w:val="left"/>
            </w:pPr>
            <w:r>
              <w:t xml:space="preserve">AI-generated image detection</w:t>
            </w:r>
          </w:p>
        </w:tc>
        <w:tc>
          <w:tcPr/>
          <w:p>
            <w:pPr>
              <w:pStyle w:val="Compact"/>
              <w:jc w:val="left"/>
            </w:pPr>
            <w:r>
              <w:t xml:space="preserve">Would flag likely AI-generated figures</w:t>
            </w:r>
          </w:p>
        </w:tc>
        <w:tc>
          <w:tcPr/>
          <w:p>
            <w:pPr>
              <w:pStyle w:val="Compact"/>
              <w:jc w:val="left"/>
            </w:pPr>
            <w:r>
              <w:rPr>
                <w:bCs/>
                <w:b/>
              </w:rPr>
              <w:t xml:space="preserve">Confirmed deferred — and confirmed correctly deferred.</w:t>
            </w:r>
            <w:r>
              <w:t xml:space="preserve"> </w:t>
            </w:r>
            <w:r>
              <w:t xml:space="preserve">Research found cross-generator detection accuracy on modern generators (Flux, Midjourney v7, DALL-E 3) falls to 18–30%, and the only benchmark built specifically on academic figures found even the best detector reaches ~80% accuracy under ideal conditions, degrading further under the compression/rescaling inherent to PDF embedding. See §1.6.1.</w:t>
            </w:r>
          </w:p>
        </w:tc>
      </w:tr>
      <w:tr>
        <w:tc>
          <w:tcPr/>
          <w:p>
            <w:pPr>
              <w:pStyle w:val="Compact"/>
              <w:jc w:val="left"/>
            </w:pPr>
            <w:r>
              <w:t xml:space="preserve">Logical/technical consistency</w:t>
            </w:r>
          </w:p>
        </w:tc>
        <w:tc>
          <w:tcPr/>
          <w:p>
            <w:pPr>
              <w:pStyle w:val="Compact"/>
              <w:jc w:val="left"/>
            </w:pPr>
            <w:r>
              <w:t xml:space="preserve">LLM-based check for abstract/conclusion coherence etc.</w:t>
            </w:r>
          </w:p>
        </w:tc>
        <w:tc>
          <w:tcPr/>
          <w:p>
            <w:pPr>
              <w:pStyle w:val="Compact"/>
              <w:jc w:val="left"/>
            </w:pPr>
            <w:r>
              <w:rPr>
                <w:bCs/>
                <w:b/>
              </w:rPr>
              <w:t xml:space="preserve">Model updated</w:t>
            </w:r>
            <w:r>
              <w:t xml:space="preserve">: Qwen2.5-7B-Instruct (Q4) is the new default over Llama 3.1 8B, both self-hosted via Ollama; this is the lowest-priority AI check and the first candidate to run on a hosted fallback API if local GPU setup slips (§7).</w:t>
            </w:r>
          </w:p>
        </w:tc>
      </w:tr>
      <w:tr>
        <w:tc>
          <w:tcPr/>
          <w:p>
            <w:pPr>
              <w:pStyle w:val="Compact"/>
              <w:jc w:val="left"/>
            </w:pPr>
            <w:r>
              <w:t xml:space="preserve">Cross-conference resubmission summary</w:t>
            </w:r>
          </w:p>
        </w:tc>
        <w:tc>
          <w:tcPr/>
          <w:p>
            <w:pPr>
              <w:pStyle w:val="Compact"/>
              <w:jc w:val="left"/>
            </w:pPr>
            <w:r>
              <w:t xml:space="preserve">Generates the ~200-word summary in §1.5</w:t>
            </w:r>
          </w:p>
        </w:tc>
        <w:tc>
          <w:tcPr/>
          <w:p>
            <w:pPr>
              <w:pStyle w:val="Compact"/>
              <w:jc w:val="left"/>
            </w:pPr>
            <w:r>
              <w:t xml:space="preserve">Same LLM as above</w:t>
            </w:r>
          </w:p>
        </w:tc>
      </w:tr>
      <w:tr>
        <w:tc>
          <w:tcPr/>
          <w:p>
            <w:pPr>
              <w:pStyle w:val="Compact"/>
              <w:jc w:val="left"/>
            </w:pPr>
            <w:r>
              <w:t xml:space="preserve">Readiness score composite</w:t>
            </w:r>
          </w:p>
        </w:tc>
        <w:tc>
          <w:tcPr/>
          <w:p>
            <w:pPr>
              <w:pStyle w:val="Compact"/>
              <w:jc w:val="left"/>
            </w:pPr>
            <w:r>
              <w:t xml:space="preserve">Combines the above into one score</w:t>
            </w:r>
          </w:p>
        </w:tc>
        <w:tc>
          <w:tcPr/>
          <w:p>
            <w:pPr>
              <w:pStyle w:val="Compact"/>
              <w:jc w:val="left"/>
            </w:pPr>
            <w:r>
              <w:rPr>
                <w:bCs/>
                <w:b/>
              </w:rPr>
              <w:t xml:space="preserve">Unchanged</w:t>
            </w:r>
            <w:r>
              <w:t xml:space="preserve">, rule-based</w:t>
            </w:r>
          </w:p>
        </w:tc>
      </w:tr>
    </w:tbl>
    <w:bookmarkStart w:id="28" w:name="Xf916f9995d4770267e4ab9ed3cb508e51ff52b3"/>
    <w:p>
      <w:pPr>
        <w:pStyle w:val="Heading3"/>
      </w:pPr>
      <w:r>
        <w:t xml:space="preserve">1.6.1 AI-generated-image detection — final decision</w:t>
      </w:r>
    </w:p>
    <w:p>
      <w:pPr>
        <w:pStyle w:val="FirstParagraph"/>
      </w:pPr>
      <w:r>
        <w:t xml:space="preserve">Deferred from the prototype’s core feature set, consistent with the original roadmap, and research affirms this was the right call, not merely a time-saving shortcut. If organizers want to see</w:t>
      </w:r>
      <w:r>
        <w:t xml:space="preserve"> </w:t>
      </w:r>
      <w:r>
        <w:rPr>
          <w:iCs/>
          <w:i/>
        </w:rPr>
        <w:t xml:space="preserve">something</w:t>
      </w:r>
      <w:r>
        <w:t xml:space="preserve"> </w:t>
      </w:r>
      <w:r>
        <w:t xml:space="preserve">on this axis before this becomes reliable, the fallback is an advisory-only ensemble check (§3.6) that extracts embedded images and reports a low-confidence score with an explicit</w:t>
      </w:r>
      <w:r>
        <w:t xml:space="preserve"> </w:t>
      </w:r>
      <w:r>
        <w:t xml:space="preserve">“</w:t>
      </w:r>
      <w:r>
        <w:t xml:space="preserve">not a gate, advisory only</w:t>
      </w:r>
      <w:r>
        <w:t xml:space="preserve">”</w:t>
      </w:r>
      <w:r>
        <w:t xml:space="preserve"> </w:t>
      </w:r>
      <w:r>
        <w:t xml:space="preserve">label, never contributing to the pass/fail decision.</w:t>
      </w:r>
      <w:r>
        <w:t xml:space="preserve"> </w:t>
      </w:r>
      <w:r>
        <w:rPr>
          <w:bCs/>
          <w:b/>
        </w:rPr>
        <w:t xml:space="preserve">[ASSUMPTION]</w:t>
      </w:r>
      <w:r>
        <w:t xml:space="preserve"> </w:t>
      </w:r>
      <w:r>
        <w:t xml:space="preserve">This advisory feature is out of scope even as advisory-only for the 25-day prototype unless Phase 6 polish time allows; it should not consume Phase 3 (AI depth) budget, which is already the tightest phase (§7).</w:t>
      </w:r>
    </w:p>
    <w:bookmarkEnd w:id="28"/>
    <w:bookmarkEnd w:id="29"/>
    <w:bookmarkStart w:id="30" w:name="ai-features-for-organizersreviewers"/>
    <w:p>
      <w:pPr>
        <w:pStyle w:val="Heading2"/>
      </w:pPr>
      <w:r>
        <w:t xml:space="preserve">1.7 AI features for organizers/reviewers</w:t>
      </w:r>
    </w:p>
    <w:p>
      <w:pPr>
        <w:numPr>
          <w:ilvl w:val="0"/>
          <w:numId w:val="1006"/>
        </w:numPr>
        <w:pStyle w:val="Compact"/>
      </w:pPr>
      <w:r>
        <w:t xml:space="preserve">Reviewer portal showing pre-screened papers with AI flags attached (§1.4).</w:t>
      </w:r>
    </w:p>
    <w:p>
      <w:pPr>
        <w:numPr>
          <w:ilvl w:val="0"/>
          <w:numId w:val="1006"/>
        </w:numPr>
        <w:pStyle w:val="Compact"/>
      </w:pPr>
      <w:r>
        <w:t xml:space="preserve">Basic organizer analytics: submission counts, pass/fail rates at the AI stage, flagged rate.</w:t>
      </w:r>
    </w:p>
    <w:p>
      <w:pPr>
        <w:numPr>
          <w:ilvl w:val="0"/>
          <w:numId w:val="1006"/>
        </w:numPr>
        <w:pStyle w:val="Compact"/>
      </w:pPr>
      <w:r>
        <w:t xml:space="preserve">Cross-conference history view (§1.5).</w:t>
      </w:r>
    </w:p>
    <w:p>
      <w:pPr>
        <w:numPr>
          <w:ilvl w:val="0"/>
          <w:numId w:val="1006"/>
        </w:numPr>
        <w:pStyle w:val="Compact"/>
      </w:pPr>
      <w:r>
        <w:rPr>
          <w:bCs/>
          <w:b/>
        </w:rPr>
        <w:t xml:space="preserve">Unchanged risk position, now with citation-backed evidence:</w:t>
      </w:r>
      <w:r>
        <w:t xml:space="preserve"> </w:t>
      </w:r>
      <w:r>
        <w:t xml:space="preserve">the risk register’s concern about AI-detector false positives against non-native-English writers is not speculative. A controlled study across seven GPT detectors found a mean false-positive rate of 61.3% on TOEFL essays written by non-native speakers, versus roughly 5% on native-speaker essays, and 97.8% of the TOEFL set was flagged by at least one detector. This is the direct evidentiary basis for the hard product constraint in §1.1 and the dual-detector-agreement design in §1.6. Reviewer-facing UI must show the specific confidence and flagged spans for every AI-content or plagiarism flag — never a bare</w:t>
      </w:r>
      <w:r>
        <w:t xml:space="preserve"> </w:t>
      </w:r>
      <w:r>
        <w:t xml:space="preserve">“</w:t>
      </w:r>
      <w:r>
        <w:t xml:space="preserve">AI-generated: yes/no</w:t>
      </w:r>
      <w:r>
        <w:t xml:space="preserve">”</w:t>
      </w:r>
      <w:r>
        <w:t xml:space="preserve"> </w:t>
      </w:r>
      <w:r>
        <w:t xml:space="preserve">— so reviewers can exercise judgment rather than defer to the tool.</w:t>
      </w:r>
    </w:p>
    <w:bookmarkEnd w:id="30"/>
    <w:bookmarkStart w:id="31" w:name="publisher-format-support"/>
    <w:p>
      <w:pPr>
        <w:pStyle w:val="Heading2"/>
      </w:pPr>
      <w:r>
        <w:t xml:space="preserve">1.8 Publisher format support</w:t>
      </w:r>
    </w:p>
    <w:p>
      <w:pPr>
        <w:pStyle w:val="FirstParagraph"/>
      </w:pPr>
      <w:r>
        <w:t xml:space="preserve">The prototype supports</w:t>
      </w:r>
      <w:r>
        <w:t xml:space="preserve"> </w:t>
      </w:r>
      <w:r>
        <w:rPr>
          <w:bCs/>
          <w:b/>
        </w:rPr>
        <w:t xml:space="preserve">one publisher format end-to-end: IEEE conference format</w:t>
      </w:r>
      <w:r>
        <w:t xml:space="preserve">, encoded as validation rules against GROBID’s parsed structure plus direct PDF measurement (margins, columns, fonts). Full IEEE rule set is in §3.7. An</w:t>
      </w:r>
      <w:r>
        <w:t xml:space="preserve"> </w:t>
      </w:r>
      <w:r>
        <w:t xml:space="preserve">“</w:t>
      </w:r>
      <w:r>
        <w:t xml:space="preserve">upload your own template</w:t>
      </w:r>
      <w:r>
        <w:t xml:space="preserve">”</w:t>
      </w:r>
      <w:r>
        <w:t xml:space="preserve"> </w:t>
      </w:r>
      <w:r>
        <w:t xml:space="preserve">option for custom/organizer-defined formats remains a Milestone-4-level, post-prototype feature per the original spec — not in the 25-day scope.</w:t>
      </w:r>
      <w:r>
        <w:t xml:space="preserve"> </w:t>
      </w:r>
      <w:r>
        <w:rPr>
          <w:bCs/>
          <w:b/>
        </w:rPr>
        <w:t xml:space="preserve">[ASSUMPTION]</w:t>
      </w:r>
      <w:r>
        <w:t xml:space="preserve"> </w:t>
      </w:r>
      <w:r>
        <w:t xml:space="preserve">Because IEEE’s own conferences mix US Letter and A4 page sizes depending on the venue, the prototype’s format validator must be page-size-aware (detect page dimensions and apply the matching margin/column spec) rather than assuming Letter; this was not explicit in the original roadmap and is called out here so it isn’t missed during implementation.</w:t>
      </w:r>
    </w:p>
    <w:bookmarkEnd w:id="31"/>
    <w:bookmarkStart w:id="32" w:name="system-architecture-notes-product-level"/>
    <w:p>
      <w:pPr>
        <w:pStyle w:val="Heading2"/>
      </w:pPr>
      <w:r>
        <w:t xml:space="preserve">1.9 System architecture notes (product-level)</w:t>
      </w:r>
    </w:p>
    <w:p>
      <w:pPr>
        <w:pStyle w:val="FirstParagraph"/>
      </w:pPr>
      <w:r>
        <w:t xml:space="preserve">Covered in full in §2. At the product level, nothing changes: AI handles mechanical checks, gate rules are configurable per conference, and the cross-conference history stays reviewer/organizer-only.</w:t>
      </w:r>
    </w:p>
    <w:bookmarkEnd w:id="32"/>
    <w:bookmarkStart w:id="33" w:name="user-roles-permissions-matrix"/>
    <w:p>
      <w:pPr>
        <w:pStyle w:val="Heading2"/>
      </w:pPr>
      <w:r>
        <w:t xml:space="preserve">1.10 User roles &amp; permissions matrix</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Role</w:t>
            </w:r>
          </w:p>
        </w:tc>
        <w:tc>
          <w:tcPr/>
          <w:p>
            <w:pPr>
              <w:pStyle w:val="Compact"/>
              <w:jc w:val="left"/>
            </w:pPr>
            <w:r>
              <w:t xml:space="preserve">Submit papers</w:t>
            </w:r>
          </w:p>
        </w:tc>
        <w:tc>
          <w:tcPr/>
          <w:p>
            <w:pPr>
              <w:pStyle w:val="Compact"/>
              <w:jc w:val="left"/>
            </w:pPr>
            <w:r>
              <w:t xml:space="preserve">View own submissions</w:t>
            </w:r>
          </w:p>
        </w:tc>
        <w:tc>
          <w:tcPr/>
          <w:p>
            <w:pPr>
              <w:pStyle w:val="Compact"/>
              <w:jc w:val="left"/>
            </w:pPr>
            <w:r>
              <w:t xml:space="preserve">Configure gate rules</w:t>
            </w:r>
          </w:p>
        </w:tc>
        <w:tc>
          <w:tcPr/>
          <w:p>
            <w:pPr>
              <w:pStyle w:val="Compact"/>
              <w:jc w:val="left"/>
            </w:pPr>
            <w:r>
              <w:t xml:space="preserve">Review assigned papers</w:t>
            </w:r>
          </w:p>
        </w:tc>
        <w:tc>
          <w:tcPr/>
          <w:p>
            <w:pPr>
              <w:pStyle w:val="Compact"/>
              <w:jc w:val="left"/>
            </w:pPr>
            <w:r>
              <w:t xml:space="preserve">View AI reports</w:t>
            </w:r>
          </w:p>
        </w:tc>
        <w:tc>
          <w:tcPr/>
          <w:p>
            <w:pPr>
              <w:pStyle w:val="Compact"/>
              <w:jc w:val="left"/>
            </w:pPr>
            <w:r>
              <w:t xml:space="preserve">View cross-conf. summaries</w:t>
            </w:r>
          </w:p>
        </w:tc>
        <w:tc>
          <w:tcPr/>
          <w:p>
            <w:pPr>
              <w:pStyle w:val="Compact"/>
              <w:jc w:val="left"/>
            </w:pPr>
            <w:r>
              <w:t xml:space="preserve">Manage reviewers</w:t>
            </w:r>
          </w:p>
        </w:tc>
        <w:tc>
          <w:tcPr/>
          <w:p>
            <w:pPr>
              <w:pStyle w:val="Compact"/>
              <w:jc w:val="left"/>
            </w:pPr>
            <w:r>
              <w:t xml:space="preserve">Manage co-admins</w:t>
            </w:r>
          </w:p>
        </w:tc>
        <w:tc>
          <w:tcPr/>
          <w:p>
            <w:pPr>
              <w:pStyle w:val="Compact"/>
              <w:jc w:val="left"/>
            </w:pPr>
            <w:r>
              <w:t xml:space="preserve">Export analytics</w:t>
            </w:r>
          </w:p>
        </w:tc>
      </w:tr>
      <w:tr>
        <w:tc>
          <w:tcPr/>
          <w:p>
            <w:pPr>
              <w:pStyle w:val="Compact"/>
              <w:jc w:val="left"/>
            </w:pPr>
            <w:r>
              <w:t xml:space="preserve">Researcher</w:t>
            </w:r>
          </w:p>
        </w:tc>
        <w:tc>
          <w:tcPr/>
          <w:p>
            <w:pPr>
              <w:pStyle w:val="Compact"/>
              <w:jc w:val="left"/>
            </w:pPr>
            <w:r>
              <w:t xml:space="preserve">Yes</w:t>
            </w:r>
          </w:p>
        </w:tc>
        <w:tc>
          <w:tcPr/>
          <w:p>
            <w:pPr>
              <w:pStyle w:val="Compact"/>
              <w:jc w:val="left"/>
            </w:pPr>
            <w:r>
              <w:t xml:space="preserve">Yes (own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(own paper’s report)</w:t>
            </w:r>
          </w:p>
        </w:tc>
        <w:tc>
          <w:tcPr/>
          <w:p>
            <w:pPr>
              <w:pStyle w:val="Compact"/>
              <w:jc w:val="left"/>
            </w:pPr>
            <w:r>
              <w:t xml:space="preserve">No (never in this form)</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Reviewer</w:t>
            </w:r>
          </w:p>
        </w:tc>
        <w:tc>
          <w:tcPr/>
          <w:p>
            <w:pPr>
              <w:pStyle w:val="Compact"/>
              <w:jc w:val="left"/>
            </w:pPr>
            <w:r>
              <w:t xml:space="preserve">No</w:t>
            </w:r>
          </w:p>
        </w:tc>
        <w:tc>
          <w:tcPr/>
          <w:p>
            <w:pPr>
              <w:pStyle w:val="Compact"/>
              <w:jc w:val="left"/>
            </w:pPr>
            <w:r>
              <w:t xml:space="preserve">N/A</w:t>
            </w:r>
          </w:p>
        </w:tc>
        <w:tc>
          <w:tcPr/>
          <w:p>
            <w:pPr>
              <w:pStyle w:val="Compact"/>
              <w:jc w:val="left"/>
            </w:pPr>
            <w:r>
              <w:t xml:space="preserve">No</w:t>
            </w:r>
          </w:p>
        </w:tc>
        <w:tc>
          <w:tcPr/>
          <w:p>
            <w:pPr>
              <w:pStyle w:val="Compact"/>
              <w:jc w:val="left"/>
            </w:pPr>
            <w:r>
              <w:t xml:space="preserve">Yes (assigned only)</w:t>
            </w:r>
          </w:p>
        </w:tc>
        <w:tc>
          <w:tcPr/>
          <w:p>
            <w:pPr>
              <w:pStyle w:val="Compact"/>
              <w:jc w:val="left"/>
            </w:pPr>
            <w:r>
              <w:t xml:space="preserve">Yes (assigned papers)</w:t>
            </w:r>
          </w:p>
        </w:tc>
        <w:tc>
          <w:tcPr/>
          <w:p>
            <w:pPr>
              <w:pStyle w:val="Compact"/>
              <w:jc w:val="left"/>
            </w:pPr>
            <w:r>
              <w:t xml:space="preserve">Yes (assigned papers, if flagged)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Organizer (full)</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 (own conference)</w:t>
            </w:r>
          </w:p>
        </w:tc>
        <w:tc>
          <w:tcPr/>
          <w:p>
            <w:pPr>
              <w:pStyle w:val="Compact"/>
              <w:jc w:val="left"/>
            </w:pPr>
            <w:r>
              <w:t xml:space="preserve">No (unless also a reviewer)</w:t>
            </w:r>
          </w:p>
        </w:tc>
        <w:tc>
          <w:tcPr/>
          <w:p>
            <w:pPr>
              <w:pStyle w:val="Compact"/>
              <w:jc w:val="left"/>
            </w:pPr>
            <w:r>
              <w:t xml:space="preserve">Yes (all, own conference)</w:t>
            </w:r>
          </w:p>
        </w:tc>
        <w:tc>
          <w:tcPr/>
          <w:p>
            <w:pPr>
              <w:pStyle w:val="Compact"/>
              <w:jc w:val="left"/>
            </w:pPr>
            <w:r>
              <w:t xml:space="preserve">Yes (own conference)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Co-admin (organizer, scoped)</w:t>
            </w:r>
          </w:p>
        </w:tc>
        <w:tc>
          <w:tcPr/>
          <w:p>
            <w:pPr>
              <w:pStyle w:val="Compact"/>
              <w:jc w:val="left"/>
            </w:pPr>
            <w:r>
              <w:t xml:space="preserve">No</w:t>
            </w:r>
          </w:p>
        </w:tc>
        <w:tc>
          <w:tcPr/>
          <w:p>
            <w:pPr>
              <w:pStyle w:val="Compact"/>
              <w:jc w:val="left"/>
            </w:pPr>
            <w:r>
              <w:t xml:space="preserve">N/A</w:t>
            </w:r>
          </w:p>
        </w:tc>
        <w:tc>
          <w:tcPr/>
          <w:p>
            <w:pPr>
              <w:pStyle w:val="Compact"/>
              <w:jc w:val="left"/>
            </w:pPr>
            <w:r>
              <w:t xml:space="preserve">Depends on permission level</w:t>
            </w:r>
          </w:p>
        </w:tc>
        <w:tc>
          <w:tcPr/>
          <w:p>
            <w:pPr>
              <w:pStyle w:val="Compact"/>
              <w:jc w:val="left"/>
            </w:pPr>
            <w:r>
              <w:t xml:space="preserve">No</w:t>
            </w:r>
          </w:p>
        </w:tc>
        <w:tc>
          <w:tcPr/>
          <w:p>
            <w:pPr>
              <w:pStyle w:val="Compact"/>
              <w:jc w:val="left"/>
            </w:pPr>
            <w:r>
              <w:t xml:space="preserve">Scoped to assigned tracks</w:t>
            </w:r>
          </w:p>
        </w:tc>
        <w:tc>
          <w:tcPr/>
          <w:p>
            <w:pPr>
              <w:pStyle w:val="Compact"/>
              <w:jc w:val="left"/>
            </w:pPr>
            <w:r>
              <w:t xml:space="preserve">Scoped to assigned tracks</w:t>
            </w:r>
          </w:p>
        </w:tc>
        <w:tc>
          <w:tcPr/>
          <w:p>
            <w:pPr>
              <w:pStyle w:val="Compact"/>
              <w:jc w:val="left"/>
            </w:pPr>
            <w:r>
              <w:t xml:space="preserve">Scoped</w:t>
            </w:r>
          </w:p>
        </w:tc>
        <w:tc>
          <w:tcPr/>
          <w:p>
            <w:pPr>
              <w:pStyle w:val="Compact"/>
              <w:jc w:val="left"/>
            </w:pPr>
            <w:r>
              <w:t xml:space="preserve">No (cannot add other co-admins)</w:t>
            </w:r>
          </w:p>
        </w:tc>
        <w:tc>
          <w:tcPr/>
          <w:p>
            <w:pPr>
              <w:pStyle w:val="Compact"/>
              <w:jc w:val="left"/>
            </w:pPr>
            <w:r>
              <w:t xml:space="preserve">Scoped</w:t>
            </w:r>
          </w:p>
        </w:tc>
      </w:tr>
    </w:tbl>
    <w:p>
      <w:pPr>
        <w:pStyle w:val="BodyText"/>
      </w:pPr>
      <w:r>
        <w:rPr>
          <w:bCs/>
          <w:b/>
        </w:rPr>
        <w:t xml:space="preserve">[ASSUMPTION]</w:t>
      </w:r>
      <w:r>
        <w:t xml:space="preserve"> </w:t>
      </w:r>
      <w:r>
        <w:t xml:space="preserve">Fine-grained co-admin permission levels (track-level admin vs. full conference admin) were flagged as an open question in the original spec and remain only partially resolved here: the prototype implements a single</w:t>
      </w:r>
      <w:r>
        <w:t xml:space="preserve"> </w:t>
      </w:r>
      <w:r>
        <w:rPr>
          <w:rStyle w:val="VerbatimChar"/>
        </w:rPr>
        <w:t xml:space="preserve">co_admin</w:t>
      </w:r>
      <w:r>
        <w:t xml:space="preserve"> </w:t>
      </w:r>
      <w:r>
        <w:t xml:space="preserve">role with a</w:t>
      </w:r>
      <w:r>
        <w:t xml:space="preserve"> </w:t>
      </w:r>
      <w:r>
        <w:rPr>
          <w:rStyle w:val="VerbatimChar"/>
        </w:rPr>
        <w:t xml:space="preserve">permission_level</w:t>
      </w:r>
      <w:r>
        <w:t xml:space="preserve"> </w:t>
      </w:r>
      <w:r>
        <w:t xml:space="preserve">enum (</w:t>
      </w:r>
      <w:r>
        <w:rPr>
          <w:rStyle w:val="VerbatimChar"/>
        </w:rPr>
        <w:t xml:space="preserve">full</w:t>
      </w:r>
      <w:r>
        <w:t xml:space="preserve">,</w:t>
      </w:r>
      <w:r>
        <w:t xml:space="preserve"> </w:t>
      </w:r>
      <w:r>
        <w:rPr>
          <w:rStyle w:val="VerbatimChar"/>
        </w:rPr>
        <w:t xml:space="preserve">track_scoped</w:t>
      </w:r>
      <w:r>
        <w:t xml:space="preserve">) but does not build out granular per-track UI restrictions in the 25-day window — the field exists in the schema (§4) so this is a clean post-prototype extension, not a schema migration.</w:t>
      </w:r>
    </w:p>
    <w:bookmarkEnd w:id="33"/>
    <w:bookmarkStart w:id="34" w:name="notification-communication-system"/>
    <w:p>
      <w:pPr>
        <w:pStyle w:val="Heading2"/>
      </w:pPr>
      <w:r>
        <w:t xml:space="preserve">1.11 Notification &amp; communication system</w:t>
      </w:r>
    </w:p>
    <w:p>
      <w:pPr>
        <w:pStyle w:val="FirstParagraph"/>
      </w:pPr>
      <w:r>
        <w:t xml:space="preserve">In-app notifications for status changes (submission received, AI report ready, hard-gate rejection, review assigned, decision made). Email notifications (Resend/SendGrid free tier) are a stretch goal, not core scope. Digest mode for high-volume organizers is out of scope for the prototype.</w:t>
      </w:r>
    </w:p>
    <w:bookmarkEnd w:id="34"/>
    <w:bookmarkStart w:id="35" w:name="data-privacy-ip-handling"/>
    <w:p>
      <w:pPr>
        <w:pStyle w:val="Heading2"/>
      </w:pPr>
      <w:r>
        <w:t xml:space="preserve">1.12 Data privacy &amp; IP handling</w:t>
      </w:r>
    </w:p>
    <w:p>
      <w:pPr>
        <w:pStyle w:val="FirstParagraph"/>
      </w:pPr>
      <w:r>
        <w:t xml:space="preserve">Unchanged from the original spec; still requires formal legal review before any pilot with real researchers, but the baseline commitments to build toward:</w:t>
      </w:r>
    </w:p>
    <w:p>
      <w:pPr>
        <w:numPr>
          <w:ilvl w:val="0"/>
          <w:numId w:val="1007"/>
        </w:numPr>
        <w:pStyle w:val="Compact"/>
      </w:pPr>
      <w:r>
        <w:t xml:space="preserve">Uploaded papers are not used to train external/third-party AI models without explicit researcher consent.</w:t>
      </w:r>
    </w:p>
    <w:p>
      <w:pPr>
        <w:numPr>
          <w:ilvl w:val="0"/>
          <w:numId w:val="1007"/>
        </w:numPr>
        <w:pStyle w:val="Compact"/>
      </w:pPr>
      <w:r>
        <w:t xml:space="preserve">Full-paper access is restricted to the submitting researcher, assigned reviewers, and organizers/admins of that specific conference.</w:t>
      </w:r>
    </w:p>
    <w:p>
      <w:pPr>
        <w:numPr>
          <w:ilvl w:val="0"/>
          <w:numId w:val="1007"/>
        </w:numPr>
        <w:pStyle w:val="Compact"/>
      </w:pPr>
      <w:r>
        <w:t xml:space="preserve">Cross-conference history exposes only the auto-generated summary, never full paper content or full reviewer comments, to a different conference.</w:t>
      </w:r>
    </w:p>
    <w:p>
      <w:pPr>
        <w:numPr>
          <w:ilvl w:val="0"/>
          <w:numId w:val="1007"/>
        </w:numPr>
        <w:pStyle w:val="Compact"/>
      </w:pPr>
      <w:r>
        <w:t xml:space="preserve">Data retention policy and right-to-deletion need explicit definition before any real pilot.</w:t>
      </w:r>
    </w:p>
    <w:p>
      <w:pPr>
        <w:numPr>
          <w:ilvl w:val="0"/>
          <w:numId w:val="1007"/>
        </w:numPr>
        <w:pStyle w:val="Compact"/>
      </w:pPr>
      <w:r>
        <w:t xml:space="preserve">Plagiarism checks compare against external reference-corpus data pulled from public APIs (§3.4); no researcher-submitted paper content is sent to those external APIs — the comparison runs locally against the pre-built corpus index, which is an important point to state explicitly to researchers in the privacy policy.</w:t>
      </w:r>
    </w:p>
    <w:p>
      <w:pPr>
        <w:numPr>
          <w:ilvl w:val="0"/>
          <w:numId w:val="1007"/>
        </w:numPr>
        <w:pStyle w:val="Compact"/>
      </w:pPr>
      <w:r>
        <w:t xml:space="preserve">GDPR-style consent handling needed if the platform serves international researchers/institutions.</w:t>
      </w:r>
    </w:p>
    <w:bookmarkEnd w:id="35"/>
    <w:bookmarkStart w:id="36" w:name="success-metrics-kpis"/>
    <w:p>
      <w:pPr>
        <w:pStyle w:val="Heading2"/>
      </w:pPr>
      <w:r>
        <w:t xml:space="preserve">1.13 Success metrics / KPIs</w:t>
      </w:r>
    </w:p>
    <w:p>
      <w:pPr>
        <w:pStyle w:val="FirstParagraph"/>
      </w:pPr>
      <w:r>
        <w:t xml:space="preserve">Unchanged from the original spec: reviewer time saved, AI gate accuracy (false-positive/false-negative rate tracked separately per check type), researcher satisfaction on perceived fairness, revision-to-resubmission turnaround, reviewer adoption/trust, organizer retention, appeal rate. None of these are instrumented in the 25-day prototype beyond basic event logging (submission created, AI report generated, gate decision, review submitted, final decision) — the KPI dashboards themselves are a pilot-phase (Milestone 5+) deliverable, not a prototype deliverable.</w:t>
      </w:r>
    </w:p>
    <w:bookmarkEnd w:id="36"/>
    <w:bookmarkStart w:id="37" w:name="risk-register-updated"/>
    <w:p>
      <w:pPr>
        <w:pStyle w:val="Heading2"/>
      </w:pPr>
      <w:r>
        <w:t xml:space="preserve">1.14 Risk register (updated)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Why it matters</w:t>
            </w:r>
          </w:p>
        </w:tc>
        <w:tc>
          <w:tcPr/>
          <w:p>
            <w:pPr>
              <w:pStyle w:val="Compact"/>
              <w:jc w:val="left"/>
            </w:pPr>
            <w:r>
              <w:t xml:space="preserve">Mitigation</w:t>
            </w:r>
          </w:p>
        </w:tc>
        <w:tc>
          <w:tcPr/>
          <w:p>
            <w:pPr>
              <w:pStyle w:val="Compact"/>
              <w:jc w:val="left"/>
            </w:pPr>
            <w:r>
              <w:t xml:space="preserve">Status after research</w:t>
            </w:r>
          </w:p>
        </w:tc>
      </w:tr>
      <w:tr>
        <w:tc>
          <w:tcPr/>
          <w:p>
            <w:pPr>
              <w:pStyle w:val="Compact"/>
              <w:jc w:val="left"/>
            </w:pPr>
            <w:r>
              <w:t xml:space="preserve">AI-content detectors have known false-positive rates, especially against non-native-English writers</w:t>
            </w:r>
          </w:p>
        </w:tc>
        <w:tc>
          <w:tcPr/>
          <w:p>
            <w:pPr>
              <w:pStyle w:val="Compact"/>
              <w:jc w:val="left"/>
            </w:pPr>
            <w:r>
              <w:t xml:space="preserve">Could wrongly block/flag legitimate researchers</w:t>
            </w:r>
          </w:p>
        </w:tc>
        <w:tc>
          <w:tcPr/>
          <w:p>
            <w:pPr>
              <w:pStyle w:val="Compact"/>
              <w:jc w:val="left"/>
            </w:pPr>
            <w:r>
              <w:t xml:space="preserve">Soft-gate only; dual-detector agreement (Binoculars + Fast-DetectGPT); show confidence + spans</w:t>
            </w:r>
          </w:p>
        </w:tc>
        <w:tc>
          <w:tcPr/>
          <w:p>
            <w:pPr>
              <w:pStyle w:val="Compact"/>
              <w:jc w:val="left"/>
            </w:pPr>
            <w:r>
              <w:rPr>
                <w:bCs/>
                <w:b/>
              </w:rPr>
              <w:t xml:space="preserve">Confirmed and hardened into a product constraint</w:t>
            </w:r>
            <w:r>
              <w:t xml:space="preserve"> </w:t>
            </w:r>
            <w:r>
              <w:t xml:space="preserve">— see §1.1, §1.7</w:t>
            </w:r>
          </w:p>
        </w:tc>
      </w:tr>
      <w:tr>
        <w:tc>
          <w:tcPr/>
          <w:p>
            <w:pPr>
              <w:pStyle w:val="Compact"/>
              <w:jc w:val="left"/>
            </w:pPr>
            <w:r>
              <w:t xml:space="preserve">Plagiarism/similarity false positives (correctly cited quotes, common methodology language)</w:t>
            </w:r>
          </w:p>
        </w:tc>
        <w:tc>
          <w:tcPr/>
          <w:p>
            <w:pPr>
              <w:pStyle w:val="Compact"/>
              <w:jc w:val="left"/>
            </w:pPr>
            <w:r>
              <w:t xml:space="preserve">Same trust risk</w:t>
            </w:r>
          </w:p>
        </w:tc>
        <w:tc>
          <w:tcPr/>
          <w:p>
            <w:pPr>
              <w:pStyle w:val="Compact"/>
              <w:jc w:val="left"/>
            </w:pPr>
            <w:r>
              <w:t xml:space="preserve">Source-highlighting transparency; soft gate</w:t>
            </w:r>
          </w:p>
        </w:tc>
        <w:tc>
          <w:tcPr/>
          <w:p>
            <w:pPr>
              <w:pStyle w:val="Compact"/>
              <w:jc w:val="left"/>
            </w:pPr>
            <w:r>
              <w:t xml:space="preserve">Confirmed; embedding model upgrade (BGE-M3/SPECTER2) should reduce noise from generic phrasing vs. all-MiniLM-L6-v2 but does not eliminate the underlying risk</w:t>
            </w:r>
          </w:p>
        </w:tc>
      </w:tr>
      <w:tr>
        <w:tc>
          <w:tcPr/>
          <w:p>
            <w:pPr>
              <w:pStyle w:val="Compact"/>
              <w:jc w:val="left"/>
            </w:pPr>
            <w:r>
              <w:t xml:space="preserve">Researchers attempt to game the gate (e.g., paraphrasing tools to dodge AI-text detection)</w:t>
            </w:r>
          </w:p>
        </w:tc>
        <w:tc>
          <w:tcPr/>
          <w:p>
            <w:pPr>
              <w:pStyle w:val="Compact"/>
              <w:jc w:val="left"/>
            </w:pPr>
            <w:r>
              <w:t xml:space="preserve">Undermines integrity purpose</w:t>
            </w:r>
          </w:p>
        </w:tc>
        <w:tc>
          <w:tcPr/>
          <w:p>
            <w:pPr>
              <w:pStyle w:val="Compact"/>
              <w:jc w:val="left"/>
            </w:pPr>
            <w:r>
              <w:t xml:space="preserve">Plan for detection model updates as ongoing</w:t>
            </w:r>
          </w:p>
        </w:tc>
        <w:tc>
          <w:tcPr/>
          <w:p>
            <w:pPr>
              <w:pStyle w:val="Compact"/>
              <w:jc w:val="left"/>
            </w:pPr>
            <w:r>
              <w:rPr>
                <w:bCs/>
                <w:b/>
              </w:rPr>
              <w:t xml:space="preserve">Confirmed as a real, currently unsolved weakness</w:t>
            </w:r>
            <w:r>
              <w:t xml:space="preserve"> </w:t>
            </w:r>
            <w:r>
              <w:t xml:space="preserve">— Binoculars accuracy on paraphrase-attacked text drops from ~80% to ~44% in published benchmarks, and detectors in general struggle against actively</w:t>
            </w:r>
            <w:r>
              <w:t xml:space="preserve"> </w:t>
            </w:r>
            <w:r>
              <w:t xml:space="preserve">“</w:t>
            </w:r>
            <w:r>
              <w:t xml:space="preserve">humanized</w:t>
            </w:r>
            <w:r>
              <w:t xml:space="preserve">”</w:t>
            </w:r>
            <w:r>
              <w:t xml:space="preserve"> </w:t>
            </w:r>
            <w:r>
              <w:t xml:space="preserve">text. Treat all AI-text flags as weak evidence, not strong evidence.</w:t>
            </w:r>
          </w:p>
        </w:tc>
      </w:tr>
      <w:tr>
        <w:tc>
          <w:tcPr/>
          <w:p>
            <w:pPr>
              <w:pStyle w:val="Compact"/>
              <w:jc w:val="left"/>
            </w:pPr>
            <w:r>
              <w:t xml:space="preserve">Publisher format rules change over time</w:t>
            </w:r>
          </w:p>
        </w:tc>
        <w:tc>
          <w:tcPr/>
          <w:p>
            <w:pPr>
              <w:pStyle w:val="Compact"/>
              <w:jc w:val="left"/>
            </w:pPr>
            <w:r>
              <w:t xml:space="preserve">Formatting checks go stale</w:t>
            </w:r>
          </w:p>
        </w:tc>
        <w:tc>
          <w:tcPr/>
          <w:p>
            <w:pPr>
              <w:pStyle w:val="Compact"/>
              <w:jc w:val="left"/>
            </w:pPr>
            <w:r>
              <w:t xml:space="preserve">Build format rules as updatable config</w:t>
            </w:r>
          </w:p>
        </w:tc>
        <w:tc>
          <w:tcPr/>
          <w:p>
            <w:pPr>
              <w:pStyle w:val="Compact"/>
              <w:jc w:val="left"/>
            </w:pPr>
            <w:r>
              <w:t xml:space="preserve">Unchanged;</w:t>
            </w:r>
            <w:r>
              <w:t xml:space="preserve"> </w:t>
            </w:r>
            <w:r>
              <w:rPr>
                <w:rStyle w:val="VerbatimChar"/>
              </w:rPr>
              <w:t xml:space="preserve">publisher_format_rules</w:t>
            </w:r>
            <w:r>
              <w:t xml:space="preserve"> </w:t>
            </w:r>
            <w:r>
              <w:t xml:space="preserve">table (§4) is versioned for exactly this reason</w:t>
            </w:r>
          </w:p>
        </w:tc>
      </w:tr>
      <w:tr>
        <w:tc>
          <w:tcPr/>
          <w:p>
            <w:pPr>
              <w:pStyle w:val="Compact"/>
              <w:jc w:val="left"/>
            </w:pPr>
            <w:r>
              <w:t xml:space="preserve">Unpublished paper confidentiality breach</w:t>
            </w:r>
          </w:p>
        </w:tc>
        <w:tc>
          <w:tcPr/>
          <w:p>
            <w:pPr>
              <w:pStyle w:val="Compact"/>
              <w:jc w:val="left"/>
            </w:pPr>
            <w:r>
              <w:t xml:space="preserve">Core trust issue</w:t>
            </w:r>
          </w:p>
        </w:tc>
        <w:tc>
          <w:tcPr/>
          <w:p>
            <w:pPr>
              <w:pStyle w:val="Compact"/>
              <w:jc w:val="left"/>
            </w:pPr>
            <w:r>
              <w:t xml:space="preserve">Formal privacy policy, access control, encryption at rest/in transit</w:t>
            </w:r>
          </w:p>
        </w:tc>
        <w:tc>
          <w:tcPr/>
          <w:p>
            <w:pPr>
              <w:pStyle w:val="Compact"/>
              <w:jc w:val="left"/>
            </w:pPr>
            <w:r>
              <w:t xml:space="preserve">Unchanged, still needs legal review before any pilot</w:t>
            </w:r>
          </w:p>
        </w:tc>
      </w:tr>
      <w:tr>
        <w:tc>
          <w:tcPr/>
          <w:p>
            <w:pPr>
              <w:pStyle w:val="Compact"/>
              <w:jc w:val="left"/>
            </w:pPr>
            <w:r>
              <w:t xml:space="preserve">Cross-conference history seen as unfair if ever exposed to researchers</w:t>
            </w:r>
          </w:p>
        </w:tc>
        <w:tc>
          <w:tcPr/>
          <w:p>
            <w:pPr>
              <w:pStyle w:val="Compact"/>
              <w:jc w:val="left"/>
            </w:pPr>
            <w:r>
              <w:t xml:space="preserve">Researcher trust</w:t>
            </w:r>
          </w:p>
        </w:tc>
        <w:tc>
          <w:tcPr/>
          <w:p>
            <w:pPr>
              <w:pStyle w:val="Compact"/>
              <w:jc w:val="left"/>
            </w:pPr>
            <w:r>
              <w:t xml:space="preserve">Keep reviewer/organizer-only, clear policy</w:t>
            </w:r>
          </w:p>
        </w:tc>
        <w:tc>
          <w:tcPr/>
          <w:p>
            <w:pPr>
              <w:pStyle w:val="Compact"/>
              <w:jc w:val="left"/>
            </w:pPr>
            <w:r>
              <w:t xml:space="preserve">Unchanged</w:t>
            </w:r>
          </w:p>
        </w:tc>
      </w:tr>
      <w:tr>
        <w:tc>
          <w:tcPr/>
          <w:p>
            <w:pPr>
              <w:pStyle w:val="Compact"/>
              <w:jc w:val="left"/>
            </w:pPr>
            <w:r>
              <w:t xml:space="preserve">Pricing may not cover AI inference/storage costs at scale</w:t>
            </w:r>
          </w:p>
        </w:tc>
        <w:tc>
          <w:tcPr/>
          <w:p>
            <w:pPr>
              <w:pStyle w:val="Compact"/>
              <w:jc w:val="left"/>
            </w:pPr>
            <w:r>
              <w:t xml:space="preserve">Business sustainability</w:t>
            </w:r>
          </w:p>
        </w:tc>
        <w:tc>
          <w:tcPr/>
          <w:p>
            <w:pPr>
              <w:pStyle w:val="Compact"/>
              <w:jc w:val="left"/>
            </w:pPr>
            <w:r>
              <w:t xml:space="preserve">Model unit economics before pricing publicly</w:t>
            </w:r>
          </w:p>
        </w:tc>
        <w:tc>
          <w:tcPr/>
          <w:p>
            <w:pPr>
              <w:pStyle w:val="Compact"/>
              <w:jc w:val="left"/>
            </w:pPr>
            <w:r>
              <w:t xml:space="preserve">Unchanged open question — out of scope for this technical document, but note that GPU inference cost for the prototype itself is trivial (§3.8/§7 pricing section); at-scale unit economics is a separate exercise from prototype infra cost</w:t>
            </w:r>
          </w:p>
        </w:tc>
      </w:tr>
      <w:tr>
        <w:tc>
          <w:tcPr/>
          <w:p>
            <w:pPr>
              <w:pStyle w:val="Compact"/>
              <w:jc w:val="left"/>
            </w:pPr>
            <w:r>
              <w:t xml:space="preserve">Reviewer over-reliance on AI flags reduces genuine scrutiny</w:t>
            </w:r>
          </w:p>
        </w:tc>
        <w:tc>
          <w:tcPr/>
          <w:p>
            <w:pPr>
              <w:pStyle w:val="Compact"/>
              <w:jc w:val="left"/>
            </w:pPr>
            <w:r>
              <w:t xml:space="preserve">Undermines</w:t>
            </w:r>
            <w:r>
              <w:t xml:space="preserve"> </w:t>
            </w:r>
            <w:r>
              <w:t xml:space="preserve">“</w:t>
            </w:r>
            <w:r>
              <w:t xml:space="preserve">augment, don’t replace</w:t>
            </w:r>
            <w:r>
              <w:t xml:space="preserve">”</w:t>
            </w:r>
          </w:p>
        </w:tc>
        <w:tc>
          <w:tcPr/>
          <w:p>
            <w:pPr>
              <w:pStyle w:val="Compact"/>
              <w:jc w:val="left"/>
            </w:pPr>
            <w:r>
              <w:t xml:space="preserve">Present flags as input, not verdicts</w:t>
            </w:r>
          </w:p>
        </w:tc>
        <w:tc>
          <w:tcPr/>
          <w:p>
            <w:pPr>
              <w:pStyle w:val="Compact"/>
              <w:jc w:val="left"/>
            </w:pPr>
            <w:r>
              <w:t xml:space="preserve">Unchanged; reinforced by requiring visible confidence scores rather than binary flags</w:t>
            </w:r>
          </w:p>
        </w:tc>
      </w:tr>
      <w:tr>
        <w:tc>
          <w:tcPr/>
          <w:p>
            <w:pPr>
              <w:pStyle w:val="Compact"/>
              <w:jc w:val="left"/>
            </w:pPr>
            <w:r>
              <w:rPr>
                <w:bCs/>
                <w:b/>
              </w:rPr>
              <w:t xml:space="preserve">[NEW]</w:t>
            </w:r>
            <w:r>
              <w:t xml:space="preserve"> </w:t>
            </w:r>
            <w:r>
              <w:t xml:space="preserve">GPU/AI-integration build risk</w:t>
            </w:r>
          </w:p>
        </w:tc>
        <w:tc>
          <w:tcPr/>
          <w:p>
            <w:pPr>
              <w:pStyle w:val="Compact"/>
              <w:jc w:val="left"/>
            </w:pPr>
            <w:r>
              <w:t xml:space="preserve">Binoculars + local LLM co-residency on a single L4 is tight; first-run GPU debugging is a common source of schedule slippage</w:t>
            </w:r>
          </w:p>
        </w:tc>
        <w:tc>
          <w:tcPr/>
          <w:p>
            <w:pPr>
              <w:pStyle w:val="Compact"/>
              <w:jc w:val="left"/>
            </w:pPr>
            <w:r>
              <w:t xml:space="preserve">Sequential execution of GPU-bound checks rather than co-resident; hosted-API fallback (Groq free tier) for the LLM check if local setup slips past Day 12</w:t>
            </w:r>
          </w:p>
        </w:tc>
        <w:tc>
          <w:tcPr/>
          <w:p>
            <w:pPr>
              <w:pStyle w:val="Compact"/>
              <w:jc w:val="left"/>
            </w:pPr>
            <w:r>
              <w:t xml:space="preserve">Directly informs the revised roadmap in §7</w:t>
            </w:r>
          </w:p>
        </w:tc>
      </w:tr>
      <w:tr>
        <w:tc>
          <w:tcPr/>
          <w:p>
            <w:pPr>
              <w:pStyle w:val="Compact"/>
              <w:jc w:val="left"/>
            </w:pPr>
            <w:r>
              <w:rPr>
                <w:bCs/>
                <w:b/>
              </w:rPr>
              <w:t xml:space="preserve">[NEW]</w:t>
            </w:r>
            <w:r>
              <w:t xml:space="preserve"> </w:t>
            </w:r>
            <w:r>
              <w:t xml:space="preserve">AI-generated-image detection unreliability</w:t>
            </w:r>
          </w:p>
        </w:tc>
        <w:tc>
          <w:tcPr/>
          <w:p>
            <w:pPr>
              <w:pStyle w:val="Compact"/>
              <w:jc w:val="left"/>
            </w:pPr>
            <w:r>
              <w:t xml:space="preserve">An organizer or researcher could reasonably expect this feature given the risk register mentions it; shipping an unreliable version could do more harm (false accusations) than not shipping it</w:t>
            </w:r>
          </w:p>
        </w:tc>
        <w:tc>
          <w:tcPr/>
          <w:p>
            <w:pPr>
              <w:pStyle w:val="Compact"/>
              <w:jc w:val="left"/>
            </w:pPr>
            <w:r>
              <w:t xml:space="preserve">Keep fully deferred in the prototype; if shown at all, label as advisory-only, never gating</w:t>
            </w:r>
          </w:p>
        </w:tc>
        <w:tc>
          <w:tcPr/>
          <w:p>
            <w:pPr>
              <w:pStyle w:val="Compact"/>
              <w:jc w:val="left"/>
            </w:pPr>
            <w:r>
              <w:t xml:space="preserve">See §1.6.1</w:t>
            </w:r>
          </w:p>
        </w:tc>
      </w:tr>
    </w:tbl>
    <w:bookmarkEnd w:id="37"/>
    <w:bookmarkStart w:id="38" w:name="competitive-landscape-note"/>
    <w:p>
      <w:pPr>
        <w:pStyle w:val="Heading2"/>
      </w:pPr>
      <w:r>
        <w:t xml:space="preserve">1.15 Competitive landscape note</w:t>
      </w:r>
    </w:p>
    <w:p>
      <w:pPr>
        <w:pStyle w:val="FirstParagraph"/>
      </w:pPr>
      <w:r>
        <w:t xml:space="preserve">Unchanged from the original spec: EasyChair, Microsoft CMT, OpenReview, and ScholarOne function primarily as submission/communication portals without an automated AI pre-review gate. This system differentiates on automated pre-review before human reviewers see a paper, organizer-configurable thresholds, persistent cross-conference history, and pricing positioned for the underserved middle of the market. No research was scoped to update this section — it is a market-positioning statement, not a technical claim, and stays as originally written pending a dedicated competitive analysis.</w:t>
      </w:r>
    </w:p>
    <w:bookmarkEnd w:id="38"/>
    <w:bookmarkStart w:id="39" w:name="X0564042df02b2e4cdd0032fc73d808e7efcc271"/>
    <w:p>
      <w:pPr>
        <w:pStyle w:val="Heading2"/>
      </w:pPr>
      <w:r>
        <w:t xml:space="preserve">1.16 Open questions carried forward (not resolved by this document)</w:t>
      </w:r>
    </w:p>
    <w:p>
      <w:pPr>
        <w:numPr>
          <w:ilvl w:val="0"/>
          <w:numId w:val="1008"/>
        </w:numPr>
        <w:pStyle w:val="Compact"/>
      </w:pPr>
      <w:r>
        <w:t xml:space="preserve">Legal review of data privacy commitments (§1.12), especially third-party plagiarism-database comparisons and any AI model training data policy.</w:t>
      </w:r>
    </w:p>
    <w:p>
      <w:pPr>
        <w:numPr>
          <w:ilvl w:val="0"/>
          <w:numId w:val="1008"/>
        </w:numPr>
        <w:pStyle w:val="Compact"/>
      </w:pPr>
      <w:r>
        <w:t xml:space="preserve">Infrastructure/cost model at pilot scale (distinct from the trivial prototype GPU cost validated in §7.7) to test the $5–10/researcher/year, $150–200/organizer/year pricing assumption.</w:t>
      </w:r>
    </w:p>
    <w:p>
      <w:pPr>
        <w:numPr>
          <w:ilvl w:val="0"/>
          <w:numId w:val="1008"/>
        </w:numPr>
        <w:pStyle w:val="Compact"/>
      </w:pPr>
      <w:r>
        <w:t xml:space="preserve">Fine-grained co-admin permission levels beyond the two-tier</w:t>
      </w:r>
      <w:r>
        <w:t xml:space="preserve"> </w:t>
      </w:r>
      <w:r>
        <w:rPr>
          <w:rStyle w:val="VerbatimChar"/>
        </w:rPr>
        <w:t xml:space="preserve">full</w:t>
      </w:r>
      <w:r>
        <w:t xml:space="preserve">/</w:t>
      </w:r>
      <w:r>
        <w:rPr>
          <w:rStyle w:val="VerbatimChar"/>
        </w:rPr>
        <w:t xml:space="preserve">track_scoped</w:t>
      </w:r>
      <w:r>
        <w:t xml:space="preserve"> </w:t>
      </w:r>
      <w:r>
        <w:t xml:space="preserve">split noted in §1.10.</w:t>
      </w:r>
    </w:p>
    <w:p>
      <w:pPr>
        <w:numPr>
          <w:ilvl w:val="0"/>
          <w:numId w:val="1008"/>
        </w:numPr>
        <w:pStyle w:val="Compact"/>
      </w:pPr>
      <w:r>
        <w:t xml:space="preserve">Direct feature-by-feature competitive comparison against EasyChair, CMT, OpenReview, ScholarOne.</w:t>
      </w:r>
    </w:p>
    <w:p>
      <w:pPr>
        <w:numPr>
          <w:ilvl w:val="0"/>
          <w:numId w:val="1008"/>
        </w:numPr>
        <w:pStyle w:val="Compact"/>
      </w:pPr>
      <w:r>
        <w:t xml:space="preserve">Appeals process design for researchers who believe they were incorrectly flagged — the schema (§4) supports storing an appeal as a linked record, but the workflow itself is not designed in this document.</w:t>
      </w:r>
    </w:p>
    <w:p>
      <w:r>
        <w:br w:type="page"/>
      </w:r>
    </w:p>
    <w:bookmarkEnd w:id="39"/>
    <w:bookmarkEnd w:id="40"/>
    <w:bookmarkStart w:id="62" w:name="system-architecture"/>
    <w:p>
      <w:pPr>
        <w:pStyle w:val="Heading1"/>
      </w:pPr>
      <w:r>
        <w:t xml:space="preserve">2. System Architecture</w:t>
      </w:r>
    </w:p>
    <w:bookmarkStart w:id="44" w:name="architecture-diagram"/>
    <w:p>
      <w:pPr>
        <w:pStyle w:val="Heading2"/>
      </w:pPr>
      <w:r>
        <w:t xml:space="preserve">2.1 Architecture diagram</w:t>
      </w:r>
    </w:p>
    <w:p>
      <w:pPr>
        <w:pStyle w:val="CaptionedFigure"/>
      </w:pPr>
      <w:r>
        <w:drawing>
          <wp:inline>
            <wp:extent cx="5334000" cy="4445000"/>
            <wp:effectExtent b="0" l="0" r="0" t="0"/>
            <wp:docPr descr="Figure 3 — System Architecture" title="" id="42" name="Picture"/>
            <a:graphic>
              <a:graphicData uri="http://schemas.openxmlformats.org/drawingml/2006/picture">
                <pic:pic>
                  <pic:nvPicPr>
                    <pic:cNvPr descr="diagrams/diag3_arch.png" id="43" name="Picture"/>
                    <pic:cNvPicPr>
                      <a:picLocks noChangeArrowheads="1" noChangeAspect="1"/>
                    </pic:cNvPicPr>
                  </pic:nvPicPr>
                  <pic:blipFill>
                    <a:blip r:embed="rId41"/>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3 — System Architecture</w:t>
      </w:r>
    </w:p>
    <w:bookmarkEnd w:id="44"/>
    <w:bookmarkStart w:id="51" w:name="layer-by-layer-breakdown"/>
    <w:p>
      <w:pPr>
        <w:pStyle w:val="Heading2"/>
      </w:pPr>
      <w:r>
        <w:t xml:space="preserve">2.2 Layer-by-layer breakdown</w:t>
      </w:r>
    </w:p>
    <w:bookmarkStart w:id="45" w:name="frontend"/>
    <w:p>
      <w:pPr>
        <w:pStyle w:val="Heading3"/>
      </w:pPr>
      <w:r>
        <w:t xml:space="preserve">2.2.1 Frontend</w:t>
      </w:r>
    </w:p>
    <w:p>
      <w:pPr>
        <w:pStyle w:val="FirstParagraph"/>
      </w:pPr>
      <w:r>
        <w:rPr>
          <w:bCs/>
          <w:b/>
        </w:rPr>
        <w:t xml:space="preserve">Next.js / React</w:t>
      </w:r>
      <w:r>
        <w:t xml:space="preserve">, deployed to</w:t>
      </w:r>
      <w:r>
        <w:t xml:space="preserve"> </w:t>
      </w:r>
      <w:r>
        <w:rPr>
          <w:bCs/>
          <w:b/>
        </w:rPr>
        <w:t xml:space="preserve">Vercel</w:t>
      </w:r>
      <w:r>
        <w:t xml:space="preserve"> </w:t>
      </w:r>
      <w:r>
        <w:t xml:space="preserve">(free tier). Talks to the backend exclusively over REST with JSON bodies and a JWT bearer token attached after login. No server-side secrets live in the frontend beyond the public Supabase anon key (if Supabase Auth is used directly from the client for session bootstrapping) — all AI orchestration, gate evaluation, and privileged data access happens server-side. Role-aware navigation shell (§6) reads the user’s role from the decoded JWT claims to render the correct sidebar/topbar without a round trip.</w:t>
      </w:r>
    </w:p>
    <w:bookmarkEnd w:id="45"/>
    <w:bookmarkStart w:id="46" w:name="backend-api-layer"/>
    <w:p>
      <w:pPr>
        <w:pStyle w:val="Heading3"/>
      </w:pPr>
      <w:r>
        <w:t xml:space="preserve">2.2.2 Backend API layer</w:t>
      </w:r>
    </w:p>
    <w:p>
      <w:pPr>
        <w:pStyle w:val="FirstParagraph"/>
      </w:pPr>
      <w:r>
        <w:rPr>
          <w:bCs/>
          <w:b/>
        </w:rPr>
        <w:t xml:space="preserve">FastAPI (Python)</w:t>
      </w:r>
      <w:r>
        <w:t xml:space="preserve">, deployed to</w:t>
      </w:r>
      <w:r>
        <w:t xml:space="preserve"> </w:t>
      </w:r>
      <w:r>
        <w:rPr>
          <w:bCs/>
          <w:b/>
        </w:rPr>
        <w:t xml:space="preserve">Render or Railway</w:t>
      </w:r>
      <w:r>
        <w:t xml:space="preserve">. FastAPI is kept over a Node.js alternative for one concrete reason: every AI tool in the stack (LanguageTool client, GROBID client, sentence-transformers, Binoculars, Ollama client) has first-class or best-supported Python bindings, so keeping the orchestration layer in Python avoids a second-language service boundary during a 25-day build. The backend exposes six logical service groups, described below and detailed as endpoints in §5:</w:t>
      </w:r>
    </w:p>
    <w:p>
      <w:pPr>
        <w:numPr>
          <w:ilvl w:val="0"/>
          <w:numId w:val="1009"/>
        </w:numPr>
        <w:pStyle w:val="Compact"/>
      </w:pPr>
      <w:r>
        <w:rPr>
          <w:bCs/>
          <w:b/>
        </w:rPr>
        <w:t xml:space="preserve">Auth Service</w:t>
      </w:r>
      <w:r>
        <w:t xml:space="preserve"> </w:t>
      </w:r>
      <w:r>
        <w:t xml:space="preserve">— JWT issuance/refresh, backed by Supabase Auth or Firebase Auth rather than hand-rolled password handling.</w:t>
      </w:r>
    </w:p>
    <w:p>
      <w:pPr>
        <w:numPr>
          <w:ilvl w:val="0"/>
          <w:numId w:val="1009"/>
        </w:numPr>
        <w:pStyle w:val="Compact"/>
      </w:pPr>
      <w:r>
        <w:rPr>
          <w:bCs/>
          <w:b/>
        </w:rPr>
        <w:t xml:space="preserve">Submission Service</w:t>
      </w:r>
      <w:r>
        <w:t xml:space="preserve"> </w:t>
      </w:r>
      <w:r>
        <w:t xml:space="preserve">— file upload to storage, metadata capture, submission/version records.</w:t>
      </w:r>
    </w:p>
    <w:p>
      <w:pPr>
        <w:numPr>
          <w:ilvl w:val="0"/>
          <w:numId w:val="1009"/>
        </w:numPr>
        <w:pStyle w:val="Compact"/>
      </w:pPr>
      <w:r>
        <w:rPr>
          <w:bCs/>
          <w:b/>
        </w:rPr>
        <w:t xml:space="preserve">AI Orchestration Service</w:t>
      </w:r>
      <w:r>
        <w:t xml:space="preserve"> </w:t>
      </w:r>
      <w:r>
        <w:t xml:space="preserve">— a job queue that fans a new submission version out to the five/six AI checks in parallel, collects results, and writes them to</w:t>
      </w:r>
      <w:r>
        <w:t xml:space="preserve"> </w:t>
      </w:r>
      <w:r>
        <w:rPr>
          <w:rStyle w:val="VerbatimChar"/>
        </w:rPr>
        <w:t xml:space="preserve">ai_reports</w:t>
      </w:r>
      <w:r>
        <w:t xml:space="preserve">.</w:t>
      </w:r>
    </w:p>
    <w:p>
      <w:pPr>
        <w:numPr>
          <w:ilvl w:val="0"/>
          <w:numId w:val="1009"/>
        </w:numPr>
        <w:pStyle w:val="Compact"/>
      </w:pPr>
      <w:r>
        <w:rPr>
          <w:bCs/>
          <w:b/>
        </w:rPr>
        <w:t xml:space="preserve">Gate Rule Engine</w:t>
      </w:r>
      <w:r>
        <w:t xml:space="preserve"> </w:t>
      </w:r>
      <w:r>
        <w:t xml:space="preserve">— pure evaluation logic: given a conference’s</w:t>
      </w:r>
      <w:r>
        <w:t xml:space="preserve"> </w:t>
      </w:r>
      <w:r>
        <w:rPr>
          <w:rStyle w:val="VerbatimChar"/>
        </w:rPr>
        <w:t xml:space="preserve">gate_rules</w:t>
      </w:r>
      <w:r>
        <w:t xml:space="preserve"> </w:t>
      </w:r>
      <w:r>
        <w:t xml:space="preserve">and a submission’s</w:t>
      </w:r>
      <w:r>
        <w:t xml:space="preserve"> </w:t>
      </w:r>
      <w:r>
        <w:rPr>
          <w:rStyle w:val="VerbatimChar"/>
        </w:rPr>
        <w:t xml:space="preserve">ai_reports</w:t>
      </w:r>
      <w:r>
        <w:t xml:space="preserve">, decides hard-fail / soft-flag / clean-pass per rule and an aggregate decision (Figure 2).</w:t>
      </w:r>
    </w:p>
    <w:p>
      <w:pPr>
        <w:numPr>
          <w:ilvl w:val="0"/>
          <w:numId w:val="1009"/>
        </w:numPr>
        <w:pStyle w:val="Compact"/>
      </w:pPr>
      <w:r>
        <w:rPr>
          <w:bCs/>
          <w:b/>
        </w:rPr>
        <w:t xml:space="preserve">Notification Service</w:t>
      </w:r>
      <w:r>
        <w:t xml:space="preserve"> </w:t>
      </w:r>
      <w:r>
        <w:t xml:space="preserve">— in-app notifications; email is a thin adapter over Resend/SendGrid, added only if Phase 5 time allows.</w:t>
      </w:r>
    </w:p>
    <w:p>
      <w:pPr>
        <w:numPr>
          <w:ilvl w:val="0"/>
          <w:numId w:val="1009"/>
        </w:numPr>
        <w:pStyle w:val="Compact"/>
      </w:pPr>
      <w:r>
        <w:rPr>
          <w:bCs/>
          <w:b/>
        </w:rPr>
        <w:t xml:space="preserve">Analytics Service</w:t>
      </w:r>
      <w:r>
        <w:t xml:space="preserve"> </w:t>
      </w:r>
      <w:r>
        <w:t xml:space="preserve">— aggregation queries over</w:t>
      </w:r>
      <w:r>
        <w:t xml:space="preserve"> </w:t>
      </w:r>
      <w:r>
        <w:rPr>
          <w:rStyle w:val="VerbatimChar"/>
        </w:rPr>
        <w:t xml:space="preserve">submissions</w:t>
      </w:r>
      <w:r>
        <w:t xml:space="preserve">/</w:t>
      </w:r>
      <w:r>
        <w:rPr>
          <w:rStyle w:val="VerbatimChar"/>
        </w:rPr>
        <w:t xml:space="preserve">ai_reports</w:t>
      </w:r>
      <w:r>
        <w:t xml:space="preserve">/</w:t>
      </w:r>
      <w:r>
        <w:rPr>
          <w:rStyle w:val="VerbatimChar"/>
        </w:rPr>
        <w:t xml:space="preserve">reviews</w:t>
      </w:r>
      <w:r>
        <w:t xml:space="preserve"> </w:t>
      </w:r>
      <w:r>
        <w:t xml:space="preserve">for the organizer dashboard; no separate analytics database in the prototype — plain SQL aggregation against Postgres is sufficient at prototype scale.</w:t>
      </w:r>
    </w:p>
    <w:bookmarkEnd w:id="46"/>
    <w:bookmarkStart w:id="47" w:name="ai-orchestration-and-job-queue"/>
    <w:p>
      <w:pPr>
        <w:pStyle w:val="Heading3"/>
      </w:pPr>
      <w:r>
        <w:t xml:space="preserve">2.2.3 AI orchestration and job queue</w:t>
      </w:r>
    </w:p>
    <w:p>
      <w:pPr>
        <w:pStyle w:val="FirstParagraph"/>
      </w:pPr>
      <w:r>
        <w:rPr>
          <w:bCs/>
          <w:b/>
        </w:rPr>
        <w:t xml:space="preserve">Celery + Redis</w:t>
      </w:r>
      <w:r>
        <w:t xml:space="preserve"> </w:t>
      </w:r>
      <w:r>
        <w:t xml:space="preserve">is the architecturally correct choice, but for a 25-day build, FastAPI’s built-in</w:t>
      </w:r>
      <w:r>
        <w:t xml:space="preserve"> </w:t>
      </w:r>
      <w:r>
        <w:rPr>
          <w:bCs/>
          <w:b/>
        </w:rPr>
        <w:t xml:space="preserve">BackgroundTasks</w:t>
      </w:r>
      <w:r>
        <w:t xml:space="preserve"> </w:t>
      </w:r>
      <w:r>
        <w:t xml:space="preserve">is an acceptable substitute and is the recommended default: it avoids standing up and operating a Redis instance during the highest-risk phase of the build (Phase 3, §7), at the cost of losing retry semantics and task visibility that Celery would give you.</w:t>
      </w:r>
      <w:r>
        <w:t xml:space="preserve"> </w:t>
      </w:r>
      <w:r>
        <w:rPr>
          <w:bCs/>
          <w:b/>
        </w:rPr>
        <w:t xml:space="preserve">[ASSUMPTION]</w:t>
      </w:r>
      <w:r>
        <w:t xml:space="preserve"> </w:t>
      </w:r>
      <w:r>
        <w:t xml:space="preserve">If the team has prior Celery/Redis operational experience, use Celery from Day 1 — the trade-off above assumes a team building this queue infrastructure for the first time under time pressure, which is the likelier case given the 25-day solo/small-team framing in the roadmap.</w:t>
      </w:r>
    </w:p>
    <w:p>
      <w:pPr>
        <w:pStyle w:val="BodyText"/>
      </w:pPr>
      <w:r>
        <w:t xml:space="preserve">Each AI check (LanguageTool, GROBID, embedding+FAISS similarity, Binoculars+Fast-DetectGPT, table/figure extraction, LLM logical-consistency) runs as an independent background task against a submitted version. Tasks write their result directly to</w:t>
      </w:r>
      <w:r>
        <w:t xml:space="preserve"> </w:t>
      </w:r>
      <w:r>
        <w:rPr>
          <w:rStyle w:val="VerbatimChar"/>
        </w:rPr>
        <w:t xml:space="preserve">ai_reports</w:t>
      </w:r>
      <w:r>
        <w:t xml:space="preserve"> </w:t>
      </w:r>
      <w:r>
        <w:t xml:space="preserve">(§4) with a</w:t>
      </w:r>
      <w:r>
        <w:t xml:space="preserve"> </w:t>
      </w:r>
      <w:r>
        <w:rPr>
          <w:rStyle w:val="VerbatimChar"/>
        </w:rPr>
        <w:t xml:space="preserve">check_type</w:t>
      </w:r>
      <w:r>
        <w:t xml:space="preserve"> </w:t>
      </w:r>
      <w:r>
        <w:t xml:space="preserve">discriminator; the orchestration layer does not need a central results object in memory — Postgres is the source of truth, and the frontend polls (or, if time allows, subscribes via Supabase Realtime) the submission’s report rows.</w:t>
      </w:r>
    </w:p>
    <w:bookmarkEnd w:id="47"/>
    <w:bookmarkStart w:id="48" w:name="self-hosted-ai-model-services"/>
    <w:p>
      <w:pPr>
        <w:pStyle w:val="Heading3"/>
      </w:pPr>
      <w:r>
        <w:t xml:space="preserve">2.2.4 Self-hosted AI model services</w:t>
      </w:r>
    </w:p>
    <w:p>
      <w:pPr>
        <w:pStyle w:val="FirstParagraph"/>
      </w:pPr>
      <w:r>
        <w:t xml:space="preserve">Five containers/services, each independently deployable and independently restartable — this matters because it means a crash in the LLM service does not take down grammar or citation checking: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Runtime</w:t>
            </w:r>
          </w:p>
        </w:tc>
        <w:tc>
          <w:tcPr/>
          <w:p>
            <w:pPr>
              <w:pStyle w:val="Compact"/>
              <w:jc w:val="left"/>
            </w:pPr>
            <w:r>
              <w:t xml:space="preserve">Port (dev default)</w:t>
            </w:r>
          </w:p>
        </w:tc>
        <w:tc>
          <w:tcPr/>
          <w:p>
            <w:pPr>
              <w:pStyle w:val="Compact"/>
              <w:jc w:val="left"/>
            </w:pPr>
            <w:r>
              <w:t xml:space="preserve">GPU</w:t>
            </w:r>
          </w:p>
        </w:tc>
      </w:tr>
      <w:tr>
        <w:tc>
          <w:tcPr/>
          <w:p>
            <w:pPr>
              <w:pStyle w:val="Compact"/>
              <w:jc w:val="left"/>
            </w:pPr>
            <w:r>
              <w:t xml:space="preserve">LanguageTool</w:t>
            </w:r>
          </w:p>
        </w:tc>
        <w:tc>
          <w:tcPr/>
          <w:p>
            <w:pPr>
              <w:pStyle w:val="Compact"/>
              <w:jc w:val="left"/>
            </w:pPr>
            <w:r>
              <w:t xml:space="preserve">Docker (</w:t>
            </w:r>
            <w:r>
              <w:rPr>
                <w:rStyle w:val="VerbatimChar"/>
              </w:rPr>
              <w:t xml:space="preserve">erikvl87/languagetool</w:t>
            </w:r>
            <w:r>
              <w:t xml:space="preserve">)</w:t>
            </w:r>
          </w:p>
        </w:tc>
        <w:tc>
          <w:tcPr/>
          <w:p>
            <w:pPr>
              <w:pStyle w:val="Compact"/>
              <w:jc w:val="left"/>
            </w:pPr>
            <w:r>
              <w:t xml:space="preserve">8010</w:t>
            </w:r>
          </w:p>
        </w:tc>
        <w:tc>
          <w:tcPr/>
          <w:p>
            <w:pPr>
              <w:pStyle w:val="Compact"/>
              <w:jc w:val="left"/>
            </w:pPr>
            <w:r>
              <w:t xml:space="preserve">No</w:t>
            </w:r>
          </w:p>
        </w:tc>
      </w:tr>
      <w:tr>
        <w:tc>
          <w:tcPr/>
          <w:p>
            <w:pPr>
              <w:pStyle w:val="Compact"/>
              <w:jc w:val="left"/>
            </w:pPr>
            <w:r>
              <w:t xml:space="preserve">GROBID</w:t>
            </w:r>
          </w:p>
        </w:tc>
        <w:tc>
          <w:tcPr/>
          <w:p>
            <w:pPr>
              <w:pStyle w:val="Compact"/>
              <w:jc w:val="left"/>
            </w:pPr>
            <w:r>
              <w:t xml:space="preserve">Docker (</w:t>
            </w:r>
            <w:r>
              <w:rPr>
                <w:rStyle w:val="VerbatimChar"/>
              </w:rPr>
              <w:t xml:space="preserve">grobid/grobid:0.9.0-crf</w:t>
            </w:r>
            <w:r>
              <w:t xml:space="preserve"> </w:t>
            </w:r>
            <w:r>
              <w:t xml:space="preserve">or full)</w:t>
            </w:r>
          </w:p>
        </w:tc>
        <w:tc>
          <w:tcPr/>
          <w:p>
            <w:pPr>
              <w:pStyle w:val="Compact"/>
              <w:jc w:val="left"/>
            </w:pPr>
            <w:r>
              <w:t xml:space="preserve">8070</w:t>
            </w:r>
          </w:p>
        </w:tc>
        <w:tc>
          <w:tcPr/>
          <w:p>
            <w:pPr>
              <w:pStyle w:val="Compact"/>
              <w:jc w:val="left"/>
            </w:pPr>
            <w:r>
              <w:t xml:space="preserve">No (CRF) / optional (full)</w:t>
            </w:r>
          </w:p>
        </w:tc>
      </w:tr>
      <w:tr>
        <w:tc>
          <w:tcPr/>
          <w:p>
            <w:pPr>
              <w:pStyle w:val="Compact"/>
              <w:jc w:val="left"/>
            </w:pPr>
            <w:r>
              <w:t xml:space="preserve">BGE-M3 + FAISS</w:t>
            </w:r>
          </w:p>
        </w:tc>
        <w:tc>
          <w:tcPr/>
          <w:p>
            <w:pPr>
              <w:pStyle w:val="Compact"/>
              <w:jc w:val="left"/>
            </w:pPr>
            <w:r>
              <w:t xml:space="preserve">Thin FastAPI service, custom</w:t>
            </w:r>
          </w:p>
        </w:tc>
        <w:tc>
          <w:tcPr/>
          <w:p>
            <w:pPr>
              <w:pStyle w:val="Compact"/>
              <w:jc w:val="left"/>
            </w:pPr>
            <w:r>
              <w:t xml:space="preserve">8001</w:t>
            </w:r>
          </w:p>
        </w:tc>
        <w:tc>
          <w:tcPr/>
          <w:p>
            <w:pPr>
              <w:pStyle w:val="Compact"/>
              <w:jc w:val="left"/>
            </w:pPr>
            <w:r>
              <w:t xml:space="preserve">Optional — CPU workable at prototype scale</w:t>
            </w:r>
          </w:p>
        </w:tc>
      </w:tr>
      <w:tr>
        <w:tc>
          <w:tcPr/>
          <w:p>
            <w:pPr>
              <w:pStyle w:val="Compact"/>
              <w:jc w:val="left"/>
            </w:pPr>
            <w:r>
              <w:t xml:space="preserve">Binoculars + Fast-DetectGPT</w:t>
            </w:r>
          </w:p>
        </w:tc>
        <w:tc>
          <w:tcPr/>
          <w:p>
            <w:pPr>
              <w:pStyle w:val="Compact"/>
              <w:jc w:val="left"/>
            </w:pPr>
            <w:r>
              <w:t xml:space="preserve">Thin FastAPI service, custom</w:t>
            </w:r>
          </w:p>
        </w:tc>
        <w:tc>
          <w:tcPr/>
          <w:p>
            <w:pPr>
              <w:pStyle w:val="Compact"/>
              <w:jc w:val="left"/>
            </w:pPr>
            <w:r>
              <w:t xml:space="preserve">8002</w:t>
            </w:r>
          </w:p>
        </w:tc>
        <w:tc>
          <w:tcPr/>
          <w:p>
            <w:pPr>
              <w:pStyle w:val="Compact"/>
              <w:jc w:val="left"/>
            </w:pPr>
            <w:r>
              <w:rPr>
                <w:bCs/>
                <w:b/>
              </w:rPr>
              <w:t xml:space="preserve">Required</w:t>
            </w:r>
          </w:p>
        </w:tc>
      </w:tr>
      <w:tr>
        <w:tc>
          <w:tcPr/>
          <w:p>
            <w:pPr>
              <w:pStyle w:val="Compact"/>
              <w:jc w:val="left"/>
            </w:pPr>
            <w:r>
              <w:t xml:space="preserve">Ollama (Qwen2.5-7B-Instruct, Q4_K_M)</w:t>
            </w:r>
          </w:p>
        </w:tc>
        <w:tc>
          <w:tcPr/>
          <w:p>
            <w:pPr>
              <w:pStyle w:val="Compact"/>
              <w:jc w:val="left"/>
            </w:pPr>
            <w:r>
              <w:t xml:space="preserve">Ollama server</w:t>
            </w:r>
          </w:p>
        </w:tc>
        <w:tc>
          <w:tcPr/>
          <w:p>
            <w:pPr>
              <w:pStyle w:val="Compact"/>
              <w:jc w:val="left"/>
            </w:pPr>
            <w:r>
              <w:t xml:space="preserve">11434</w:t>
            </w:r>
          </w:p>
        </w:tc>
        <w:tc>
          <w:tcPr/>
          <w:p>
            <w:pPr>
              <w:pStyle w:val="Compact"/>
              <w:jc w:val="left"/>
            </w:pPr>
            <w:r>
              <w:rPr>
                <w:bCs/>
                <w:b/>
              </w:rPr>
              <w:t xml:space="preserve">Required</w:t>
            </w:r>
          </w:p>
        </w:tc>
      </w:tr>
    </w:tbl>
    <w:p>
      <w:pPr>
        <w:pStyle w:val="BodyText"/>
      </w:pPr>
      <w:r>
        <w:t xml:space="preserve">The two GPU-bound services (AI-text detection, LLM reasoning) are co-located on a</w:t>
      </w:r>
      <w:r>
        <w:t xml:space="preserve"> </w:t>
      </w:r>
      <w:r>
        <w:rPr>
          <w:bCs/>
          <w:b/>
        </w:rPr>
        <w:t xml:space="preserve">single RunPod L4 (24GB)</w:t>
      </w:r>
      <w:r>
        <w:t xml:space="preserve"> </w:t>
      </w:r>
      <w:r>
        <w:t xml:space="preserve">instance during integration and demo days, run sequentially rather than concurrently resident (§3.6, §7) to stay inside the 24GB budget with headroom. The three CPU-only/CPU-friendly services can run on the same low-cost backend host as the API layer, or on a separate small VM — either is fine at prototype scale; running them alongside the FastAPI backend process on Render/Railway is the simpler default.</w:t>
      </w:r>
    </w:p>
    <w:bookmarkEnd w:id="48"/>
    <w:bookmarkStart w:id="49" w:name="data-layer"/>
    <w:p>
      <w:pPr>
        <w:pStyle w:val="Heading3"/>
      </w:pPr>
      <w:r>
        <w:t xml:space="preserve">2.2.5 Data layer</w:t>
      </w:r>
    </w:p>
    <w:p>
      <w:pPr>
        <w:pStyle w:val="FirstParagraph"/>
      </w:pPr>
      <w:r>
        <w:rPr>
          <w:bCs/>
          <w:b/>
        </w:rPr>
        <w:t xml:space="preserve">PostgreSQL</w:t>
      </w:r>
      <w:r>
        <w:t xml:space="preserve"> </w:t>
      </w:r>
      <w:r>
        <w:t xml:space="preserve">via Supabase or Neon (free tier).</w:t>
      </w:r>
      <w:r>
        <w:t xml:space="preserve"> </w:t>
      </w:r>
      <w:r>
        <w:rPr>
          <w:bCs/>
          <w:b/>
        </w:rPr>
        <w:t xml:space="preserve">File storage</w:t>
      </w:r>
      <w:r>
        <w:t xml:space="preserve"> </w:t>
      </w:r>
      <w:r>
        <w:t xml:space="preserve">via Supabase Storage or Cloudflare R2 (free tier), holding the uploaded PDFs and submission version files referenced by URL from</w:t>
      </w:r>
      <w:r>
        <w:t xml:space="preserve"> </w:t>
      </w:r>
      <w:r>
        <w:rPr>
          <w:rStyle w:val="VerbatimChar"/>
        </w:rPr>
        <w:t xml:space="preserve">submission_versions.file_url</w:t>
      </w:r>
      <w:r>
        <w:t xml:space="preserve">. The</w:t>
      </w:r>
      <w:r>
        <w:t xml:space="preserve"> </w:t>
      </w:r>
      <w:r>
        <w:rPr>
          <w:bCs/>
          <w:b/>
        </w:rPr>
        <w:t xml:space="preserve">reference corpus FAISS index</w:t>
      </w:r>
      <w:r>
        <w:t xml:space="preserve"> </w:t>
      </w:r>
      <w:r>
        <w:t xml:space="preserve">(§3.4, §4) is a separate artifact — not stored in Postgres — persisted to disk (or object storage) as a binary index file plus a Postgres table (</w:t>
      </w:r>
      <w:r>
        <w:rPr>
          <w:rStyle w:val="VerbatimChar"/>
        </w:rPr>
        <w:t xml:space="preserve">reference_corpus_papers</w:t>
      </w:r>
      <w:r>
        <w:t xml:space="preserve">) mapping FAISS vector IDs to paper metadata.</w:t>
      </w:r>
    </w:p>
    <w:bookmarkEnd w:id="49"/>
    <w:bookmarkStart w:id="50" w:name="external-data-dependencies"/>
    <w:p>
      <w:pPr>
        <w:pStyle w:val="Heading3"/>
      </w:pPr>
      <w:r>
        <w:t xml:space="preserve">2.2.6 External data dependencies</w:t>
      </w:r>
    </w:p>
    <w:p>
      <w:pPr>
        <w:pStyle w:val="FirstParagraph"/>
      </w:pPr>
      <w:r>
        <w:t xml:space="preserve">The</w:t>
      </w:r>
      <w:r>
        <w:t xml:space="preserve"> </w:t>
      </w:r>
      <w:r>
        <w:rPr>
          <w:bCs/>
          <w:b/>
        </w:rPr>
        <w:t xml:space="preserve">Semantic Scholar Academic Graph API</w:t>
      </w:r>
      <w:r>
        <w:t xml:space="preserve"> </w:t>
      </w:r>
      <w:r>
        <w:t xml:space="preserve">and</w:t>
      </w:r>
      <w:r>
        <w:t xml:space="preserve"> </w:t>
      </w:r>
      <w:r>
        <w:rPr>
          <w:bCs/>
          <w:b/>
        </w:rPr>
        <w:t xml:space="preserve">arXiv OAI-PMH / CORE API</w:t>
      </w:r>
      <w:r>
        <w:t xml:space="preserve"> </w:t>
      </w:r>
      <w:r>
        <w:t xml:space="preserve">are used exactly once per corpus refresh cycle — to build and periodically refresh the offline reference corpus — not on the live submission request path. This is an important architectural distinction: a researcher’s plagiarism check never makes a live call to an external academic API; it queries the pre-built local FAISS index. This keeps the check fast, keeps external-API rate limits off the critical path, and avoids sending any researcher-submitted paper content to a third party (relevant to §1.12’s privacy commitments).</w:t>
      </w:r>
    </w:p>
    <w:bookmarkEnd w:id="50"/>
    <w:bookmarkEnd w:id="51"/>
    <w:bookmarkStart w:id="52" w:name="request-flow-submission-to-ai-report"/>
    <w:p>
      <w:pPr>
        <w:pStyle w:val="Heading2"/>
      </w:pPr>
      <w:r>
        <w:t xml:space="preserve">2.3 Request flow: submission to AI report</w:t>
      </w:r>
    </w:p>
    <w:p>
      <w:pPr>
        <w:numPr>
          <w:ilvl w:val="0"/>
          <w:numId w:val="1010"/>
        </w:numPr>
        <w:pStyle w:val="Compact"/>
      </w:pPr>
      <w:r>
        <w:t xml:space="preserve">Frontend uploads the PDF to</w:t>
      </w:r>
      <w:r>
        <w:t xml:space="preserve"> </w:t>
      </w:r>
      <w:r>
        <w:rPr>
          <w:rStyle w:val="VerbatimChar"/>
        </w:rPr>
        <w:t xml:space="preserve">/submissions</w:t>
      </w:r>
      <w:r>
        <w:t xml:space="preserve"> </w:t>
      </w:r>
      <w:r>
        <w:t xml:space="preserve">(§5); backend stores the file in object storage and creates</w:t>
      </w:r>
      <w:r>
        <w:t xml:space="preserve"> </w:t>
      </w:r>
      <w:r>
        <w:rPr>
          <w:rStyle w:val="VerbatimChar"/>
        </w:rPr>
        <w:t xml:space="preserve">submissions</w:t>
      </w:r>
      <w:r>
        <w:t xml:space="preserve"> </w:t>
      </w:r>
      <w:r>
        <w:t xml:space="preserve">+</w:t>
      </w:r>
      <w:r>
        <w:t xml:space="preserve"> </w:t>
      </w:r>
      <w:r>
        <w:rPr>
          <w:rStyle w:val="VerbatimChar"/>
        </w:rPr>
        <w:t xml:space="preserve">submission_versions</w:t>
      </w:r>
      <w:r>
        <w:t xml:space="preserve"> </w:t>
      </w:r>
      <w:r>
        <w:t xml:space="preserve">rows.</w:t>
      </w:r>
    </w:p>
    <w:p>
      <w:pPr>
        <w:numPr>
          <w:ilvl w:val="0"/>
          <w:numId w:val="1010"/>
        </w:numPr>
        <w:pStyle w:val="Compact"/>
      </w:pPr>
      <w:r>
        <w:t xml:space="preserve">Backend enqueues background tasks for each active AI check against the new</w:t>
      </w:r>
      <w:r>
        <w:t xml:space="preserve"> </w:t>
      </w:r>
      <w:r>
        <w:rPr>
          <w:rStyle w:val="VerbatimChar"/>
        </w:rPr>
        <w:t xml:space="preserve">submission_versions.id</w:t>
      </w:r>
      <w:r>
        <w:t xml:space="preserve">.</w:t>
      </w:r>
    </w:p>
    <w:p>
      <w:pPr>
        <w:numPr>
          <w:ilvl w:val="0"/>
          <w:numId w:val="1010"/>
        </w:numPr>
        <w:pStyle w:val="Compact"/>
      </w:pPr>
      <w:r>
        <w:t xml:space="preserve">Each task calls its respective service (LanguageTool over HTTP, GROBID over HTTP, the embedding service, the Binoculars+Fast-DetectGPT service, PyMuPDF/Camelot run in-process since they’re pure Python, and Ollama over its local API for the LLM check) and writes one row per check into</w:t>
      </w:r>
      <w:r>
        <w:t xml:space="preserve"> </w:t>
      </w:r>
      <w:r>
        <w:rPr>
          <w:rStyle w:val="VerbatimChar"/>
        </w:rPr>
        <w:t xml:space="preserve">ai_reports</w:t>
      </w:r>
      <w:r>
        <w:t xml:space="preserve">.</w:t>
      </w:r>
    </w:p>
    <w:p>
      <w:pPr>
        <w:numPr>
          <w:ilvl w:val="0"/>
          <w:numId w:val="1010"/>
        </w:numPr>
        <w:pStyle w:val="Compact"/>
      </w:pPr>
      <w:r>
        <w:t xml:space="preserve">Once all checks for a version complete (or a timeout elapses —</w:t>
      </w:r>
      <w:r>
        <w:t xml:space="preserve"> </w:t>
      </w:r>
      <w:r>
        <w:rPr>
          <w:bCs/>
          <w:b/>
        </w:rPr>
        <w:t xml:space="preserve">[ASSUMPTION]</w:t>
      </w:r>
      <w:r>
        <w:t xml:space="preserve"> </w:t>
      </w:r>
      <w:r>
        <w:t xml:space="preserve">5 minutes is a reasonable prototype timeout given GPU cold-start variance), the Gate Rule Engine evaluates the aggregate decision (Figure 2) and updates</w:t>
      </w:r>
      <w:r>
        <w:t xml:space="preserve"> </w:t>
      </w:r>
      <w:r>
        <w:rPr>
          <w:rStyle w:val="VerbatimChar"/>
        </w:rPr>
        <w:t xml:space="preserve">submissions.status</w:t>
      </w:r>
      <w:r>
        <w:t xml:space="preserve">.</w:t>
      </w:r>
    </w:p>
    <w:p>
      <w:pPr>
        <w:numPr>
          <w:ilvl w:val="0"/>
          <w:numId w:val="1010"/>
        </w:numPr>
        <w:pStyle w:val="Compact"/>
      </w:pPr>
      <w:r>
        <w:t xml:space="preserve">Frontend polls</w:t>
      </w:r>
      <w:r>
        <w:t xml:space="preserve"> </w:t>
      </w:r>
      <w:r>
        <w:rPr>
          <w:rStyle w:val="VerbatimChar"/>
        </w:rPr>
        <w:t xml:space="preserve">/submissions/{id}/ai-report</w:t>
      </w:r>
      <w:r>
        <w:t xml:space="preserve"> </w:t>
      </w:r>
      <w:r>
        <w:t xml:space="preserve">until status is no longer</w:t>
      </w:r>
      <w:r>
        <w:t xml:space="preserve"> </w:t>
      </w:r>
      <w:r>
        <w:rPr>
          <w:rStyle w:val="VerbatimChar"/>
        </w:rPr>
        <w:t xml:space="preserve">processing</w:t>
      </w:r>
      <w:r>
        <w:t xml:space="preserve">, then renders the AI Feedback Report page (§6.2.5).</w:t>
      </w:r>
    </w:p>
    <w:bookmarkEnd w:id="52"/>
    <w:bookmarkStart w:id="56" w:name="end-to-end-submission-workflow"/>
    <w:p>
      <w:pPr>
        <w:pStyle w:val="Heading2"/>
      </w:pPr>
      <w:r>
        <w:t xml:space="preserve">2.4 End-to-end submission workflow</w:t>
      </w:r>
    </w:p>
    <w:p>
      <w:pPr>
        <w:pStyle w:val="CaptionedFigure"/>
      </w:pPr>
      <w:r>
        <w:drawing>
          <wp:inline>
            <wp:extent cx="5334000" cy="6400800"/>
            <wp:effectExtent b="0" l="0" r="0" t="0"/>
            <wp:docPr descr="Figure 1 — End-to-End Paper Submission Workflow" title="" id="54" name="Picture"/>
            <a:graphic>
              <a:graphicData uri="http://schemas.openxmlformats.org/drawingml/2006/picture">
                <pic:pic>
                  <pic:nvPicPr>
                    <pic:cNvPr descr="diagrams/diag1_workflow.png" id="55" name="Picture"/>
                    <pic:cNvPicPr>
                      <a:picLocks noChangeArrowheads="1" noChangeAspect="1"/>
                    </pic:cNvPicPr>
                  </pic:nvPicPr>
                  <pic:blipFill>
                    <a:blip r:embed="rId53"/>
                    <a:stretch>
                      <a:fillRect/>
                    </a:stretch>
                  </pic:blipFill>
                  <pic:spPr bwMode="auto">
                    <a:xfrm>
                      <a:off x="0" y="0"/>
                      <a:ext cx="5334000" cy="6400800"/>
                    </a:xfrm>
                    <a:prstGeom prst="rect">
                      <a:avLst/>
                    </a:prstGeom>
                    <a:noFill/>
                    <a:ln w="9525">
                      <a:noFill/>
                      <a:headEnd/>
                      <a:tailEnd/>
                    </a:ln>
                  </pic:spPr>
                </pic:pic>
              </a:graphicData>
            </a:graphic>
          </wp:inline>
        </w:drawing>
      </w:r>
    </w:p>
    <w:p>
      <w:pPr>
        <w:pStyle w:val="ImageCaption"/>
      </w:pPr>
      <w:r>
        <w:t xml:space="preserve">Figure 1 — End-to-End Paper Submission Workflow</w:t>
      </w:r>
    </w:p>
    <w:bookmarkEnd w:id="56"/>
    <w:bookmarkStart w:id="60" w:name="gate-decision-logic"/>
    <w:p>
      <w:pPr>
        <w:pStyle w:val="Heading2"/>
      </w:pPr>
      <w:r>
        <w:t xml:space="preserve">2.5 Gate decision logic</w:t>
      </w:r>
    </w:p>
    <w:p>
      <w:pPr>
        <w:pStyle w:val="CaptionedFigure"/>
      </w:pPr>
      <w:r>
        <w:drawing>
          <wp:inline>
            <wp:extent cx="5334000" cy="3710940"/>
            <wp:effectExtent b="0" l="0" r="0" t="0"/>
            <wp:docPr descr="Figure 2 — Gate Rule Evaluation Logic" title="" id="58" name="Picture"/>
            <a:graphic>
              <a:graphicData uri="http://schemas.openxmlformats.org/drawingml/2006/picture">
                <pic:pic>
                  <pic:nvPicPr>
                    <pic:cNvPr descr="diagrams/diag2_gate.png" id="59" name="Picture"/>
                    <pic:cNvPicPr>
                      <a:picLocks noChangeArrowheads="1" noChangeAspect="1"/>
                    </pic:cNvPicPr>
                  </pic:nvPicPr>
                  <pic:blipFill>
                    <a:blip r:embed="rId57"/>
                    <a:stretch>
                      <a:fillRect/>
                    </a:stretch>
                  </pic:blipFill>
                  <pic:spPr bwMode="auto">
                    <a:xfrm>
                      <a:off x="0" y="0"/>
                      <a:ext cx="5334000" cy="3710940"/>
                    </a:xfrm>
                    <a:prstGeom prst="rect">
                      <a:avLst/>
                    </a:prstGeom>
                    <a:noFill/>
                    <a:ln w="9525">
                      <a:noFill/>
                      <a:headEnd/>
                      <a:tailEnd/>
                    </a:ln>
                  </pic:spPr>
                </pic:pic>
              </a:graphicData>
            </a:graphic>
          </wp:inline>
        </w:drawing>
      </w:r>
    </w:p>
    <w:p>
      <w:pPr>
        <w:pStyle w:val="ImageCaption"/>
      </w:pPr>
      <w:r>
        <w:t xml:space="preserve">Figure 2 — Gate Rule Evaluation Logic</w:t>
      </w:r>
    </w:p>
    <w:bookmarkEnd w:id="60"/>
    <w:bookmarkStart w:id="61" w:name="deployment-topology-summary"/>
    <w:p>
      <w:pPr>
        <w:pStyle w:val="Heading2"/>
      </w:pPr>
      <w:r>
        <w:t xml:space="preserve">2.6 Deployment topology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Where it runs</w:t>
            </w:r>
          </w:p>
        </w:tc>
        <w:tc>
          <w:tcPr/>
          <w:p>
            <w:pPr>
              <w:pStyle w:val="Compact"/>
              <w:jc w:val="left"/>
            </w:pPr>
            <w:r>
              <w:t xml:space="preserve">Cost tier</w:t>
            </w:r>
          </w:p>
        </w:tc>
      </w:tr>
      <w:tr>
        <w:tc>
          <w:tcPr/>
          <w:p>
            <w:pPr>
              <w:pStyle w:val="Compact"/>
              <w:jc w:val="left"/>
            </w:pPr>
            <w:r>
              <w:t xml:space="preserve">Frontend</w:t>
            </w:r>
          </w:p>
        </w:tc>
        <w:tc>
          <w:tcPr/>
          <w:p>
            <w:pPr>
              <w:pStyle w:val="Compact"/>
              <w:jc w:val="left"/>
            </w:pPr>
            <w:r>
              <w:t xml:space="preserve">Vercel</w:t>
            </w:r>
          </w:p>
        </w:tc>
        <w:tc>
          <w:tcPr/>
          <w:p>
            <w:pPr>
              <w:pStyle w:val="Compact"/>
              <w:jc w:val="left"/>
            </w:pPr>
            <w:r>
              <w:t xml:space="preserve">Free</w:t>
            </w:r>
          </w:p>
        </w:tc>
      </w:tr>
      <w:tr>
        <w:tc>
          <w:tcPr/>
          <w:p>
            <w:pPr>
              <w:pStyle w:val="Compact"/>
              <w:jc w:val="left"/>
            </w:pPr>
            <w:r>
              <w:t xml:space="preserve">Backend API + CPU-bound AI services</w:t>
            </w:r>
          </w:p>
        </w:tc>
        <w:tc>
          <w:tcPr/>
          <w:p>
            <w:pPr>
              <w:pStyle w:val="Compact"/>
              <w:jc w:val="left"/>
            </w:pPr>
            <w:r>
              <w:t xml:space="preserve">Render or Railway</w:t>
            </w:r>
          </w:p>
        </w:tc>
        <w:tc>
          <w:tcPr/>
          <w:p>
            <w:pPr>
              <w:pStyle w:val="Compact"/>
              <w:jc w:val="left"/>
            </w:pPr>
            <w:r>
              <w:t xml:space="preserve">Free/low-cost</w:t>
            </w:r>
          </w:p>
        </w:tc>
      </w:tr>
      <w:tr>
        <w:tc>
          <w:tcPr/>
          <w:p>
            <w:pPr>
              <w:pStyle w:val="Compact"/>
              <w:jc w:val="left"/>
            </w:pPr>
            <w:r>
              <w:t xml:space="preserve">PostgreSQL</w:t>
            </w:r>
          </w:p>
        </w:tc>
        <w:tc>
          <w:tcPr/>
          <w:p>
            <w:pPr>
              <w:pStyle w:val="Compact"/>
              <w:jc w:val="left"/>
            </w:pPr>
            <w:r>
              <w:t xml:space="preserve">Supabase or Neon</w:t>
            </w:r>
          </w:p>
        </w:tc>
        <w:tc>
          <w:tcPr/>
          <w:p>
            <w:pPr>
              <w:pStyle w:val="Compact"/>
              <w:jc w:val="left"/>
            </w:pPr>
            <w:r>
              <w:t xml:space="preserve">Free</w:t>
            </w:r>
          </w:p>
        </w:tc>
      </w:tr>
      <w:tr>
        <w:tc>
          <w:tcPr/>
          <w:p>
            <w:pPr>
              <w:pStyle w:val="Compact"/>
              <w:jc w:val="left"/>
            </w:pPr>
            <w:r>
              <w:t xml:space="preserve">File storage</w:t>
            </w:r>
          </w:p>
        </w:tc>
        <w:tc>
          <w:tcPr/>
          <w:p>
            <w:pPr>
              <w:pStyle w:val="Compact"/>
              <w:jc w:val="left"/>
            </w:pPr>
            <w:r>
              <w:t xml:space="preserve">Supabase Storage or Cloudflare R2</w:t>
            </w:r>
          </w:p>
        </w:tc>
        <w:tc>
          <w:tcPr/>
          <w:p>
            <w:pPr>
              <w:pStyle w:val="Compact"/>
              <w:jc w:val="left"/>
            </w:pPr>
            <w:r>
              <w:t xml:space="preserve">Free</w:t>
            </w:r>
          </w:p>
        </w:tc>
      </w:tr>
      <w:tr>
        <w:tc>
          <w:tcPr/>
          <w:p>
            <w:pPr>
              <w:pStyle w:val="Compact"/>
              <w:jc w:val="left"/>
            </w:pPr>
            <w:r>
              <w:t xml:space="preserve">GPU services (Binoculars/Fast-DetectGPT, Ollama LLM)</w:t>
            </w:r>
          </w:p>
        </w:tc>
        <w:tc>
          <w:tcPr/>
          <w:p>
            <w:pPr>
              <w:pStyle w:val="Compact"/>
              <w:jc w:val="left"/>
            </w:pPr>
            <w:r>
              <w:t xml:space="preserve">RunPod L4 (paid, hourly) for integration/demo; Colab/Kaggle/Lightning free tiers for early dev</w:t>
            </w:r>
          </w:p>
        </w:tc>
        <w:tc>
          <w:tcPr/>
          <w:p>
            <w:pPr>
              <w:pStyle w:val="Compact"/>
              <w:jc w:val="left"/>
            </w:pPr>
            <w:r>
              <w:t xml:space="preserve">~$16–40 total for final demo days (§7.7)</w:t>
            </w:r>
          </w:p>
        </w:tc>
      </w:tr>
      <w:tr>
        <w:tc>
          <w:tcPr/>
          <w:p>
            <w:pPr>
              <w:pStyle w:val="Compact"/>
              <w:jc w:val="left"/>
            </w:pPr>
            <w:r>
              <w:t xml:space="preserve">Email (stretch goal)</w:t>
            </w:r>
          </w:p>
        </w:tc>
        <w:tc>
          <w:tcPr/>
          <w:p>
            <w:pPr>
              <w:pStyle w:val="Compact"/>
              <w:jc w:val="left"/>
            </w:pPr>
            <w:r>
              <w:t xml:space="preserve">Resend or SendGrid</w:t>
            </w:r>
          </w:p>
        </w:tc>
        <w:tc>
          <w:tcPr/>
          <w:p>
            <w:pPr>
              <w:pStyle w:val="Compact"/>
              <w:jc w:val="left"/>
            </w:pPr>
            <w:r>
              <w:t xml:space="preserve">Free tier</w:t>
            </w:r>
          </w:p>
        </w:tc>
      </w:tr>
    </w:tbl>
    <w:p>
      <w:pPr>
        <w:pStyle w:val="BodyText"/>
      </w:pPr>
      <w:r>
        <w:t xml:space="preserve">This topology intentionally keeps every non-GPU component on a free tier — the only real money spent during the 25-day build is a small amount of on-demand GPU time in the final integration/demo window.</w:t>
      </w:r>
    </w:p>
    <w:p>
      <w:r>
        <w:br w:type="page"/>
      </w:r>
    </w:p>
    <w:bookmarkEnd w:id="61"/>
    <w:bookmarkEnd w:id="62"/>
    <w:bookmarkStart w:id="72" w:name="ai-model-tooling-setup-guide"/>
    <w:p>
      <w:pPr>
        <w:pStyle w:val="Heading1"/>
      </w:pPr>
      <w:r>
        <w:t xml:space="preserve">3. AI Model &amp; Tooling Setup Guide</w:t>
      </w:r>
    </w:p>
    <w:p>
      <w:pPr>
        <w:pStyle w:val="FirstParagraph"/>
      </w:pPr>
      <w:r>
        <w:t xml:space="preserve">This section is written so a developer with no prior context on this project can set up every AI tool in the stack end-to-end. Each subsection covers: what the tool does, exact install/run commands, a working config, known pitfalls, and an approximate setup-time budget to feed into the roadmap (§7).</w:t>
      </w:r>
    </w:p>
    <w:p>
      <w:pPr>
        <w:pStyle w:val="BodyText"/>
      </w:pPr>
      <w:r>
        <w:rPr>
          <w:bCs/>
          <w:b/>
        </w:rPr>
        <w:t xml:space="preserve">Baseline host requirements for anything GPU-bound in this section:</w:t>
      </w:r>
      <w:r>
        <w:t xml:space="preserve"> </w:t>
      </w:r>
      <w:r>
        <w:t xml:space="preserve">a recent NVIDIA driver, CUDA 12.x runtime,</w:t>
      </w:r>
      <w:r>
        <w:t xml:space="preserve"> </w:t>
      </w:r>
      <w:r>
        <w:rPr>
          <w:rStyle w:val="VerbatimChar"/>
        </w:rPr>
        <w:t xml:space="preserve">nvidia-smi</w:t>
      </w:r>
      <w:r>
        <w:t xml:space="preserve"> </w:t>
      </w:r>
      <w:r>
        <w:t xml:space="preserve">working, and the NVIDIA Container Toolkit installed if running GPU workloads inside Docker (</w:t>
      </w:r>
      <w:r>
        <w:rPr>
          <w:rStyle w:val="VerbatimChar"/>
        </w:rPr>
        <w:t xml:space="preserve">--gpus all</w:t>
      </w:r>
      <w:r>
        <w:t xml:space="preserve">). Confirm with:</w:t>
      </w:r>
    </w:p>
    <w:p>
      <w:pPr>
        <w:pStyle w:val="SourceCode"/>
      </w:pPr>
      <w:r>
        <w:rPr>
          <w:rStyle w:val="ExtensionTok"/>
        </w:rPr>
        <w:t xml:space="preserve">nvidia-smi</w:t>
      </w:r>
      <w:r>
        <w:rPr>
          <w:rStyle w:val="NormalTok"/>
        </w:rPr>
        <w:t xml:space="preserve">                     </w:t>
      </w:r>
      <w:r>
        <w:rPr>
          <w:rStyle w:val="CommentTok"/>
        </w:rPr>
        <w:t xml:space="preserve"># should list the GPU, driver version, CUDA version</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nvidia/cuda:12.4.1-base-ubuntu22.04 nvidia-smi   </w:t>
      </w:r>
      <w:r>
        <w:rPr>
          <w:rStyle w:val="CommentTok"/>
        </w:rPr>
        <w:t xml:space="preserve"># confirms Docker GPU passthrough</w:t>
      </w:r>
    </w:p>
    <w:p>
      <w:pPr>
        <w:pStyle w:val="FirstParagraph"/>
      </w:pPr>
      <w:r>
        <w:t xml:space="preserve">If either command fails, fix the driver/toolkit installation before attempting any of the GPU services below — this is the single most common source of</w:t>
      </w:r>
      <w:r>
        <w:t xml:space="preserve"> </w:t>
      </w:r>
      <w:r>
        <w:t xml:space="preserve">“</w:t>
      </w:r>
      <w:r>
        <w:t xml:space="preserve">it worked on Colab but not on my GPU box</w:t>
      </w:r>
      <w:r>
        <w:t xml:space="preserve">”</w:t>
      </w:r>
      <w:r>
        <w:t xml:space="preserve"> </w:t>
      </w:r>
      <w:r>
        <w:t xml:space="preserve">failures.</w:t>
      </w:r>
    </w:p>
    <w:bookmarkStart w:id="63" w:name="languagetool-grammar-language-quality"/>
    <w:p>
      <w:pPr>
        <w:pStyle w:val="Heading2"/>
      </w:pPr>
      <w:r>
        <w:t xml:space="preserve">3.1 LanguageTool (grammar &amp; language quality)</w:t>
      </w:r>
    </w:p>
    <w:p>
      <w:pPr>
        <w:pStyle w:val="FirstParagraph"/>
      </w:pPr>
      <w:r>
        <w:rPr>
          <w:bCs/>
          <w:b/>
        </w:rPr>
        <w:t xml:space="preserve">What it does:</w:t>
      </w:r>
      <w:r>
        <w:t xml:space="preserve"> </w:t>
      </w:r>
      <w:r>
        <w:t xml:space="preserve">rule-based + ML grammar, style, and clarity checking. Free, self-hostable, CPU-only, no GPU needed, mature (used in production by many open-source writing tools). Confirmed in research as still the best free/self-hosted option as of mid-2026 — no credible open-source successor has displaced it. One caveat: LanguageTool’s</w:t>
      </w:r>
      <w:r>
        <w:t xml:space="preserve"> </w:t>
      </w:r>
      <w:r>
        <w:rPr>
          <w:iCs/>
          <w:i/>
        </w:rPr>
        <w:t xml:space="preserve">browser extension</w:t>
      </w:r>
      <w:r>
        <w:t xml:space="preserve"> </w:t>
      </w:r>
      <w:r>
        <w:t xml:space="preserve">moved parts of its functionality behind a paywall in December 2025; this does not affect the self-hosted server or its HTTP API, which remain fully open-source and free.</w:t>
      </w:r>
    </w:p>
    <w:p>
      <w:pPr>
        <w:pStyle w:val="BodyText"/>
      </w:pPr>
      <w:r>
        <w:rPr>
          <w:bCs/>
          <w:b/>
        </w:rPr>
        <w:t xml:space="preserve">Run it:</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languagetool </w:t>
      </w:r>
      <w:r>
        <w:rPr>
          <w:rStyle w:val="DataTypeTok"/>
        </w:rPr>
        <w:t xml:space="preserve">\</w:t>
      </w:r>
      <w:r>
        <w:br/>
      </w:r>
      <w:r>
        <w:rPr>
          <w:rStyle w:val="NormalTok"/>
        </w:rPr>
        <w:t xml:space="preserve">  </w:t>
      </w:r>
      <w:r>
        <w:rPr>
          <w:rStyle w:val="AttributeTok"/>
        </w:rPr>
        <w:t xml:space="preserve">-p</w:t>
      </w:r>
      <w:r>
        <w:rPr>
          <w:rStyle w:val="NormalTok"/>
        </w:rPr>
        <w:t xml:space="preserve"> 8010:8010 </w:t>
      </w:r>
      <w:r>
        <w:rPr>
          <w:rStyle w:val="DataTypeTok"/>
        </w:rPr>
        <w:t xml:space="preserve">\</w:t>
      </w:r>
      <w:r>
        <w:br/>
      </w:r>
      <w:r>
        <w:rPr>
          <w:rStyle w:val="NormalTok"/>
        </w:rPr>
        <w:t xml:space="preserve">  </w:t>
      </w:r>
      <w:r>
        <w:rPr>
          <w:rStyle w:val="AttributeTok"/>
        </w:rPr>
        <w:t xml:space="preserve">-e</w:t>
      </w:r>
      <w:r>
        <w:rPr>
          <w:rStyle w:val="NormalTok"/>
        </w:rPr>
        <w:t xml:space="preserve"> Java_Xms=512m </w:t>
      </w:r>
      <w:r>
        <w:rPr>
          <w:rStyle w:val="DataTypeTok"/>
        </w:rPr>
        <w:t xml:space="preserve">\</w:t>
      </w:r>
      <w:r>
        <w:br/>
      </w:r>
      <w:r>
        <w:rPr>
          <w:rStyle w:val="NormalTok"/>
        </w:rPr>
        <w:t xml:space="preserve">  </w:t>
      </w:r>
      <w:r>
        <w:rPr>
          <w:rStyle w:val="AttributeTok"/>
        </w:rPr>
        <w:t xml:space="preserve">-e</w:t>
      </w:r>
      <w:r>
        <w:rPr>
          <w:rStyle w:val="NormalTok"/>
        </w:rPr>
        <w:t xml:space="preserve"> Java_Xmx=2g </w:t>
      </w:r>
      <w:r>
        <w:rPr>
          <w:rStyle w:val="DataTypeTok"/>
        </w:rPr>
        <w:t xml:space="preserve">\</w:t>
      </w:r>
      <w:r>
        <w:br/>
      </w:r>
      <w:r>
        <w:rPr>
          <w:rStyle w:val="NormalTok"/>
        </w:rPr>
        <w:t xml:space="preserve">  erikvl87/languagetool:latest</w:t>
      </w:r>
    </w:p>
    <w:p>
      <w:pPr>
        <w:pStyle w:val="FirstParagraph"/>
      </w:pPr>
      <w:r>
        <w:rPr>
          <w:bCs/>
          <w:b/>
        </w:rPr>
        <w:t xml:space="preserve">Verify:</w:t>
      </w:r>
    </w:p>
    <w:p>
      <w:pPr>
        <w:pStyle w:val="SourceCode"/>
      </w:pPr>
      <w:r>
        <w:rPr>
          <w:rStyle w:val="ExtensionTok"/>
        </w:rPr>
        <w:t xml:space="preserve">curl</w:t>
      </w:r>
      <w:r>
        <w:rPr>
          <w:rStyle w:val="NormalTok"/>
        </w:rPr>
        <w:t xml:space="preserve"> </w:t>
      </w:r>
      <w:r>
        <w:rPr>
          <w:rStyle w:val="AttributeTok"/>
        </w:rPr>
        <w:t xml:space="preserve">--data</w:t>
      </w:r>
      <w:r>
        <w:rPr>
          <w:rStyle w:val="NormalTok"/>
        </w:rPr>
        <w:t xml:space="preserve"> </w:t>
      </w:r>
      <w:r>
        <w:rPr>
          <w:rStyle w:val="StringTok"/>
        </w:rPr>
        <w:t xml:space="preserve">"language=en-US&amp;text=This are a test sentence."</w:t>
      </w:r>
      <w:r>
        <w:rPr>
          <w:rStyle w:val="NormalTok"/>
        </w:rPr>
        <w:t xml:space="preserve"> http://localhost:8010/v2/check</w:t>
      </w:r>
    </w:p>
    <w:p>
      <w:pPr>
        <w:pStyle w:val="FirstParagraph"/>
      </w:pPr>
      <w:r>
        <w:t xml:space="preserve">You should get back a JSON body with a</w:t>
      </w:r>
      <w:r>
        <w:t xml:space="preserve"> </w:t>
      </w:r>
      <w:r>
        <w:rPr>
          <w:rStyle w:val="VerbatimChar"/>
        </w:rPr>
        <w:t xml:space="preserve">matches</w:t>
      </w:r>
      <w:r>
        <w:t xml:space="preserve"> </w:t>
      </w:r>
      <w:r>
        <w:t xml:space="preserve">array describing the grammar error (</w:t>
      </w:r>
      <w:r>
        <w:t xml:space="preserve">“</w:t>
      </w:r>
      <w:r>
        <w:t xml:space="preserve">This are</w:t>
      </w:r>
      <w:r>
        <w:t xml:space="preserve">”</w:t>
      </w:r>
      <w:r>
        <w:t xml:space="preserve"> </w:t>
      </w:r>
      <w:r>
        <w:t xml:space="preserve">→ subject-verb agreement).</w:t>
      </w:r>
    </w:p>
    <w:p>
      <w:pPr>
        <w:pStyle w:val="BodyText"/>
      </w:pPr>
      <w:r>
        <w:rPr>
          <w:bCs/>
          <w:b/>
        </w:rPr>
        <w:t xml:space="preserve">Config notes:</w:t>
      </w:r>
    </w:p>
    <w:p>
      <w:pPr>
        <w:numPr>
          <w:ilvl w:val="0"/>
          <w:numId w:val="1011"/>
        </w:numPr>
        <w:pStyle w:val="Compact"/>
      </w:pPr>
      <w:r>
        <w:t xml:space="preserve">Default JVM heap is small (256–512MB) and will choke on long documents (an 8-page paper’s full text in one request). Always set</w:t>
      </w:r>
      <w:r>
        <w:t xml:space="preserve"> </w:t>
      </w:r>
      <w:r>
        <w:rPr>
          <w:rStyle w:val="VerbatimChar"/>
        </w:rPr>
        <w:t xml:space="preserve">Java_Xmx</w:t>
      </w:r>
      <w:r>
        <w:t xml:space="preserve"> </w:t>
      </w:r>
      <w:r>
        <w:t xml:space="preserve">explicitly — 2GB is a safe default for prototype-scale documents; raise to 4GB if you see</w:t>
      </w:r>
      <w:r>
        <w:t xml:space="preserve"> </w:t>
      </w:r>
      <w:r>
        <w:rPr>
          <w:rStyle w:val="VerbatimChar"/>
        </w:rPr>
        <w:t xml:space="preserve">OutOfMemoryError</w:t>
      </w:r>
      <w:r>
        <w:t xml:space="preserve"> </w:t>
      </w:r>
      <w:r>
        <w:t xml:space="preserve">in container logs on longer submissions.</w:t>
      </w:r>
    </w:p>
    <w:p>
      <w:pPr>
        <w:numPr>
          <w:ilvl w:val="0"/>
          <w:numId w:val="1011"/>
        </w:numPr>
        <w:pStyle w:val="Compact"/>
      </w:pPr>
      <w:r>
        <w:t xml:space="preserve">For production-quality confusion-pair detection (its/it’s, their/there/they’re at scale) LanguageTool supports optional n-gram data, but this download is several gigabytes and is</w:t>
      </w:r>
      <w:r>
        <w:t xml:space="preserve"> </w:t>
      </w:r>
      <w:r>
        <w:rPr>
          <w:bCs/>
          <w:b/>
        </w:rPr>
        <w:t xml:space="preserve">not required</w:t>
      </w:r>
      <w:r>
        <w:t xml:space="preserve"> </w:t>
      </w:r>
      <w:r>
        <w:t xml:space="preserve">for the prototype’s grammar-check feature — skip it unless accuracy on a specific gotcha becomes a demo blocker.</w:t>
      </w:r>
    </w:p>
    <w:p>
      <w:pPr>
        <w:numPr>
          <w:ilvl w:val="0"/>
          <w:numId w:val="1011"/>
        </w:numPr>
        <w:pStyle w:val="Compact"/>
      </w:pPr>
      <w:r>
        <w:t xml:space="preserve">Language auto-detection: pass</w:t>
      </w:r>
      <w:r>
        <w:t xml:space="preserve"> </w:t>
      </w:r>
      <w:r>
        <w:rPr>
          <w:rStyle w:val="VerbatimChar"/>
        </w:rPr>
        <w:t xml:space="preserve">language=auto</w:t>
      </w:r>
      <w:r>
        <w:t xml:space="preserve"> </w:t>
      </w:r>
      <w:r>
        <w:t xml:space="preserve">instead of a fixed code if you want LanguageTool to detect the input language itself; for this product, submissions are assumed English-language academic papers, so hardcoding</w:t>
      </w:r>
      <w:r>
        <w:t xml:space="preserve"> </w:t>
      </w:r>
      <w:r>
        <w:rPr>
          <w:rStyle w:val="VerbatimChar"/>
        </w:rPr>
        <w:t xml:space="preserve">en-US</w:t>
      </w:r>
      <w:r>
        <w:t xml:space="preserve"> </w:t>
      </w:r>
      <w:r>
        <w:t xml:space="preserve">is simpler and avoids misdetection on short abstracts.</w:t>
      </w:r>
    </w:p>
    <w:p>
      <w:pPr>
        <w:pStyle w:val="FirstParagraph"/>
      </w:pPr>
      <w:r>
        <w:rPr>
          <w:bCs/>
          <w:b/>
        </w:rPr>
        <w:t xml:space="preserve">Calling it from the backend (Python):</w:t>
      </w:r>
    </w:p>
    <w:p>
      <w:pPr>
        <w:pStyle w:val="SourceCode"/>
      </w:pP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check_grammar(text: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60.0</w:t>
      </w:r>
      <w:r>
        <w:rPr>
          <w:rStyle w:val="NormalTok"/>
        </w:rPr>
        <w:t xml:space="preserve">) </w:t>
      </w:r>
      <w:r>
        <w:rPr>
          <w:rStyle w:val="ImportTok"/>
        </w:rPr>
        <w:t xml:space="preserve">as</w:t>
      </w:r>
      <w:r>
        <w:rPr>
          <w:rStyle w:val="NormalTok"/>
        </w:rPr>
        <w:t xml:space="preserve"> client:</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"http://languagetool:8010/v2/check"</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"language"</w:t>
      </w:r>
      <w:r>
        <w:rPr>
          <w:rStyle w:val="NormalTok"/>
        </w:rPr>
        <w:t xml:space="preserve">: </w:t>
      </w:r>
      <w:r>
        <w:rPr>
          <w:rStyle w:val="StringTok"/>
        </w:rPr>
        <w:t xml:space="preserve">"en-US"</w:t>
      </w:r>
      <w:r>
        <w:rPr>
          <w:rStyle w:val="NormalTok"/>
        </w:rPr>
        <w:t xml:space="preserve">, </w:t>
      </w:r>
      <w:r>
        <w:rPr>
          <w:rStyle w:val="StringTok"/>
        </w:rPr>
        <w:t xml:space="preserve">"text"</w:t>
      </w:r>
      <w:r>
        <w:rPr>
          <w:rStyle w:val="NormalTok"/>
        </w:rPr>
        <w:t xml:space="preserve">: text[:</w:t>
      </w:r>
      <w:r>
        <w:rPr>
          <w:rStyle w:val="DecValTok"/>
        </w:rPr>
        <w:t xml:space="preserve">60000</w:t>
      </w:r>
      <w:r>
        <w:rPr>
          <w:rStyle w:val="NormalTok"/>
        </w:rPr>
        <w:t xml:space="preserve">]},  </w:t>
      </w:r>
      <w:r>
        <w:rPr>
          <w:rStyle w:val="CommentTok"/>
        </w:rPr>
        <w:t xml:space="preserve"># LT has a request size cap; chunk longer docs</w:t>
      </w:r>
      <w:r>
        <w:br/>
      </w:r>
      <w:r>
        <w:rPr>
          <w:rStyle w:val="NormalTok"/>
        </w:rPr>
        <w:t xml:space="preserve">        )</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resp.json()</w:t>
      </w:r>
    </w:p>
    <w:p>
      <w:pPr>
        <w:pStyle w:val="FirstParagraph"/>
      </w:pPr>
      <w:r>
        <w:t xml:space="preserve">Chunk documents over roughly 20,000 characters into paragraph-aligned segments and issue multiple requests — LanguageTool’s default max text length per request is configurable but the container defaults are conservative; chunking is simpler than reconfiguring the server for the prototype.</w:t>
      </w:r>
    </w:p>
    <w:p>
      <w:pPr>
        <w:pStyle w:val="BodyText"/>
      </w:pPr>
      <w:r>
        <w:rPr>
          <w:bCs/>
          <w:b/>
        </w:rPr>
        <w:t xml:space="preserve">Setup time budget:</w:t>
      </w:r>
      <w:r>
        <w:t xml:space="preserve"> </w:t>
      </w:r>
      <w:r>
        <w:t xml:space="preserve">15–30 minutes including the verification call and wiring the client function above.</w:t>
      </w:r>
    </w:p>
    <w:bookmarkEnd w:id="63"/>
    <w:bookmarkStart w:id="64" w:name="X94d5d61c9968f82ec5a1753c897b859859bd7be"/>
    <w:p>
      <w:pPr>
        <w:pStyle w:val="Heading2"/>
      </w:pPr>
      <w:r>
        <w:t xml:space="preserve">3.2 GROBID (citation parsing &amp; document structure)</w:t>
      </w:r>
    </w:p>
    <w:p>
      <w:pPr>
        <w:pStyle w:val="FirstParagraph"/>
      </w:pPr>
      <w:r>
        <w:rPr>
          <w:bCs/>
          <w:b/>
        </w:rPr>
        <w:t xml:space="preserve">What it does:</w:t>
      </w:r>
      <w:r>
        <w:t xml:space="preserve"> </w:t>
      </w:r>
      <w:r>
        <w:t xml:space="preserve">parses scholarly PDFs into structured TEI XML — header metadata, section structure, and bibliographic references. Confirmed as the de-facto standard for this exact task; no credible replacement surfaced in research. Provides the structural backbone that both the citation-completeness check and the formatting/structure-compliance check build on.</w:t>
      </w:r>
    </w:p>
    <w:p>
      <w:pPr>
        <w:pStyle w:val="BodyText"/>
      </w:pPr>
      <w:r>
        <w:rPr>
          <w:bCs/>
          <w:b/>
        </w:rPr>
        <w:t xml:space="preserve">Run it (CRF-only image — recommended for prototype dev, CPU, faster to pull and start):</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grobid </w:t>
      </w:r>
      <w:r>
        <w:rPr>
          <w:rStyle w:val="DataTypeTok"/>
        </w:rPr>
        <w:t xml:space="preserve">\</w:t>
      </w:r>
      <w:r>
        <w:br/>
      </w:r>
      <w:r>
        <w:rPr>
          <w:rStyle w:val="NormalTok"/>
        </w:rPr>
        <w:t xml:space="preserve">  </w:t>
      </w:r>
      <w:r>
        <w:rPr>
          <w:rStyle w:val="AttributeTok"/>
        </w:rPr>
        <w:t xml:space="preserve">--init</w:t>
      </w:r>
      <w:r>
        <w:rPr>
          <w:rStyle w:val="NormalTok"/>
        </w:rPr>
        <w:t xml:space="preserve"> </w:t>
      </w:r>
      <w:r>
        <w:rPr>
          <w:rStyle w:val="DataTypeTok"/>
        </w:rPr>
        <w:t xml:space="preserve">\</w:t>
      </w:r>
      <w:r>
        <w:br/>
      </w:r>
      <w:r>
        <w:rPr>
          <w:rStyle w:val="NormalTok"/>
        </w:rPr>
        <w:t xml:space="preserve">  </w:t>
      </w:r>
      <w:r>
        <w:rPr>
          <w:rStyle w:val="AttributeTok"/>
        </w:rPr>
        <w:t xml:space="preserve">--ulimit</w:t>
      </w:r>
      <w:r>
        <w:rPr>
          <w:rStyle w:val="NormalTok"/>
        </w:rPr>
        <w:t xml:space="preserve"> core=0 </w:t>
      </w:r>
      <w:r>
        <w:rPr>
          <w:rStyle w:val="DataTypeTok"/>
        </w:rPr>
        <w:t xml:space="preserve">\</w:t>
      </w:r>
      <w:r>
        <w:br/>
      </w:r>
      <w:r>
        <w:rPr>
          <w:rStyle w:val="NormalTok"/>
        </w:rPr>
        <w:t xml:space="preserve">  </w:t>
      </w:r>
      <w:r>
        <w:rPr>
          <w:rStyle w:val="AttributeTok"/>
        </w:rPr>
        <w:t xml:space="preserve">-p</w:t>
      </w:r>
      <w:r>
        <w:rPr>
          <w:rStyle w:val="NormalTok"/>
        </w:rPr>
        <w:t xml:space="preserve"> 8070:8070 </w:t>
      </w:r>
      <w:r>
        <w:rPr>
          <w:rStyle w:val="DataTypeTok"/>
        </w:rPr>
        <w:t xml:space="preserve">\</w:t>
      </w:r>
      <w:r>
        <w:br/>
      </w:r>
      <w:r>
        <w:rPr>
          <w:rStyle w:val="NormalTok"/>
        </w:rPr>
        <w:t xml:space="preserve">  </w:t>
      </w:r>
      <w:r>
        <w:rPr>
          <w:rStyle w:val="AttributeTok"/>
        </w:rPr>
        <w:t xml:space="preserve">--memory</w:t>
      </w:r>
      <w:r>
        <w:rPr>
          <w:rStyle w:val="OperatorTok"/>
        </w:rPr>
        <w:t xml:space="preserve">=</w:t>
      </w:r>
      <w:r>
        <w:rPr>
          <w:rStyle w:val="NormalTok"/>
        </w:rPr>
        <w:t xml:space="preserve">4g </w:t>
      </w:r>
      <w:r>
        <w:rPr>
          <w:rStyle w:val="DataTypeTok"/>
        </w:rPr>
        <w:t xml:space="preserve">\</w:t>
      </w:r>
      <w:r>
        <w:br/>
      </w:r>
      <w:r>
        <w:rPr>
          <w:rStyle w:val="NormalTok"/>
        </w:rPr>
        <w:t xml:space="preserve">  grobid/grobid:0.9.0-crf</w:t>
      </w:r>
    </w:p>
    <w:p>
      <w:pPr>
        <w:pStyle w:val="FirstParagraph"/>
      </w:pPr>
      <w:r>
        <w:rPr>
          <w:bCs/>
          <w:b/>
        </w:rPr>
        <w:t xml:space="preserve">Run it (full deep-learning image — higher reference-parsing accuracy, larger download, GPU-optional):</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grobid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--init</w:t>
      </w:r>
      <w:r>
        <w:rPr>
          <w:rStyle w:val="NormalTok"/>
        </w:rPr>
        <w:t xml:space="preserve"> </w:t>
      </w:r>
      <w:r>
        <w:rPr>
          <w:rStyle w:val="DataTypeTok"/>
        </w:rPr>
        <w:t xml:space="preserve">\</w:t>
      </w:r>
      <w:r>
        <w:br/>
      </w:r>
      <w:r>
        <w:rPr>
          <w:rStyle w:val="NormalTok"/>
        </w:rPr>
        <w:t xml:space="preserve">  </w:t>
      </w:r>
      <w:r>
        <w:rPr>
          <w:rStyle w:val="AttributeTok"/>
        </w:rPr>
        <w:t xml:space="preserve">--ulimit</w:t>
      </w:r>
      <w:r>
        <w:rPr>
          <w:rStyle w:val="NormalTok"/>
        </w:rPr>
        <w:t xml:space="preserve"> core=0 </w:t>
      </w:r>
      <w:r>
        <w:rPr>
          <w:rStyle w:val="DataTypeTok"/>
        </w:rPr>
        <w:t xml:space="preserve">\</w:t>
      </w:r>
      <w:r>
        <w:br/>
      </w:r>
      <w:r>
        <w:rPr>
          <w:rStyle w:val="NormalTok"/>
        </w:rPr>
        <w:t xml:space="preserve">  </w:t>
      </w:r>
      <w:r>
        <w:rPr>
          <w:rStyle w:val="AttributeTok"/>
        </w:rPr>
        <w:t xml:space="preserve">-p</w:t>
      </w:r>
      <w:r>
        <w:rPr>
          <w:rStyle w:val="NormalTok"/>
        </w:rPr>
        <w:t xml:space="preserve"> 8070:8070 </w:t>
      </w:r>
      <w:r>
        <w:rPr>
          <w:rStyle w:val="DataTypeTok"/>
        </w:rPr>
        <w:t xml:space="preserve">\</w:t>
      </w:r>
      <w:r>
        <w:br/>
      </w:r>
      <w:r>
        <w:rPr>
          <w:rStyle w:val="NormalTok"/>
        </w:rPr>
        <w:t xml:space="preserve">  </w:t>
      </w:r>
      <w:r>
        <w:rPr>
          <w:rStyle w:val="AttributeTok"/>
        </w:rPr>
        <w:t xml:space="preserve">--memory</w:t>
      </w:r>
      <w:r>
        <w:rPr>
          <w:rStyle w:val="OperatorTok"/>
        </w:rPr>
        <w:t xml:space="preserve">=</w:t>
      </w:r>
      <w:r>
        <w:rPr>
          <w:rStyle w:val="NormalTok"/>
        </w:rPr>
        <w:t xml:space="preserve">6g </w:t>
      </w:r>
      <w:r>
        <w:rPr>
          <w:rStyle w:val="DataTypeTok"/>
        </w:rPr>
        <w:t xml:space="preserve">\</w:t>
      </w:r>
      <w:r>
        <w:br/>
      </w:r>
      <w:r>
        <w:rPr>
          <w:rStyle w:val="NormalTok"/>
        </w:rPr>
        <w:t xml:space="preserve">  grobid/grobid:0.9.0</w:t>
      </w:r>
    </w:p>
    <w:p>
      <w:pPr>
        <w:pStyle w:val="FirstParagraph"/>
      </w:pPr>
      <w:r>
        <w:rPr>
          <w:bCs/>
          <w:b/>
        </w:rPr>
        <w:t xml:space="preserve">Verify:</w:t>
      </w:r>
      <w:r>
        <w:t xml:space="preserve"> </w:t>
      </w:r>
      <w:r>
        <w:t xml:space="preserve">open</w:t>
      </w:r>
      <w:r>
        <w:t xml:space="preserve"> </w:t>
      </w:r>
      <w:r>
        <w:rPr>
          <w:rStyle w:val="VerbatimChar"/>
        </w:rPr>
        <w:t xml:space="preserve">http://localhost:8070</w:t>
      </w:r>
      <w:r>
        <w:t xml:space="preserve"> </w:t>
      </w:r>
      <w:r>
        <w:t xml:space="preserve">for the built-in web console and try</w:t>
      </w:r>
      <w:r>
        <w:t xml:space="preserve"> </w:t>
      </w:r>
      <w:r>
        <w:t xml:space="preserve">“</w:t>
      </w:r>
      <w:r>
        <w:t xml:space="preserve">TEI</w:t>
      </w:r>
      <w:r>
        <w:t xml:space="preserve">”</w:t>
      </w:r>
      <w:r>
        <w:t xml:space="preserve"> </w:t>
      </w:r>
      <w:r>
        <w:t xml:space="preserve">output on a sample PDF, or:</w:t>
      </w:r>
    </w:p>
    <w:p>
      <w:pPr>
        <w:pStyle w:val="SourceCode"/>
      </w:pPr>
      <w:r>
        <w:rPr>
          <w:rStyle w:val="ExtensionTok"/>
        </w:rPr>
        <w:t xml:space="preserve">curl</w:t>
      </w:r>
      <w:r>
        <w:rPr>
          <w:rStyle w:val="NormalTok"/>
        </w:rPr>
        <w:t xml:space="preserve"> </w:t>
      </w:r>
      <w:r>
        <w:rPr>
          <w:rStyle w:val="AttributeTok"/>
        </w:rPr>
        <w:t xml:space="preserve">-v</w:t>
      </w:r>
      <w:r>
        <w:rPr>
          <w:rStyle w:val="NormalTok"/>
        </w:rPr>
        <w:t xml:space="preserve"> </w:t>
      </w:r>
      <w:r>
        <w:rPr>
          <w:rStyle w:val="AttributeTok"/>
        </w:rPr>
        <w:t xml:space="preserve">--form</w:t>
      </w:r>
      <w:r>
        <w:rPr>
          <w:rStyle w:val="NormalTok"/>
        </w:rPr>
        <w:t xml:space="preserve"> input=@sample_paper.pdf </w:t>
      </w:r>
      <w:r>
        <w:rPr>
          <w:rStyle w:val="DataTypeTok"/>
        </w:rPr>
        <w:t xml:space="preserve">\</w:t>
      </w:r>
      <w:r>
        <w:br/>
      </w:r>
      <w:r>
        <w:rPr>
          <w:rStyle w:val="NormalTok"/>
        </w:rPr>
        <w:t xml:space="preserve">  http://localhost:8070/api/processFulltextDocument</w:t>
      </w:r>
    </w:p>
    <w:p>
      <w:pPr>
        <w:pStyle w:val="FirstParagraph"/>
      </w:pPr>
      <w:r>
        <w:t xml:space="preserve">This should return TEI XML with</w:t>
      </w:r>
      <w:r>
        <w:t xml:space="preserve"> </w:t>
      </w:r>
      <w:r>
        <w:rPr>
          <w:rStyle w:val="VerbatimChar"/>
        </w:rPr>
        <w:t xml:space="preserve">&lt;teiHeader&gt;</w:t>
      </w:r>
      <w:r>
        <w:t xml:space="preserve"> </w:t>
      </w:r>
      <w:r>
        <w:t xml:space="preserve">(title, authors, abstract) and</w:t>
      </w:r>
      <w:r>
        <w:t xml:space="preserve"> </w:t>
      </w:r>
      <w:r>
        <w:rPr>
          <w:rStyle w:val="VerbatimChar"/>
        </w:rPr>
        <w:t xml:space="preserve">&lt;body&gt;</w:t>
      </w:r>
      <w:r>
        <w:t xml:space="preserve"> </w:t>
      </w:r>
      <w:r>
        <w:t xml:space="preserve">(sections) and</w:t>
      </w:r>
      <w:r>
        <w:t xml:space="preserve"> </w:t>
      </w:r>
      <w:r>
        <w:rPr>
          <w:rStyle w:val="VerbatimChar"/>
        </w:rPr>
        <w:t xml:space="preserve">&lt;listBibl&gt;</w:t>
      </w:r>
      <w:r>
        <w:t xml:space="preserve"> </w:t>
      </w:r>
      <w:r>
        <w:t xml:space="preserve">(parsed references).</w:t>
      </w:r>
    </w:p>
    <w:p>
      <w:pPr>
        <w:pStyle w:val="BodyText"/>
      </w:pPr>
      <w:r>
        <w:rPr>
          <w:bCs/>
          <w:b/>
        </w:rPr>
        <w:t xml:space="preserve">Config notes and pitfalls:</w:t>
      </w:r>
    </w:p>
    <w:p>
      <w:pPr>
        <w:numPr>
          <w:ilvl w:val="0"/>
          <w:numId w:val="1012"/>
        </w:numPr>
        <w:pStyle w:val="Compact"/>
      </w:pPr>
      <w:r>
        <w:rPr>
          <w:bCs/>
          <w:b/>
        </w:rPr>
        <w:t xml:space="preserve">Memory is the most common failure mode.</w:t>
      </w:r>
      <w:r>
        <w:t xml:space="preserve"> </w:t>
      </w:r>
      <w:r>
        <w:t xml:space="preserve">GROBID’s own documentation recommends at minimum: 4GB to structure a full document via</w:t>
      </w:r>
      <w:r>
        <w:t xml:space="preserve"> </w:t>
      </w:r>
      <w:r>
        <w:rPr>
          <w:rStyle w:val="VerbatimChar"/>
        </w:rPr>
        <w:t xml:space="preserve">/api/processFulltextDocument</w:t>
      </w:r>
      <w:r>
        <w:t xml:space="preserve">, 2GB for header-only extraction (</w:t>
      </w:r>
      <w:r>
        <w:rPr>
          <w:rStyle w:val="VerbatimChar"/>
        </w:rPr>
        <w:t xml:space="preserve">/api/processHeaderDocument</w:t>
      </w:r>
      <w:r>
        <w:t xml:space="preserve">), 3GB for citation-only extraction (</w:t>
      </w:r>
      <w:r>
        <w:rPr>
          <w:rStyle w:val="VerbatimChar"/>
        </w:rPr>
        <w:t xml:space="preserve">/api/processCitationList</w:t>
      </w:r>
      <w:r>
        <w:t xml:space="preserve">), and 6–8GB if you expect to process several PDFs concurrently (which the prototype will, once multiple researchers submit at once). If you see connection resets or 503s under load, this is almost always the fix — raise the container memory limit, not the request timeout.</w:t>
      </w:r>
    </w:p>
    <w:p>
      <w:pPr>
        <w:numPr>
          <w:ilvl w:val="0"/>
          <w:numId w:val="1012"/>
        </w:numPr>
        <w:pStyle w:val="Compact"/>
      </w:pPr>
      <w:r>
        <w:t xml:space="preserve">The full (non-CRF) image bundles a Python/TensorFlow-based deep-learning layer for higher accuracy and is multiple gigabytes larger to pull; budget extra time for the initial</w:t>
      </w:r>
      <w:r>
        <w:t xml:space="preserve"> </w:t>
      </w:r>
      <w:r>
        <w:rPr>
          <w:rStyle w:val="VerbatimChar"/>
        </w:rPr>
        <w:t xml:space="preserve">docker pull</w:t>
      </w:r>
      <w:r>
        <w:t xml:space="preserve"> </w:t>
      </w:r>
      <w:r>
        <w:t xml:space="preserve">on a slow connection. For the prototype, start with</w:t>
      </w:r>
      <w:r>
        <w:t xml:space="preserve"> </w:t>
      </w:r>
      <w:r>
        <w:rPr>
          <w:rStyle w:val="VerbatimChar"/>
        </w:rPr>
        <w:t xml:space="preserve">-crf</w:t>
      </w:r>
      <w:r>
        <w:t xml:space="preserve"> </w:t>
      </w:r>
      <w:r>
        <w:t xml:space="preserve">and only switch to the full image if reference-parsing accuracy on real submissions is visibly weak in testing.</w:t>
      </w:r>
    </w:p>
    <w:p>
      <w:pPr>
        <w:numPr>
          <w:ilvl w:val="0"/>
          <w:numId w:val="1012"/>
        </w:numPr>
        <w:pStyle w:val="Compact"/>
      </w:pPr>
      <w:r>
        <w:t xml:space="preserve">GROBID exposes both a REST API and a lightweight Python client (</w:t>
      </w:r>
      <w:r>
        <w:rPr>
          <w:rStyle w:val="VerbatimChar"/>
        </w:rPr>
        <w:t xml:space="preserve">grobid_client_python</w:t>
      </w:r>
      <w:r>
        <w:t xml:space="preserve">) if you’d rather not hand-roll multipart HTTP calls — either is fine; direct</w:t>
      </w:r>
      <w:r>
        <w:t xml:space="preserve"> </w:t>
      </w:r>
      <w:r>
        <w:rPr>
          <w:rStyle w:val="VerbatimChar"/>
        </w:rPr>
        <w:t xml:space="preserve">httpx</w:t>
      </w:r>
      <w:r>
        <w:t xml:space="preserve"> </w:t>
      </w:r>
      <w:r>
        <w:t xml:space="preserve">multipart calls are shown below since the client library adds little value for a single-endpoint use case.</w:t>
      </w:r>
    </w:p>
    <w:p>
      <w:pPr>
        <w:pStyle w:val="FirstParagraph"/>
      </w:pPr>
      <w:r>
        <w:rPr>
          <w:bCs/>
          <w:b/>
        </w:rPr>
        <w:t xml:space="preserve">Calling it from the backend:</w:t>
      </w:r>
    </w:p>
    <w:p>
      <w:pPr>
        <w:pStyle w:val="SourceCode"/>
      </w:pP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parse_pdf_structure(pdf_bytes: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120.0</w:t>
      </w:r>
      <w:r>
        <w:rPr>
          <w:rStyle w:val="NormalTok"/>
        </w:rPr>
        <w:t xml:space="preserve">) </w:t>
      </w:r>
      <w:r>
        <w:rPr>
          <w:rStyle w:val="ImportTok"/>
        </w:rPr>
        <w:t xml:space="preserve">as</w:t>
      </w:r>
      <w:r>
        <w:rPr>
          <w:rStyle w:val="NormalTok"/>
        </w:rPr>
        <w:t xml:space="preserve"> client:</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"http://grobid:8070/api/processFulltextDocument"</w:t>
      </w:r>
      <w:r>
        <w:rPr>
          <w:rStyle w:val="NormalTok"/>
        </w:rPr>
        <w:t xml:space="preserve">,</w:t>
      </w:r>
      <w:r>
        <w:br/>
      </w:r>
      <w:r>
        <w:rPr>
          <w:rStyle w:val="NormalTok"/>
        </w:rPr>
        <w:t xml:space="preserve">            files</w:t>
      </w:r>
      <w:r>
        <w:rPr>
          <w:rStyle w:val="OperatorTok"/>
        </w:rPr>
        <w:t xml:space="preserve">=</w:t>
      </w:r>
      <w:r>
        <w:rPr>
          <w:rStyle w:val="NormalTok"/>
        </w:rPr>
        <w:t xml:space="preserve">{</w:t>
      </w:r>
      <w:r>
        <w:rPr>
          <w:rStyle w:val="StringTok"/>
        </w:rPr>
        <w:t xml:space="preserve">"input"</w:t>
      </w:r>
      <w:r>
        <w:rPr>
          <w:rStyle w:val="NormalTok"/>
        </w:rPr>
        <w:t xml:space="preserve">: (</w:t>
      </w:r>
      <w:r>
        <w:rPr>
          <w:rStyle w:val="StringTok"/>
        </w:rPr>
        <w:t xml:space="preserve">"paper.pdf"</w:t>
      </w:r>
      <w:r>
        <w:rPr>
          <w:rStyle w:val="NormalTok"/>
        </w:rPr>
        <w:t xml:space="preserve">, pdf_bytes, </w:t>
      </w:r>
      <w:r>
        <w:rPr>
          <w:rStyle w:val="StringTok"/>
        </w:rPr>
        <w:t xml:space="preserve">"application/pdf"</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"consolidateHeader"</w:t>
      </w:r>
      <w:r>
        <w:rPr>
          <w:rStyle w:val="NormalTok"/>
        </w:rPr>
        <w:t xml:space="preserve">: </w:t>
      </w:r>
      <w:r>
        <w:rPr>
          <w:rStyle w:val="StringTok"/>
        </w:rPr>
        <w:t xml:space="preserve">"1"</w:t>
      </w:r>
      <w:r>
        <w:rPr>
          <w:rStyle w:val="NormalTok"/>
        </w:rPr>
        <w:t xml:space="preserve">, </w:t>
      </w:r>
      <w:r>
        <w:rPr>
          <w:rStyle w:val="StringTok"/>
        </w:rPr>
        <w:t xml:space="preserve">"consolidateCitations"</w:t>
      </w:r>
      <w:r>
        <w:rPr>
          <w:rStyle w:val="NormalTok"/>
        </w:rPr>
        <w:t xml:space="preserve">: </w:t>
      </w:r>
      <w:r>
        <w:rPr>
          <w:rStyle w:val="StringTok"/>
        </w:rPr>
        <w:t xml:space="preserve">"0"</w:t>
      </w:r>
      <w:r>
        <w:rPr>
          <w:rStyle w:val="NormalTok"/>
        </w:rPr>
        <w:t xml:space="preserve">},</w:t>
      </w:r>
      <w:r>
        <w:br/>
      </w:r>
      <w:r>
        <w:rPr>
          <w:rStyle w:val="NormalTok"/>
        </w:rPr>
        <w:t xml:space="preserve">        )</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resp.text  </w:t>
      </w:r>
      <w:r>
        <w:rPr>
          <w:rStyle w:val="CommentTok"/>
        </w:rPr>
        <w:t xml:space="preserve"># TEI XML — parse with lxml downstream</w:t>
      </w:r>
    </w:p>
    <w:p>
      <w:pPr>
        <w:pStyle w:val="FirstParagraph"/>
      </w:pPr>
      <w:r>
        <w:rPr>
          <w:rStyle w:val="VerbatimChar"/>
        </w:rPr>
        <w:t xml:space="preserve">consolidateCitations=1</w:t>
      </w:r>
      <w:r>
        <w:t xml:space="preserve"> </w:t>
      </w:r>
      <w:r>
        <w:t xml:space="preserve">improves reference matching against CrossRef but adds a live external network call per reference — leave it off for the prototype to avoid depending on CrossRef availability during a live demo; turn it on only for a controlled, pre-demo corpus-quality pass if needed.</w:t>
      </w:r>
    </w:p>
    <w:p>
      <w:pPr>
        <w:pStyle w:val="BodyText"/>
      </w:pPr>
      <w:r>
        <w:rPr>
          <w:bCs/>
          <w:b/>
        </w:rPr>
        <w:t xml:space="preserve">Parsing the TEI output:</w:t>
      </w:r>
      <w:r>
        <w:t xml:space="preserve"> </w:t>
      </w:r>
      <w:r>
        <w:t xml:space="preserve">use</w:t>
      </w:r>
      <w:r>
        <w:t xml:space="preserve"> </w:t>
      </w:r>
      <w:r>
        <w:rPr>
          <w:rStyle w:val="VerbatimChar"/>
        </w:rPr>
        <w:t xml:space="preserve">lxml</w:t>
      </w:r>
      <w:r>
        <w:t xml:space="preserve"> </w:t>
      </w:r>
      <w:r>
        <w:t xml:space="preserve">with the TEI namespace to pull out</w:t>
      </w:r>
      <w:r>
        <w:t xml:space="preserve"> </w:t>
      </w:r>
      <w:r>
        <w:rPr>
          <w:rStyle w:val="VerbatimChar"/>
        </w:rPr>
        <w:t xml:space="preserve">&lt;abstract&gt;</w:t>
      </w:r>
      <w:r>
        <w:t xml:space="preserve">,</w:t>
      </w:r>
      <w:r>
        <w:t xml:space="preserve"> </w:t>
      </w:r>
      <w:r>
        <w:rPr>
          <w:rStyle w:val="VerbatimChar"/>
        </w:rPr>
        <w:t xml:space="preserve">&lt;div&gt;</w:t>
      </w:r>
      <w:r>
        <w:t xml:space="preserve"> </w:t>
      </w:r>
      <w:r>
        <w:t xml:space="preserve">section headers (for structure-compliance and section-order checks against IEEE’s expected structure, §3.7), and</w:t>
      </w:r>
      <w:r>
        <w:t xml:space="preserve"> </w:t>
      </w:r>
      <w:r>
        <w:rPr>
          <w:rStyle w:val="VerbatimChar"/>
        </w:rPr>
        <w:t xml:space="preserve">&lt;listBibl&gt;&lt;biblStruct&gt;</w:t>
      </w:r>
      <w:r>
        <w:t xml:space="preserve"> </w:t>
      </w:r>
      <w:r>
        <w:t xml:space="preserve">entries (for citation-completeness scoring — does each in-text</w:t>
      </w:r>
      <w:r>
        <w:t xml:space="preserve"> </w:t>
      </w:r>
      <w:r>
        <w:rPr>
          <w:rStyle w:val="VerbatimChar"/>
        </w:rPr>
        <w:t xml:space="preserve">[n]</w:t>
      </w:r>
      <w:r>
        <w:t xml:space="preserve"> </w:t>
      </w:r>
      <w:r>
        <w:t xml:space="preserve">reference resolve to a</w:t>
      </w:r>
      <w:r>
        <w:t xml:space="preserve"> </w:t>
      </w:r>
      <w:r>
        <w:rPr>
          <w:rStyle w:val="VerbatimChar"/>
        </w:rPr>
        <w:t xml:space="preserve">biblStruct</w:t>
      </w:r>
      <w:r>
        <w:t xml:space="preserve"> </w:t>
      </w:r>
      <w:r>
        <w:t xml:space="preserve">entry, and does each entry have the minimum fields IEEE expects: authors, title, venue, year).</w:t>
      </w:r>
    </w:p>
    <w:p>
      <w:pPr>
        <w:pStyle w:val="BodyText"/>
      </w:pPr>
      <w:r>
        <w:rPr>
          <w:bCs/>
          <w:b/>
        </w:rPr>
        <w:t xml:space="preserve">Setup time budget:</w:t>
      </w:r>
      <w:r>
        <w:t xml:space="preserve"> </w:t>
      </w:r>
      <w:r>
        <w:t xml:space="preserve">30–60 minutes for the CRF image including first-run TEI parsing integration; add 1–2 hours if moving to the full DL image due to the larger download and any GPU-passthrough debugging.</w:t>
      </w:r>
    </w:p>
    <w:bookmarkEnd w:id="64"/>
    <w:bookmarkStart w:id="65" w:name="Xe34eb799d761398206e6bd56db009d6ef7b2066"/>
    <w:p>
      <w:pPr>
        <w:pStyle w:val="Heading2"/>
      </w:pPr>
      <w:r>
        <w:t xml:space="preserve">3.3 BGE-M3 (or SPECTER2) + FAISS — plagiarism/similarity detection</w:t>
      </w:r>
    </w:p>
    <w:p>
      <w:pPr>
        <w:pStyle w:val="FirstParagraph"/>
      </w:pPr>
      <w:r>
        <w:rPr>
          <w:bCs/>
          <w:b/>
        </w:rPr>
        <w:t xml:space="preserve">What it does:</w:t>
      </w:r>
      <w:r>
        <w:t xml:space="preserve"> </w:t>
      </w:r>
      <w:r>
        <w:t xml:space="preserve">embeds paper text into dense vectors and finds nearest neighbors in a reference corpus (§3.4) to flag potential plagiarism/similarity. This is the one component in the original roadmap where research recommends a concrete swap.</w:t>
      </w:r>
    </w:p>
    <w:p>
      <w:pPr>
        <w:pStyle w:val="BodyText"/>
      </w:pPr>
      <w:r>
        <w:rPr>
          <w:bCs/>
          <w:b/>
        </w:rPr>
        <w:t xml:space="preserve">Why the embedding model changed:</w:t>
      </w:r>
      <w:r>
        <w:t xml:space="preserve"> </w:t>
      </w:r>
      <w:r>
        <w:t xml:space="preserve">the original plan specified</w:t>
      </w:r>
      <w:r>
        <w:t xml:space="preserve"> </w:t>
      </w:r>
      <w:r>
        <w:rPr>
          <w:rStyle w:val="VerbatimChar"/>
        </w:rPr>
        <w:t xml:space="preserve">all-MiniLM-L6-v2</w:t>
      </w:r>
      <w:r>
        <w:t xml:space="preserve"> </w:t>
      </w:r>
      <w:r>
        <w:t xml:space="preserve">(22M parameters, 384 dimensions) — a fast, light, but now dated general-purpose sentence embedding model. Two better-fitting options as of mid-2026:</w:t>
      </w:r>
    </w:p>
    <w:p>
      <w:pPr>
        <w:numPr>
          <w:ilvl w:val="0"/>
          <w:numId w:val="1013"/>
        </w:numPr>
        <w:pStyle w:val="Compact"/>
      </w:pPr>
      <w:r>
        <w:rPr>
          <w:bCs/>
          <w:b/>
        </w:rPr>
        <w:t xml:space="preserve">BGE-M3</w:t>
      </w:r>
      <w:r>
        <w:t xml:space="preserve"> </w:t>
      </w:r>
      <w:r>
        <w:t xml:space="preserve">(BAAI, MIT license) — a strong general-purpose multilingual embedding model with dense, sparse, and multi-vector retrieval modes in one model; a safe, well-supported default.</w:t>
      </w:r>
    </w:p>
    <w:p>
      <w:pPr>
        <w:numPr>
          <w:ilvl w:val="0"/>
          <w:numId w:val="1013"/>
        </w:numPr>
        <w:pStyle w:val="Compact"/>
      </w:pPr>
      <w:r>
        <w:rPr>
          <w:bCs/>
          <w:b/>
        </w:rPr>
        <w:t xml:space="preserve">SPECTER2</w:t>
      </w:r>
      <w:r>
        <w:t xml:space="preserve"> </w:t>
      </w:r>
      <w:r>
        <w:t xml:space="preserve">(Allen Institute for AI) — trained specifically on scientific-paper citation triplets, built on SciBERT, and reports a meaningful improvement over the original SPECTER on scientific benchmarks. This is the better choice if similarity should specifically reflect</w:t>
      </w:r>
      <w:r>
        <w:t xml:space="preserve"> </w:t>
      </w:r>
      <w:r>
        <w:rPr>
          <w:iCs/>
          <w:i/>
        </w:rPr>
        <w:t xml:space="preserve">scientific/citation-graph relatedness</w:t>
      </w:r>
      <w:r>
        <w:t xml:space="preserve"> </w:t>
      </w:r>
      <w:r>
        <w:t xml:space="preserve">rather than generic semantic similarity — closer to</w:t>
      </w:r>
      <w:r>
        <w:t xml:space="preserve"> </w:t>
      </w:r>
      <w:r>
        <w:t xml:space="preserve">“</w:t>
      </w:r>
      <w:r>
        <w:t xml:space="preserve">would these two papers plausibly cite each other</w:t>
      </w:r>
      <w:r>
        <w:t xml:space="preserve">”</w:t>
      </w:r>
      <w:r>
        <w:t xml:space="preserve"> </w:t>
      </w:r>
      <w:r>
        <w:t xml:space="preserve">than</w:t>
      </w:r>
      <w:r>
        <w:t xml:space="preserve"> </w:t>
      </w:r>
      <w:r>
        <w:t xml:space="preserve">“</w:t>
      </w:r>
      <w:r>
        <w:t xml:space="preserve">do these two sentences mean the same thing.</w:t>
      </w:r>
      <w:r>
        <w:t xml:space="preserve">”</w:t>
      </w:r>
      <w:r>
        <w:t xml:space="preserve"> </w:t>
      </w:r>
      <w:r>
        <w:t xml:space="preserve">One practical caveat surfaced in community discussion of the model: SPECTER2 tends to produce uniformly high absolute cosine similarity scores across unrelated papers, so similarity</w:t>
      </w:r>
      <w:r>
        <w:t xml:space="preserve"> </w:t>
      </w:r>
      <w:r>
        <w:rPr>
          <w:iCs/>
          <w:i/>
        </w:rPr>
        <w:t xml:space="preserve">thresholds</w:t>
      </w:r>
      <w:r>
        <w:t xml:space="preserve"> </w:t>
      </w:r>
      <w:r>
        <w:t xml:space="preserve">must be calibrated empirically against your own corpus rather than assumed from cosine-similarity intuition trained on general-purpose embedding models.</w:t>
      </w:r>
    </w:p>
    <w:p>
      <w:pPr>
        <w:pStyle w:val="FirstParagraph"/>
      </w:pPr>
      <w:r>
        <w:rPr>
          <w:bCs/>
          <w:b/>
        </w:rPr>
        <w:t xml:space="preserve">Recommendation for the prototype:</w:t>
      </w:r>
      <w:r>
        <w:t xml:space="preserve"> </w:t>
      </w:r>
      <w:r>
        <w:t xml:space="preserve">default to</w:t>
      </w:r>
      <w:r>
        <w:t xml:space="preserve"> </w:t>
      </w:r>
      <w:r>
        <w:rPr>
          <w:bCs/>
          <w:b/>
        </w:rPr>
        <w:t xml:space="preserve">BGE-M3</w:t>
      </w:r>
      <w:r>
        <w:t xml:space="preserve"> </w:t>
      </w:r>
      <w:r>
        <w:t xml:space="preserve">for its simplicity, MIT license, and hybrid dense+sparse retrieval (the sparse component is genuinely useful here — it behaves more like a lexical/keyword signal and complements the MinHash exact-match layer). Keep SPECTER2 as a documented alternative if paper-level scientific relatedness becomes the priority over general text similarity. Do not use all-MiniLM-L6-v2 except as an emergency CPU-only fallback if BGE-M3’s compute footprint becomes a problem during the demo — it works, it is just measurably behind current options.</w:t>
      </w:r>
    </w:p>
    <w:p>
      <w:pPr>
        <w:pStyle w:val="BodyText"/>
      </w:pPr>
      <w:r>
        <w:rPr>
          <w:bCs/>
          <w:b/>
        </w:rPr>
        <w:t xml:space="preserve">Install:</w:t>
      </w:r>
    </w:p>
    <w:p>
      <w:pPr>
        <w:pStyle w:val="SourceCode"/>
      </w:pPr>
      <w:r>
        <w:rPr>
          <w:rStyle w:val="ExtensionTok"/>
        </w:rPr>
        <w:t xml:space="preserve">pip</w:t>
      </w:r>
      <w:r>
        <w:rPr>
          <w:rStyle w:val="NormalTok"/>
        </w:rPr>
        <w:t xml:space="preserve"> install sentence-transformers faiss-cpu fastapi uvicorn </w:t>
      </w:r>
      <w:r>
        <w:rPr>
          <w:rStyle w:val="AttributeTok"/>
        </w:rPr>
        <w:t xml:space="preserve">--break-system-packages</w:t>
      </w:r>
      <w:r>
        <w:br/>
      </w:r>
      <w:r>
        <w:rPr>
          <w:rStyle w:val="CommentTok"/>
        </w:rPr>
        <w:t xml:space="preserve"># only if targeting SPECTER2 instead of / in addition to BGE-M3:</w:t>
      </w:r>
      <w:r>
        <w:br/>
      </w:r>
      <w:r>
        <w:rPr>
          <w:rStyle w:val="ExtensionTok"/>
        </w:rPr>
        <w:t xml:space="preserve">pip</w:t>
      </w:r>
      <w:r>
        <w:rPr>
          <w:rStyle w:val="NormalTok"/>
        </w:rPr>
        <w:t xml:space="preserve"> install adapters </w:t>
      </w:r>
      <w:r>
        <w:rPr>
          <w:rStyle w:val="AttributeTok"/>
        </w:rPr>
        <w:t xml:space="preserve">--break-system-packages</w:t>
      </w:r>
    </w:p>
    <w:p>
      <w:pPr>
        <w:pStyle w:val="FirstParagraph"/>
      </w:pPr>
      <w:r>
        <w:rPr>
          <w:bCs/>
          <w:b/>
        </w:rPr>
        <w:t xml:space="preserve">Minimal embedding + FAISS service (</w:t>
      </w:r>
      <w:r>
        <w:rPr>
          <w:rStyle w:val="VerbatimChar"/>
          <w:bCs/>
          <w:b/>
        </w:rPr>
        <w:t xml:space="preserve">embed_service.py</w:t>
      </w:r>
      <w:r>
        <w:rPr>
          <w:bCs/>
          <w:b/>
        </w:rPr>
        <w:t xml:space="preserv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w:t>
      </w:r>
      <w:r>
        <w:br/>
      </w:r>
      <w:r>
        <w:rPr>
          <w:rStyle w:val="ImportTok"/>
        </w:rPr>
        <w:t xml:space="preserve">import</w:t>
      </w:r>
      <w:r>
        <w:rPr>
          <w:rStyle w:val="NormalTok"/>
        </w:rPr>
        <w:t xml:space="preserve"> faiss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model </w:t>
      </w:r>
      <w:r>
        <w:rPr>
          <w:rStyle w:val="OperatorTok"/>
        </w:rPr>
        <w:t xml:space="preserve">=</w:t>
      </w:r>
      <w:r>
        <w:rPr>
          <w:rStyle w:val="NormalTok"/>
        </w:rPr>
        <w:t xml:space="preserve"> SentenceTransformer(</w:t>
      </w:r>
      <w:r>
        <w:rPr>
          <w:rStyle w:val="StringTok"/>
        </w:rPr>
        <w:t xml:space="preserve">"BAAI/bge-m3"</w:t>
      </w:r>
      <w:r>
        <w:rPr>
          <w:rStyle w:val="NormalTok"/>
        </w:rPr>
        <w:t xml:space="preserve">)   </w:t>
      </w:r>
      <w:r>
        <w:rPr>
          <w:rStyle w:val="CommentTok"/>
        </w:rPr>
        <w:t xml:space="preserve"># downloads on first run, ~2.2GB</w:t>
      </w:r>
      <w:r>
        <w:br/>
      </w:r>
      <w:r>
        <w:rPr>
          <w:rStyle w:val="NormalTok"/>
        </w:rPr>
        <w:t xml:space="preserve">DIM </w:t>
      </w:r>
      <w:r>
        <w:rPr>
          <w:rStyle w:val="OperatorTok"/>
        </w:rPr>
        <w:t xml:space="preserve">=</w:t>
      </w:r>
      <w:r>
        <w:rPr>
          <w:rStyle w:val="NormalTok"/>
        </w:rPr>
        <w:t xml:space="preserve"> </w:t>
      </w:r>
      <w:r>
        <w:rPr>
          <w:rStyle w:val="DecValTok"/>
        </w:rPr>
        <w:t xml:space="preserve">1024</w:t>
      </w:r>
      <w:r>
        <w:br/>
      </w:r>
      <w:r>
        <w:br/>
      </w:r>
      <w:r>
        <w:rPr>
          <w:rStyle w:val="NormalTok"/>
        </w:rPr>
        <w:t xml:space="preserve">index </w:t>
      </w:r>
      <w:r>
        <w:rPr>
          <w:rStyle w:val="OperatorTok"/>
        </w:rPr>
        <w:t xml:space="preserve">=</w:t>
      </w:r>
      <w:r>
        <w:rPr>
          <w:rStyle w:val="NormalTok"/>
        </w:rPr>
        <w:t xml:space="preserve"> faiss.IndexFlatIP(DIM)          </w:t>
      </w:r>
      <w:r>
        <w:rPr>
          <w:rStyle w:val="CommentTok"/>
        </w:rPr>
        <w:t xml:space="preserve"># exact inner-product search; fine up to ~200k vectors</w:t>
      </w:r>
      <w:r>
        <w:br/>
      </w:r>
      <w:r>
        <w:rPr>
          <w:rStyle w:val="NormalTok"/>
        </w:rPr>
        <w:t xml:space="preserve">id_map: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position -&gt; reference_corpus_papers.id</w:t>
      </w:r>
      <w:r>
        <w:br/>
      </w:r>
      <w:r>
        <w:br/>
      </w:r>
      <w:r>
        <w:rPr>
          <w:rStyle w:val="KeywordTok"/>
        </w:rPr>
        <w:t xml:space="preserve">class</w:t>
      </w:r>
      <w:r>
        <w:rPr>
          <w:rStyle w:val="NormalTok"/>
        </w:rPr>
        <w:t xml:space="preserve"> EmbedRequest(BaseModel):</w:t>
      </w:r>
      <w:r>
        <w:br/>
      </w:r>
      <w:r>
        <w:rPr>
          <w:rStyle w:val="NormalTok"/>
        </w:rPr>
        <w:t xml:space="preserve">    text: </w:t>
      </w:r>
      <w:r>
        <w:rPr>
          <w:rStyle w:val="BuiltInTok"/>
        </w:rPr>
        <w:t xml:space="preserve">str</w:t>
      </w:r>
      <w:r>
        <w:br/>
      </w:r>
      <w:r>
        <w:br/>
      </w:r>
      <w:r>
        <w:rPr>
          <w:rStyle w:val="KeywordTok"/>
        </w:rPr>
        <w:t xml:space="preserve">class</w:t>
      </w:r>
      <w:r>
        <w:rPr>
          <w:rStyle w:val="NormalTok"/>
        </w:rPr>
        <w:t xml:space="preserve"> QueryRequest(BaseModel):</w:t>
      </w:r>
      <w:r>
        <w:br/>
      </w:r>
      <w:r>
        <w:rPr>
          <w:rStyle w:val="NormalTok"/>
        </w:rPr>
        <w:t xml:space="preserve">    text: </w:t>
      </w:r>
      <w:r>
        <w:rPr>
          <w:rStyle w:val="BuiltInTok"/>
        </w:rPr>
        <w:t xml:space="preserve">str</w:t>
      </w:r>
      <w:r>
        <w:br/>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KeywordTok"/>
        </w:rPr>
        <w:t xml:space="preserve">def</w:t>
      </w:r>
      <w:r>
        <w:rPr>
          <w:rStyle w:val="NormalTok"/>
        </w:rPr>
        <w:t xml:space="preserve"> normalize(v: np.ndarray) </w:t>
      </w:r>
      <w:r>
        <w:rPr>
          <w:rStyle w:val="OperatorTok"/>
        </w:rPr>
        <w:t xml:space="preserve">-&gt;</w:t>
      </w:r>
      <w:r>
        <w:rPr>
          <w:rStyle w:val="NormalTok"/>
        </w:rPr>
        <w:t xml:space="preserve"> np.ndarray:</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(np.linalg.norm(v, axis</w:t>
      </w:r>
      <w:r>
        <w:rPr>
          <w:rStyle w:val="OperatorTok"/>
        </w:rPr>
        <w:t xml:space="preserve">=</w:t>
      </w:r>
      <w:r>
        <w:rPr>
          <w:rStyle w:val="DecValTok"/>
        </w:rPr>
        <w:t xml:space="preserve">1</w:t>
      </w:r>
      <w:r>
        <w:rPr>
          <w:rStyle w:val="NormalTok"/>
        </w:rPr>
        <w:t xml:space="preserve">, keepdims</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AttributeTok"/>
        </w:rPr>
        <w:t xml:space="preserve">@app.post</w:t>
      </w:r>
      <w:r>
        <w:rPr>
          <w:rStyle w:val="NormalTok"/>
        </w:rPr>
        <w:t xml:space="preserve">(</w:t>
      </w:r>
      <w:r>
        <w:rPr>
          <w:rStyle w:val="StringTok"/>
        </w:rPr>
        <w:t xml:space="preserve">"/embed"</w:t>
      </w:r>
      <w:r>
        <w:rPr>
          <w:rStyle w:val="NormalTok"/>
        </w:rPr>
        <w:t xml:space="preserve">)</w:t>
      </w:r>
      <w:r>
        <w:br/>
      </w:r>
      <w:r>
        <w:rPr>
          <w:rStyle w:val="KeywordTok"/>
        </w:rPr>
        <w:t xml:space="preserve">def</w:t>
      </w:r>
      <w:r>
        <w:rPr>
          <w:rStyle w:val="NormalTok"/>
        </w:rPr>
        <w:t xml:space="preserve"> embed(req: EmbedRequest):</w:t>
      </w:r>
      <w:r>
        <w:br/>
      </w:r>
      <w:r>
        <w:rPr>
          <w:rStyle w:val="NormalTok"/>
        </w:rPr>
        <w:t xml:space="preserve">    vec </w:t>
      </w:r>
      <w:r>
        <w:rPr>
          <w:rStyle w:val="OperatorTok"/>
        </w:rPr>
        <w:t xml:space="preserve">=</w:t>
      </w:r>
      <w:r>
        <w:rPr>
          <w:rStyle w:val="NormalTok"/>
        </w:rPr>
        <w:t xml:space="preserve"> model.encode([req.text],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"embedding"</w:t>
      </w:r>
      <w:r>
        <w:rPr>
          <w:rStyle w:val="NormalTok"/>
        </w:rPr>
        <w:t xml:space="preserve">: vec[</w:t>
      </w:r>
      <w:r>
        <w:rPr>
          <w:rStyle w:val="DecValTok"/>
        </w:rPr>
        <w:t xml:space="preserve">0</w:t>
      </w:r>
      <w:r>
        <w:rPr>
          <w:rStyle w:val="NormalTok"/>
        </w:rPr>
        <w:t xml:space="preserve">].tolist()}</w:t>
      </w:r>
      <w:r>
        <w:br/>
      </w:r>
      <w:r>
        <w:br/>
      </w:r>
      <w:r>
        <w:rPr>
          <w:rStyle w:val="AttributeTok"/>
        </w:rPr>
        <w:t xml:space="preserve">@app.post</w:t>
      </w:r>
      <w:r>
        <w:rPr>
          <w:rStyle w:val="NormalTok"/>
        </w:rPr>
        <w:t xml:space="preserve">(</w:t>
      </w:r>
      <w:r>
        <w:rPr>
          <w:rStyle w:val="StringTok"/>
        </w:rPr>
        <w:t xml:space="preserve">"/query"</w:t>
      </w:r>
      <w:r>
        <w:rPr>
          <w:rStyle w:val="NormalTok"/>
        </w:rPr>
        <w:t xml:space="preserve">)</w:t>
      </w:r>
      <w:r>
        <w:br/>
      </w:r>
      <w:r>
        <w:rPr>
          <w:rStyle w:val="KeywordTok"/>
        </w:rPr>
        <w:t xml:space="preserve">def</w:t>
      </w:r>
      <w:r>
        <w:rPr>
          <w:rStyle w:val="NormalTok"/>
        </w:rPr>
        <w:t xml:space="preserve"> query(req: QueryRequest):</w:t>
      </w:r>
      <w:r>
        <w:br/>
      </w:r>
      <w:r>
        <w:rPr>
          <w:rStyle w:val="NormalTok"/>
        </w:rPr>
        <w:t xml:space="preserve">    vec </w:t>
      </w:r>
      <w:r>
        <w:rPr>
          <w:rStyle w:val="OperatorTok"/>
        </w:rPr>
        <w:t xml:space="preserve">=</w:t>
      </w:r>
      <w:r>
        <w:rPr>
          <w:rStyle w:val="NormalTok"/>
        </w:rPr>
        <w:t xml:space="preserve"> normalize(model.encode([req.text]))</w:t>
      </w:r>
      <w:r>
        <w:br/>
      </w:r>
      <w:r>
        <w:rPr>
          <w:rStyle w:val="NormalTok"/>
        </w:rPr>
        <w:t xml:space="preserve">    scores, idxs </w:t>
      </w:r>
      <w:r>
        <w:rPr>
          <w:rStyle w:val="OperatorTok"/>
        </w:rPr>
        <w:t xml:space="preserve">=</w:t>
      </w:r>
      <w:r>
        <w:rPr>
          <w:rStyle w:val="NormalTok"/>
        </w:rPr>
        <w:t xml:space="preserve"> index.search(vec.astype(</w:t>
      </w:r>
      <w:r>
        <w:rPr>
          <w:rStyle w:val="StringTok"/>
        </w:rPr>
        <w:t xml:space="preserve">"float32"</w:t>
      </w:r>
      <w:r>
        <w:rPr>
          <w:rStyle w:val="NormalTok"/>
        </w:rPr>
        <w:t xml:space="preserve">), req.top_k)</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"corpus_paper_id"</w:t>
      </w:r>
      <w:r>
        <w:rPr>
          <w:rStyle w:val="NormalTok"/>
        </w:rPr>
        <w:t xml:space="preserve">: id_map[i], </w:t>
      </w:r>
      <w:r>
        <w:rPr>
          <w:rStyle w:val="StringTok"/>
        </w:rPr>
        <w:t xml:space="preserve">"similarity"</w:t>
      </w:r>
      <w:r>
        <w:rPr>
          <w:rStyle w:val="NormalTok"/>
        </w:rPr>
        <w:t xml:space="preserve">: </w:t>
      </w:r>
      <w:r>
        <w:rPr>
          <w:rStyle w:val="BuiltInTok"/>
        </w:rPr>
        <w:t xml:space="preserve">float</w:t>
      </w:r>
      <w:r>
        <w:rPr>
          <w:rStyle w:val="NormalTok"/>
        </w:rPr>
        <w:t xml:space="preserve">(s)}</w:t>
      </w:r>
      <w:r>
        <w:br/>
      </w:r>
      <w:r>
        <w:rPr>
          <w:rStyle w:val="NormalTok"/>
        </w:rPr>
        <w:t xml:space="preserve">        </w:t>
      </w:r>
      <w:r>
        <w:rPr>
          <w:rStyle w:val="ControlFlowTok"/>
        </w:rPr>
        <w:t xml:space="preserve">for</w:t>
      </w:r>
      <w:r>
        <w:rPr>
          <w:rStyle w:val="NormalTok"/>
        </w:rPr>
        <w:t xml:space="preserve"> s, i </w:t>
      </w:r>
      <w:r>
        <w:rPr>
          <w:rStyle w:val="KeywordTok"/>
        </w:rPr>
        <w:t xml:space="preserve">in</w:t>
      </w:r>
      <w:r>
        <w:rPr>
          <w:rStyle w:val="NormalTok"/>
        </w:rPr>
        <w:t xml:space="preserve"> </w:t>
      </w:r>
      <w:r>
        <w:rPr>
          <w:rStyle w:val="BuiltInTok"/>
        </w:rPr>
        <w:t xml:space="preserve">zip</w:t>
      </w:r>
      <w:r>
        <w:rPr>
          <w:rStyle w:val="NormalTok"/>
        </w:rPr>
        <w:t xml:space="preserve">(scores[</w:t>
      </w:r>
      <w:r>
        <w:rPr>
          <w:rStyle w:val="DecValTok"/>
        </w:rPr>
        <w:t xml:space="preserve">0</w:t>
      </w:r>
      <w:r>
        <w:rPr>
          <w:rStyle w:val="NormalTok"/>
        </w:rPr>
        <w:t xml:space="preserve">], idxs[</w:t>
      </w:r>
      <w:r>
        <w:rPr>
          <w:rStyle w:val="DecValTok"/>
        </w:rPr>
        <w:t xml:space="preserve">0</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"matches"</w:t>
      </w:r>
      <w:r>
        <w:rPr>
          <w:rStyle w:val="NormalTok"/>
        </w:rPr>
        <w:t xml:space="preserve">: results}</w:t>
      </w:r>
    </w:p>
    <w:p>
      <w:pPr>
        <w:pStyle w:val="FirstParagraph"/>
      </w:pPr>
      <w:r>
        <w:t xml:space="preserve">Run it as its own small service (</w:t>
      </w:r>
      <w:r>
        <w:rPr>
          <w:rStyle w:val="VerbatimChar"/>
        </w:rPr>
        <w:t xml:space="preserve">uvicorn embed_service:app --host 0.0.0.0 --port 8001</w:t>
      </w:r>
      <w:r>
        <w:t xml:space="preserve">) rather than importing sentence-transformers directly into the main FastAPI backend process — this keeps the (fairly large) model weights and any GPU usage isolated from the main API process, and lets you restart/redeploy it independently.</w:t>
      </w:r>
    </w:p>
    <w:p>
      <w:pPr>
        <w:pStyle w:val="BodyText"/>
      </w:pPr>
      <w:r>
        <w:rPr>
          <w:bCs/>
          <w:b/>
        </w:rPr>
        <w:t xml:space="preserve">Config notes:</w:t>
      </w:r>
    </w:p>
    <w:p>
      <w:pPr>
        <w:numPr>
          <w:ilvl w:val="0"/>
          <w:numId w:val="1014"/>
        </w:numPr>
        <w:pStyle w:val="Compact"/>
      </w:pPr>
      <w:r>
        <w:t xml:space="preserve">Always normalize embeddings before inner-product search (</w:t>
      </w:r>
      <w:r>
        <w:rPr>
          <w:rStyle w:val="VerbatimChar"/>
        </w:rPr>
        <w:t xml:space="preserve">IndexFlatIP</w:t>
      </w:r>
      <w:r>
        <w:t xml:space="preserve"> </w:t>
      </w:r>
      <w:r>
        <w:t xml:space="preserve">on normalized vectors is equivalent to cosine similarity) — this is easy to forget and produces silently wrong rankings if skipped.</w:t>
      </w:r>
    </w:p>
    <w:p>
      <w:pPr>
        <w:numPr>
          <w:ilvl w:val="0"/>
          <w:numId w:val="1014"/>
        </w:numPr>
        <w:pStyle w:val="Compact"/>
      </w:pPr>
      <w:r>
        <w:rPr>
          <w:rStyle w:val="VerbatimChar"/>
        </w:rPr>
        <w:t xml:space="preserve">IndexFlatIP</w:t>
      </w:r>
      <w:r>
        <w:t xml:space="preserve"> </w:t>
      </w:r>
      <w:r>
        <w:t xml:space="preserve">is exact and simple, and is entirely adequate for a demo-scale corpus (tens of thousands of vectors, §3.4). If the corpus grows past roughly 200k–500k vectors, switch to</w:t>
      </w:r>
      <w:r>
        <w:t xml:space="preserve"> </w:t>
      </w:r>
      <w:r>
        <w:rPr>
          <w:rStyle w:val="VerbatimChar"/>
        </w:rPr>
        <w:t xml:space="preserve">IndexHNSWFlat</w:t>
      </w:r>
      <w:r>
        <w:t xml:space="preserve"> </w:t>
      </w:r>
      <w:r>
        <w:t xml:space="preserve">for sub-linear query time — not needed at prototype scale.</w:t>
      </w:r>
    </w:p>
    <w:p>
      <w:pPr>
        <w:numPr>
          <w:ilvl w:val="0"/>
          <w:numId w:val="1014"/>
        </w:numPr>
        <w:pStyle w:val="Compact"/>
      </w:pPr>
      <w:r>
        <w:t xml:space="preserve">Persist the index and</w:t>
      </w:r>
      <w:r>
        <w:t xml:space="preserve"> </w:t>
      </w:r>
      <w:r>
        <w:rPr>
          <w:rStyle w:val="VerbatimChar"/>
        </w:rPr>
        <w:t xml:space="preserve">id_map</w:t>
      </w:r>
      <w:r>
        <w:t xml:space="preserve"> </w:t>
      </w:r>
      <w:r>
        <w:t xml:space="preserve">to disk after corpus build (</w:t>
      </w:r>
      <w:r>
        <w:rPr>
          <w:rStyle w:val="VerbatimChar"/>
        </w:rPr>
        <w:t xml:space="preserve">faiss.write_index(index, "corpus.index")</w:t>
      </w:r>
      <w:r>
        <w:t xml:space="preserve">) and load on service startup, rather than rebuilding on every restart.</w:t>
      </w:r>
    </w:p>
    <w:p>
      <w:pPr>
        <w:numPr>
          <w:ilvl w:val="0"/>
          <w:numId w:val="1014"/>
        </w:numPr>
        <w:pStyle w:val="Compact"/>
      </w:pPr>
      <w:r>
        <w:t xml:space="preserve">Threshold calibration: run the query path against a small hand-picked set of known-similar and known-dissimilar paper pairs before locking in the organizer-facing similarity thresholds in the gate rules — do not assume a cosine similarity of, say, 0.8 means the same thing for BGE-M3 that it might for a different embedding model.</w:t>
      </w:r>
    </w:p>
    <w:p>
      <w:pPr>
        <w:pStyle w:val="FirstParagraph"/>
      </w:pPr>
      <w:r>
        <w:rPr>
          <w:bCs/>
          <w:b/>
        </w:rPr>
        <w:t xml:space="preserve">Combine with MinHash/SimHash for verbatim copying:</w:t>
      </w:r>
      <w:r>
        <w:t xml:space="preserve"> </w:t>
      </w:r>
      <w:r>
        <w:t xml:space="preserve">the embedding search catches paraphrased/semantic overlap; it does not reliably catch exact copied sentences shuffled into new context. Keep the MinHash n-gram exact-match layer from the original roadmap unchanged — it is complementary, not redundant, and is cheap:</w:t>
      </w:r>
    </w:p>
    <w:p>
      <w:pPr>
        <w:pStyle w:val="SourceCode"/>
      </w:pPr>
      <w:r>
        <w:rPr>
          <w:rStyle w:val="ImportTok"/>
        </w:rPr>
        <w:t xml:space="preserve">from</w:t>
      </w:r>
      <w:r>
        <w:rPr>
          <w:rStyle w:val="NormalTok"/>
        </w:rPr>
        <w:t xml:space="preserve"> datasketch </w:t>
      </w:r>
      <w:r>
        <w:rPr>
          <w:rStyle w:val="ImportTok"/>
        </w:rPr>
        <w:t xml:space="preserve">import</w:t>
      </w:r>
      <w:r>
        <w:rPr>
          <w:rStyle w:val="NormalTok"/>
        </w:rPr>
        <w:t xml:space="preserve"> MinHash, MinHashLSH</w:t>
      </w:r>
      <w:r>
        <w:br/>
      </w:r>
      <w:r>
        <w:br/>
      </w:r>
      <w:r>
        <w:rPr>
          <w:rStyle w:val="KeywordTok"/>
        </w:rPr>
        <w:t xml:space="preserve">def</w:t>
      </w:r>
      <w:r>
        <w:rPr>
          <w:rStyle w:val="NormalTok"/>
        </w:rPr>
        <w:t xml:space="preserve"> shingle(text: </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w:t>
      </w:r>
      <w:r>
        <w:br/>
      </w:r>
      <w:r>
        <w:rPr>
          <w:rStyle w:val="NormalTok"/>
        </w:rPr>
        <w:t xml:space="preserve">    words </w:t>
      </w:r>
      <w:r>
        <w:rPr>
          <w:rStyle w:val="OperatorTok"/>
        </w:rPr>
        <w:t xml:space="preserve">=</w:t>
      </w:r>
      <w:r>
        <w:rPr>
          <w:rStyle w:val="NormalTok"/>
        </w:rPr>
        <w:t xml:space="preserve"> text.split()</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.join(words[i:i</w:t>
      </w:r>
      <w:r>
        <w:rPr>
          <w:rStyle w:val="OperatorTok"/>
        </w:rPr>
        <w:t xml:space="preserve">+</w:t>
      </w:r>
      <w:r>
        <w:rPr>
          <w:rStyle w:val="NormalTok"/>
        </w:rPr>
        <w:t xml:space="preserve">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(words)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minhash_signature(text: </w:t>
      </w:r>
      <w:r>
        <w:rPr>
          <w:rStyle w:val="BuiltInTok"/>
        </w:rPr>
        <w:t xml:space="preserve">str</w:t>
      </w:r>
      <w:r>
        <w:rPr>
          <w:rStyle w:val="NormalTok"/>
        </w:rPr>
        <w:t xml:space="preserve">, num_perm: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 </w:t>
      </w:r>
      <w:r>
        <w:rPr>
          <w:rStyle w:val="OperatorTok"/>
        </w:rPr>
        <w:t xml:space="preserve">-&gt;</w:t>
      </w:r>
      <w:r>
        <w:rPr>
          <w:rStyle w:val="NormalTok"/>
        </w:rPr>
        <w:t xml:space="preserve"> MinHash:</w:t>
      </w:r>
      <w:r>
        <w:br/>
      </w:r>
      <w:r>
        <w:rPr>
          <w:rStyle w:val="NormalTok"/>
        </w:rPr>
        <w:t xml:space="preserve">    m </w:t>
      </w:r>
      <w:r>
        <w:rPr>
          <w:rStyle w:val="OperatorTok"/>
        </w:rPr>
        <w:t xml:space="preserve">=</w:t>
      </w:r>
      <w:r>
        <w:rPr>
          <w:rStyle w:val="NormalTok"/>
        </w:rPr>
        <w:t xml:space="preserve"> MinHash(num_perm</w:t>
      </w:r>
      <w:r>
        <w:rPr>
          <w:rStyle w:val="OperatorTok"/>
        </w:rPr>
        <w:t xml:space="preserve">=</w:t>
      </w:r>
      <w:r>
        <w:rPr>
          <w:rStyle w:val="NormalTok"/>
        </w:rPr>
        <w:t xml:space="preserve">num_perm)</w:t>
      </w:r>
      <w:r>
        <w:br/>
      </w:r>
      <w:r>
        <w:rPr>
          <w:rStyle w:val="NormalTok"/>
        </w:rPr>
        <w:t xml:space="preserve">    </w:t>
      </w:r>
      <w:r>
        <w:rPr>
          <w:rStyle w:val="ControlFlowTok"/>
        </w:rPr>
        <w:t xml:space="preserve">for</w:t>
      </w:r>
      <w:r>
        <w:rPr>
          <w:rStyle w:val="NormalTok"/>
        </w:rPr>
        <w:t xml:space="preserve"> shingle_str </w:t>
      </w:r>
      <w:r>
        <w:rPr>
          <w:rStyle w:val="KeywordTok"/>
        </w:rPr>
        <w:t xml:space="preserve">in</w:t>
      </w:r>
      <w:r>
        <w:rPr>
          <w:rStyle w:val="NormalTok"/>
        </w:rPr>
        <w:t xml:space="preserve"> shingle(text):</w:t>
      </w:r>
      <w:r>
        <w:br/>
      </w:r>
      <w:r>
        <w:rPr>
          <w:rStyle w:val="NormalTok"/>
        </w:rPr>
        <w:t xml:space="preserve">        m.update(shingle_str.encode(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m</w:t>
      </w:r>
    </w:p>
    <w:p>
      <w:pPr>
        <w:pStyle w:val="FirstParagraph"/>
      </w:pPr>
      <w:r>
        <w:t xml:space="preserve">Build an</w:t>
      </w:r>
      <w:r>
        <w:t xml:space="preserve"> </w:t>
      </w:r>
      <w:r>
        <w:rPr>
          <w:rStyle w:val="VerbatimChar"/>
        </w:rPr>
        <w:t xml:space="preserve">MinHashLSH</w:t>
      </w:r>
      <w:r>
        <w:t xml:space="preserve"> </w:t>
      </w:r>
      <w:r>
        <w:t xml:space="preserve">index over the same reference corpus at corpus-build time (§3.4) and query it alongside the FAISS query for every submission.</w:t>
      </w:r>
    </w:p>
    <w:p>
      <w:pPr>
        <w:pStyle w:val="BodyText"/>
      </w:pPr>
      <w:r>
        <w:rPr>
          <w:bCs/>
          <w:b/>
        </w:rPr>
        <w:t xml:space="preserve">Setup time budget:</w:t>
      </w:r>
      <w:r>
        <w:t xml:space="preserve"> </w:t>
      </w:r>
      <w:r>
        <w:t xml:space="preserve">0.5–1 day including standing up the service, first successful corpus load, and threshold sanity-checking — most of this time is corpus-building (§3.4), not the embedding service itself, which is a same-day task on its own.</w:t>
      </w:r>
    </w:p>
    <w:bookmarkEnd w:id="65"/>
    <w:bookmarkStart w:id="66" w:name="Xbbe599a67b044e83f9f4140e8ee29ec21d057fd"/>
    <w:p>
      <w:pPr>
        <w:pStyle w:val="Heading2"/>
      </w:pPr>
      <w:r>
        <w:t xml:space="preserve">3.4 Plagiarism reference corpus — build strategy</w:t>
      </w:r>
    </w:p>
    <w:p>
      <w:pPr>
        <w:pStyle w:val="FirstParagraph"/>
      </w:pPr>
      <w:r>
        <w:t xml:space="preserve">Goal: a demo-scale reference corpus (title + abstract, ideally 50,000–100,000 papers in fields matching the demo conferences) embedded into the FAISS index above.</w:t>
      </w:r>
    </w:p>
    <w:p>
      <w:pPr>
        <w:pStyle w:val="BodyText"/>
      </w:pPr>
      <w:r>
        <w:rPr>
          <w:bCs/>
          <w:b/>
        </w:rPr>
        <w:t xml:space="preserve">Source APIs:</w:t>
      </w:r>
    </w:p>
    <w:p>
      <w:pPr>
        <w:numPr>
          <w:ilvl w:val="0"/>
          <w:numId w:val="1015"/>
        </w:numPr>
        <w:pStyle w:val="Compact"/>
      </w:pPr>
      <w:r>
        <w:rPr>
          <w:bCs/>
          <w:b/>
        </w:rPr>
        <w:t xml:space="preserve">Semantic Scholar Academic Graph (S2AG).</w:t>
      </w:r>
      <w:r>
        <w:t xml:space="preserve"> </w:t>
      </w:r>
      <w:r>
        <w:t xml:space="preserve">The best single source for this purpose. Unauthenticated requests share a pool capped at 5,000 requests per 5 minutes across</w:t>
      </w:r>
      <w:r>
        <w:t xml:space="preserve"> </w:t>
      </w:r>
      <w:r>
        <w:rPr>
          <w:iCs/>
          <w:i/>
        </w:rPr>
        <w:t xml:space="preserve">all</w:t>
      </w:r>
      <w:r>
        <w:t xml:space="preserve"> </w:t>
      </w:r>
      <w:r>
        <w:t xml:space="preserve">anonymous users, which is unreliable under any real load — register a free API key, which grants a dedicated rate of roughly 1 request/second. For a pull at this scale, do not loop the per-paper search endpoint — use either the</w:t>
      </w:r>
      <w:r>
        <w:t xml:space="preserve"> </w:t>
      </w:r>
      <w:r>
        <w:rPr>
          <w:bCs/>
          <w:b/>
        </w:rPr>
        <w:t xml:space="preserve">bulk search endpoint</w:t>
      </w:r>
      <w:r>
        <w:t xml:space="preserve"> </w:t>
      </w:r>
      <w:r>
        <w:t xml:space="preserve">(</w:t>
      </w:r>
      <w:r>
        <w:rPr>
          <w:rStyle w:val="VerbatimChar"/>
        </w:rPr>
        <w:t xml:space="preserve">paper/search/bulk</w:t>
      </w:r>
      <w:r>
        <w:t xml:space="preserve">, up to 1,000 papers per response) or, better, the</w:t>
      </w:r>
      <w:r>
        <w:t xml:space="preserve"> </w:t>
      </w:r>
      <w:r>
        <w:rPr>
          <w:bCs/>
          <w:b/>
        </w:rPr>
        <w:t xml:space="preserve">Datasets API</w:t>
      </w:r>
      <w:r>
        <w:t xml:space="preserve">, which provides downloadable full corpus snapshots (including titles, abstracts, and precomputed SPECTER2 embeddings) that you filter and load locally, entirely bypassing per-request rate limits. The Datasets API is the recommended path for anything at the tens-of-thousands scale.</w:t>
      </w:r>
    </w:p>
    <w:p>
      <w:pPr>
        <w:numPr>
          <w:ilvl w:val="0"/>
          <w:numId w:val="1015"/>
        </w:numPr>
        <w:pStyle w:val="Compact"/>
      </w:pPr>
      <w:r>
        <w:rPr>
          <w:bCs/>
          <w:b/>
        </w:rPr>
        <w:t xml:space="preserve">arXiv.</w:t>
      </w:r>
      <w:r>
        <w:t xml:space="preserve"> </w:t>
      </w:r>
      <w:r>
        <w:t xml:space="preserve">The legacy query API caps</w:t>
      </w:r>
      <w:r>
        <w:t xml:space="preserve"> </w:t>
      </w:r>
      <w:r>
        <w:rPr>
          <w:rStyle w:val="VerbatimChar"/>
        </w:rPr>
        <w:t xml:space="preserve">max_results</w:t>
      </w:r>
      <w:r>
        <w:t xml:space="preserve"> </w:t>
      </w:r>
      <w:r>
        <w:t xml:space="preserve">at 30,000 total (retrieved in slices of up to 2,000) and expects at most 1 request every 3 seconds over a single connection — workable for a small, targeted pull but not for bulk harvesting. For bulk metadata, use the</w:t>
      </w:r>
      <w:r>
        <w:t xml:space="preserve"> </w:t>
      </w:r>
      <w:r>
        <w:rPr>
          <w:bCs/>
          <w:b/>
        </w:rPr>
        <w:t xml:space="preserve">OAI-PMH interface</w:t>
      </w:r>
      <w:r>
        <w:t xml:space="preserve"> </w:t>
      </w:r>
      <w:r>
        <w:t xml:space="preserve">at</w:t>
      </w:r>
      <w:r>
        <w:t xml:space="preserve"> </w:t>
      </w:r>
      <w:r>
        <w:rPr>
          <w:rStyle w:val="VerbatimChar"/>
        </w:rPr>
        <w:t xml:space="preserve">export.arxiv.org/oai2</w:t>
      </w:r>
      <w:r>
        <w:t xml:space="preserve"> </w:t>
      </w:r>
      <w:r>
        <w:t xml:space="preserve">with the</w:t>
      </w:r>
      <w:r>
        <w:t xml:space="preserve"> </w:t>
      </w:r>
      <w:r>
        <w:rPr>
          <w:rStyle w:val="VerbatimChar"/>
        </w:rPr>
        <w:t xml:space="preserve">arXivRaw</w:t>
      </w:r>
      <w:r>
        <w:t xml:space="preserve"> </w:t>
      </w:r>
      <w:r>
        <w:t xml:space="preserve">metadata format, which supports selective harvesting by subject set (e.g.,</w:t>
      </w:r>
      <w:r>
        <w:t xml:space="preserve"> </w:t>
      </w:r>
      <w:r>
        <w:rPr>
          <w:rStyle w:val="VerbatimChar"/>
        </w:rPr>
        <w:t xml:space="preserve">cs</w:t>
      </w:r>
      <w:r>
        <w:t xml:space="preserve">,</w:t>
      </w:r>
      <w:r>
        <w:t xml:space="preserve"> </w:t>
      </w:r>
      <w:r>
        <w:rPr>
          <w:rStyle w:val="VerbatimChar"/>
        </w:rPr>
        <w:t xml:space="preserve">cs.CL</w:t>
      </w:r>
      <w:r>
        <w:t xml:space="preserve">,</w:t>
      </w:r>
      <w:r>
        <w:t xml:space="preserve"> </w:t>
      </w:r>
      <w:r>
        <w:rPr>
          <w:rStyle w:val="VerbatimChar"/>
        </w:rPr>
        <w:t xml:space="preserve">cs.CV</w:t>
      </w:r>
      <w:r>
        <w:t xml:space="preserve">) and incremental sync — tools like</w:t>
      </w:r>
      <w:r>
        <w:t xml:space="preserve"> </w:t>
      </w:r>
      <w:r>
        <w:rPr>
          <w:rStyle w:val="VerbatimChar"/>
        </w:rPr>
        <w:t xml:space="preserve">metha</w:t>
      </w:r>
      <w:r>
        <w:t xml:space="preserve"> </w:t>
      </w:r>
      <w:r>
        <w:t xml:space="preserve">wrap this cleanly.</w:t>
      </w:r>
    </w:p>
    <w:p>
      <w:pPr>
        <w:numPr>
          <w:ilvl w:val="0"/>
          <w:numId w:val="1015"/>
        </w:numPr>
        <w:pStyle w:val="Compact"/>
      </w:pPr>
      <w:r>
        <w:rPr>
          <w:bCs/>
          <w:b/>
        </w:rPr>
        <w:t xml:space="preserve">CORE API.</w:t>
      </w:r>
      <w:r>
        <w:t xml:space="preserve"> </w:t>
      </w:r>
      <w:r>
        <w:t xml:space="preserve">300M+ metadata records and 40M+ full texts, requires a free API key, and is rate-limited per method (roughly 5 requests per 10 seconds on</w:t>
      </w:r>
      <w:r>
        <w:t xml:space="preserve"> </w:t>
      </w:r>
      <w:r>
        <w:rPr>
          <w:rStyle w:val="VerbatimChar"/>
        </w:rPr>
        <w:t xml:space="preserve">/search/{query}</w:t>
      </w:r>
      <w:r>
        <w:t xml:space="preserve">, with a 10,000-record cap per query at 100 records/page). For genuinely bulk needs, CORE also publishes downloadable annual data dumps. Treat CORE as a supplementary source for full-text coverage beyond what S2AG/arXiv provide, not the primary corpus source.</w:t>
      </w:r>
    </w:p>
    <w:p>
      <w:pPr>
        <w:pStyle w:val="FirstParagraph"/>
      </w:pPr>
      <w:r>
        <w:rPr>
          <w:bCs/>
          <w:b/>
        </w:rPr>
        <w:t xml:space="preserve">Step-by-step:</w:t>
      </w:r>
    </w:p>
    <w:p>
      <w:pPr>
        <w:numPr>
          <w:ilvl w:val="0"/>
          <w:numId w:val="1016"/>
        </w:numPr>
        <w:pStyle w:val="Compact"/>
      </w:pPr>
      <w:r>
        <w:t xml:space="preserve">Register free API keys for Semantic Scholar and CORE (both are near-instant, no approval wait in most cases).</w:t>
      </w:r>
    </w:p>
    <w:p>
      <w:pPr>
        <w:numPr>
          <w:ilvl w:val="0"/>
          <w:numId w:val="1016"/>
        </w:numPr>
        <w:pStyle w:val="Compact"/>
      </w:pPr>
      <w:r>
        <w:t xml:space="preserve">Pick 2–4 fields of study matching your demo conferences’ scope (e.g.,</w:t>
      </w:r>
      <w:r>
        <w:t xml:space="preserve"> </w:t>
      </w:r>
      <w:r>
        <w:t xml:space="preserve">“</w:t>
      </w:r>
      <w:r>
        <w:t xml:space="preserve">Computer Science</w:t>
      </w:r>
      <w:r>
        <w:t xml:space="preserve">”</w:t>
      </w:r>
      <w:r>
        <w:t xml:space="preserve">,</w:t>
      </w:r>
      <w:r>
        <w:t xml:space="preserve"> </w:t>
      </w:r>
      <w:r>
        <w:t xml:space="preserve">“</w:t>
      </w:r>
      <w:r>
        <w:t xml:space="preserve">Engineering</w:t>
      </w:r>
      <w:r>
        <w:t xml:space="preserve">”</w:t>
      </w:r>
      <w:r>
        <w:t xml:space="preserve">) — narrowing scope keeps the corpus relevant and the pull fast.</w:t>
      </w:r>
    </w:p>
    <w:p>
      <w:pPr>
        <w:numPr>
          <w:ilvl w:val="0"/>
          <w:numId w:val="1016"/>
        </w:numPr>
        <w:pStyle w:val="Compact"/>
      </w:pPr>
      <w:r>
        <w:t xml:space="preserve">Pull title + abstract + external IDs (DOI/arXiv ID/S2 corpus ID) via the S2AG</w:t>
      </w:r>
      <w:r>
        <w:t xml:space="preserve"> </w:t>
      </w:r>
      <w:r>
        <w:rPr>
          <w:bCs/>
          <w:b/>
        </w:rPr>
        <w:t xml:space="preserve">Datasets API</w:t>
      </w:r>
      <w:r>
        <w:t xml:space="preserve"> </w:t>
      </w:r>
      <w:r>
        <w:t xml:space="preserve">snapshot, filtered to your chosen fields, targeting 50,000–100,000 records. If the Datasets API path is unavailable for any reason, fall back to the bulk search endpoint at 1 request/second — this is slower (budget realistically here: at ~1,000 papers per bulk-search response and API-side pagination limits, expect this fallback path to take several hours of wall-clock time for 50k+ records, dominated by pagination and light rate-limiting, not compute).</w:t>
      </w:r>
    </w:p>
    <w:p>
      <w:pPr>
        <w:numPr>
          <w:ilvl w:val="0"/>
          <w:numId w:val="1016"/>
        </w:numPr>
        <w:pStyle w:val="Compact"/>
      </w:pPr>
      <w:r>
        <w:t xml:space="preserve">Optionally supplement with a targeted arXiv OAI-PMH harvest scoped to relevant</w:t>
      </w:r>
      <w:r>
        <w:t xml:space="preserve"> </w:t>
      </w:r>
      <w:r>
        <w:rPr>
          <w:rStyle w:val="VerbatimChar"/>
        </w:rPr>
        <w:t xml:space="preserve">cs.*</w:t>
      </w:r>
      <w:r>
        <w:t xml:space="preserve"> </w:t>
      </w:r>
      <w:r>
        <w:t xml:space="preserve">(or other) categories for extra recency.</w:t>
      </w:r>
    </w:p>
    <w:p>
      <w:pPr>
        <w:numPr>
          <w:ilvl w:val="0"/>
          <w:numId w:val="1016"/>
        </w:numPr>
        <w:pStyle w:val="Compact"/>
      </w:pPr>
      <w:r>
        <w:t xml:space="preserve">Deduplicate on DOI / arXiv ID / S2 corpus ID before embedding — duplicate entries silently inflate false</w:t>
      </w:r>
      <w:r>
        <w:t xml:space="preserve"> </w:t>
      </w:r>
      <w:r>
        <w:t xml:space="preserve">“</w:t>
      </w:r>
      <w:r>
        <w:t xml:space="preserve">high similarity</w:t>
      </w:r>
      <w:r>
        <w:t xml:space="preserve">”</w:t>
      </w:r>
      <w:r>
        <w:t xml:space="preserve"> </w:t>
      </w:r>
      <w:r>
        <w:t xml:space="preserve">matches.</w:t>
      </w:r>
    </w:p>
    <w:p>
      <w:pPr>
        <w:numPr>
          <w:ilvl w:val="0"/>
          <w:numId w:val="1016"/>
        </w:numPr>
        <w:pStyle w:val="Compact"/>
      </w:pPr>
      <w:r>
        <w:t xml:space="preserve">Embed each paper’s (title + abstract) text with BGE-M3 (or load S2AG’s precomputed SPECTER2 embeddings directly from the Datasets API if you chose SPECTER2 as your model, skipping the embedding step entirely for that path). Batch encode on GPU if available — an L4 embeds tens of thousands of abstracts in minutes; CPU is workable but budget closer to an hour or more at this scale.</w:t>
      </w:r>
    </w:p>
    <w:p>
      <w:pPr>
        <w:numPr>
          <w:ilvl w:val="0"/>
          <w:numId w:val="1016"/>
        </w:numPr>
        <w:pStyle w:val="Compact"/>
      </w:pPr>
      <w:r>
        <w:t xml:space="preserve">Build the FAISS index (</w:t>
      </w:r>
      <w:r>
        <w:rPr>
          <w:rStyle w:val="VerbatimChar"/>
        </w:rPr>
        <w:t xml:space="preserve">IndexFlatIP</w:t>
      </w:r>
      <w:r>
        <w:t xml:space="preserve"> </w:t>
      </w:r>
      <w:r>
        <w:t xml:space="preserve">on normalized vectors, per §3.3) and persist it to disk alongside a Postgres</w:t>
      </w:r>
      <w:r>
        <w:t xml:space="preserve"> </w:t>
      </w:r>
      <w:r>
        <w:rPr>
          <w:rStyle w:val="VerbatimChar"/>
        </w:rPr>
        <w:t xml:space="preserve">reference_corpus_papers</w:t>
      </w:r>
      <w:r>
        <w:t xml:space="preserve"> </w:t>
      </w:r>
      <w:r>
        <w:t xml:space="preserve">table (§4) mapping FAISS row index → paper metadata.</w:t>
      </w:r>
    </w:p>
    <w:p>
      <w:pPr>
        <w:numPr>
          <w:ilvl w:val="0"/>
          <w:numId w:val="1016"/>
        </w:numPr>
        <w:pStyle w:val="Compact"/>
      </w:pPr>
      <w:r>
        <w:t xml:space="preserve">Build the MinHash/LSH index over the same corpus for exact-match detection (§3.3).</w:t>
      </w:r>
    </w:p>
    <w:p>
      <w:pPr>
        <w:pStyle w:val="FirstParagraph"/>
      </w:pPr>
      <w:r>
        <w:rPr>
          <w:bCs/>
          <w:b/>
        </w:rPr>
        <w:t xml:space="preserve">Realistic timeframe:</w:t>
      </w:r>
      <w:r>
        <w:t xml:space="preserve"> </w:t>
      </w:r>
      <w:r>
        <w:t xml:space="preserve">with the Datasets API snapshot path, corpus assembly + embedding + indexing is achievable in about</w:t>
      </w:r>
      <w:r>
        <w:t xml:space="preserve"> </w:t>
      </w:r>
      <w:r>
        <w:rPr>
          <w:bCs/>
          <w:b/>
        </w:rPr>
        <w:t xml:space="preserve">one day</w:t>
      </w:r>
      <w:r>
        <w:t xml:space="preserve"> </w:t>
      </w:r>
      <w:r>
        <w:t xml:space="preserve">of focused work. Building purely through the rate-limited live search endpoints is materially slower — favor the bulk/dataset endpoints.</w:t>
      </w:r>
      <w:r>
        <w:t xml:space="preserve"> </w:t>
      </w:r>
      <w:r>
        <w:rPr>
          <w:bCs/>
          <w:b/>
        </w:rPr>
        <w:t xml:space="preserve">This is the single most likely place the original roadmap’s Day 8 slips</w:t>
      </w:r>
      <w:r>
        <w:t xml:space="preserve"> </w:t>
      </w:r>
      <w:r>
        <w:t xml:space="preserve">(§7) if the corpus isn’t pre-built earlier in the schedule.</w:t>
      </w:r>
    </w:p>
    <w:bookmarkEnd w:id="66"/>
    <w:bookmarkStart w:id="67" w:name="X80f9ab488c611ed321fda2efd1adc6dbb8cffae"/>
    <w:p>
      <w:pPr>
        <w:pStyle w:val="Heading2"/>
      </w:pPr>
      <w:r>
        <w:t xml:space="preserve">3.5 Ollama + Qwen2.5-7B-Instruct (logical-consistency check + cross-conference summaries)</w:t>
      </w:r>
    </w:p>
    <w:p>
      <w:pPr>
        <w:pStyle w:val="FirstParagraph"/>
      </w:pPr>
      <w:r>
        <w:rPr>
          <w:bCs/>
          <w:b/>
        </w:rPr>
        <w:t xml:space="preserve">What it does:</w:t>
      </w:r>
      <w:r>
        <w:t xml:space="preserve"> </w:t>
      </w:r>
      <w:r>
        <w:t xml:space="preserve">runs the</w:t>
      </w:r>
      <w:r>
        <w:t xml:space="preserve"> </w:t>
      </w:r>
      <w:r>
        <w:t xml:space="preserve">“</w:t>
      </w:r>
      <w:r>
        <w:t xml:space="preserve">judgment-like</w:t>
      </w:r>
      <w:r>
        <w:t xml:space="preserve">”</w:t>
      </w:r>
      <w:r>
        <w:t xml:space="preserve"> </w:t>
      </w:r>
      <w:r>
        <w:t xml:space="preserve">soft checks (does the abstract match the conclusion, does the methodology section support the claims) and generates the ~200-word cross-conference resubmission summary (§1.5). This is the lowest-priority AI check in the pipeline — it is a soft signal used for a secondary UX feature and a summary-generation task, not a hard gate — which makes it the first thing to move to a hosted API fallback if local GPU setup slips (§7).</w:t>
      </w:r>
    </w:p>
    <w:p>
      <w:pPr>
        <w:pStyle w:val="BodyText"/>
      </w:pPr>
      <w:r>
        <w:rPr>
          <w:bCs/>
          <w:b/>
        </w:rPr>
        <w:t xml:space="preserve">Why the model changed:</w:t>
      </w:r>
      <w:r>
        <w:t xml:space="preserve"> </w:t>
      </w:r>
      <w:r>
        <w:t xml:space="preserve">Llama 3.1 8B-Instruct still works but has been surpassed by newer open models.</w:t>
      </w:r>
      <w:r>
        <w:t xml:space="preserve"> </w:t>
      </w:r>
      <w:r>
        <w:rPr>
          <w:bCs/>
          <w:b/>
        </w:rPr>
        <w:t xml:space="preserve">Qwen2.5-7B-Instruct</w:t>
      </w:r>
      <w:r>
        <w:t xml:space="preserve"> </w:t>
      </w:r>
      <w:r>
        <w:t xml:space="preserve">is the recommended default: the widest-tested model in this size class as of mid-2026, with the broadest Ollama/GGUF tooling coverage, which matters more than marginal benchmark differences for a 25-day build where tooling maturity reduces integration risk.</w:t>
      </w:r>
      <w:r>
        <w:t xml:space="preserve"> </w:t>
      </w:r>
      <w:r>
        <w:rPr>
          <w:bCs/>
          <w:b/>
        </w:rPr>
        <w:t xml:space="preserve">Qwen3-8B</w:t>
      </w:r>
      <w:r>
        <w:t xml:space="preserve"> </w:t>
      </w:r>
      <w:r>
        <w:t xml:space="preserve">(Apache 2.0) is a documented drop-in upgrade if better reasoning quality is worth a same-day model swap — it supports both</w:t>
      </w:r>
      <w:r>
        <w:t xml:space="preserve"> </w:t>
      </w:r>
      <w:r>
        <w:t xml:space="preserve">“</w:t>
      </w:r>
      <w:r>
        <w:t xml:space="preserve">thinking</w:t>
      </w:r>
      <w:r>
        <w:t xml:space="preserve">”</w:t>
      </w:r>
      <w:r>
        <w:t xml:space="preserve"> </w:t>
      </w:r>
      <w:r>
        <w:t xml:space="preserve">and</w:t>
      </w:r>
      <w:r>
        <w:t xml:space="preserve"> </w:t>
      </w:r>
      <w:r>
        <w:t xml:space="preserve">“</w:t>
      </w:r>
      <w:r>
        <w:t xml:space="preserve">non-thinking</w:t>
      </w:r>
      <w:r>
        <w:t xml:space="preserve">”</w:t>
      </w:r>
      <w:r>
        <w:t xml:space="preserve"> </w:t>
      </w:r>
      <w:r>
        <w:t xml:space="preserve">modes and runs in a comparable VRAM footprint. Llama 3.3 (8B tier) is a reasonable alternative if the team has a strong existing preference for the Llama family. None of these choices are load-bearing for the demo — any current 7–8B instruct model at Q4 quantization is more than adequate for span-level logical-consistency checks and short summary generation; this is not a task that needs a frontier-scale reasoning model.</w:t>
      </w:r>
    </w:p>
    <w:p>
      <w:pPr>
        <w:pStyle w:val="BodyText"/>
      </w:pPr>
      <w:r>
        <w:rPr>
          <w:bCs/>
          <w:b/>
        </w:rPr>
        <w:t xml:space="preserve">Install and run:</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KeywordTok"/>
        </w:rPr>
        <w:t xml:space="preserve">|</w:t>
      </w:r>
      <w:r>
        <w:rPr>
          <w:rStyle w:val="NormalTok"/>
        </w:rPr>
        <w:t xml:space="preserve"> </w:t>
      </w:r>
      <w:r>
        <w:rPr>
          <w:rStyle w:val="FunctionTok"/>
        </w:rPr>
        <w:t xml:space="preserve">sh</w:t>
      </w:r>
      <w:r>
        <w:br/>
      </w:r>
      <w:r>
        <w:br/>
      </w:r>
      <w:r>
        <w:rPr>
          <w:rStyle w:val="CommentTok"/>
        </w:rPr>
        <w:t xml:space="preserve"># pin an explicit size + quantization tag — do not rely on the untagged default,</w:t>
      </w:r>
      <w:r>
        <w:br/>
      </w:r>
      <w:r>
        <w:rPr>
          <w:rStyle w:val="CommentTok"/>
        </w:rPr>
        <w:t xml:space="preserve"># which can change between Ollama releases</w:t>
      </w:r>
      <w:r>
        <w:br/>
      </w:r>
      <w:r>
        <w:rPr>
          <w:rStyle w:val="ExtensionTok"/>
        </w:rPr>
        <w:t xml:space="preserve">ollama</w:t>
      </w:r>
      <w:r>
        <w:rPr>
          <w:rStyle w:val="NormalTok"/>
        </w:rPr>
        <w:t xml:space="preserve"> pull qwen2.5:7b-instruct-q4_K_M</w:t>
      </w:r>
      <w:r>
        <w:br/>
      </w:r>
      <w:r>
        <w:br/>
      </w:r>
      <w:r>
        <w:rPr>
          <w:rStyle w:val="CommentTok"/>
        </w:rPr>
        <w:t xml:space="preserve"># quick interactive test</w:t>
      </w:r>
      <w:r>
        <w:br/>
      </w:r>
      <w:r>
        <w:rPr>
          <w:rStyle w:val="ExtensionTok"/>
        </w:rPr>
        <w:t xml:space="preserve">ollama</w:t>
      </w:r>
      <w:r>
        <w:rPr>
          <w:rStyle w:val="NormalTok"/>
        </w:rPr>
        <w:t xml:space="preserve"> run qwen2.5:7b-instruct-q4_K_M </w:t>
      </w:r>
      <w:r>
        <w:rPr>
          <w:rStyle w:val="StringTok"/>
        </w:rPr>
        <w:t xml:space="preserve">"Summarize in one sentence: FastAPI is a Python web framework."</w:t>
      </w:r>
    </w:p>
    <w:p>
      <w:pPr>
        <w:pStyle w:val="FirstParagraph"/>
      </w:pPr>
      <w:r>
        <w:t xml:space="preserve">This serves an OpenAI-compatible API at</w:t>
      </w:r>
      <w:r>
        <w:t xml:space="preserve"> </w:t>
      </w:r>
      <w:r>
        <w:rPr>
          <w:rStyle w:val="VerbatimChar"/>
        </w:rPr>
        <w:t xml:space="preserve">http://localhost:11434</w:t>
      </w:r>
      <w:r>
        <w:t xml:space="preserve"> </w:t>
      </w:r>
      <w:r>
        <w:t xml:space="preserve">by default — no separate server process to manage.</w:t>
      </w:r>
    </w:p>
    <w:p>
      <w:pPr>
        <w:pStyle w:val="BodyText"/>
      </w:pPr>
      <w:r>
        <w:rPr>
          <w:bCs/>
          <w:b/>
        </w:rPr>
        <w:t xml:space="preserve">Calling it from the backend:</w:t>
      </w:r>
    </w:p>
    <w:p>
      <w:pPr>
        <w:pStyle w:val="SourceCode"/>
      </w:pPr>
      <w:r>
        <w:rPr>
          <w:rStyle w:val="ImportTok"/>
        </w:rPr>
        <w:t xml:space="preserve">import</w:t>
      </w:r>
      <w:r>
        <w:rPr>
          <w:rStyle w:val="NormalTok"/>
        </w:rPr>
        <w:t xml:space="preserve"> httpx</w:t>
      </w:r>
      <w:r>
        <w:br/>
      </w:r>
      <w:r>
        <w:br/>
      </w:r>
      <w:r>
        <w:rPr>
          <w:rStyle w:val="ControlFlowTok"/>
        </w:rPr>
        <w:t xml:space="preserve">async</w:t>
      </w:r>
      <w:r>
        <w:rPr>
          <w:rStyle w:val="NormalTok"/>
        </w:rPr>
        <w:t xml:space="preserve"> </w:t>
      </w:r>
      <w:r>
        <w:rPr>
          <w:rStyle w:val="KeywordTok"/>
        </w:rPr>
        <w:t xml:space="preserve">def</w:t>
      </w:r>
      <w:r>
        <w:rPr>
          <w:rStyle w:val="NormalTok"/>
        </w:rPr>
        <w:t xml:space="preserve"> llm_check_consistency(abstract: </w:t>
      </w:r>
      <w:r>
        <w:rPr>
          <w:rStyle w:val="BuiltInTok"/>
        </w:rPr>
        <w:t xml:space="preserve">str</w:t>
      </w:r>
      <w:r>
        <w:rPr>
          <w:rStyle w:val="NormalTok"/>
        </w:rPr>
        <w:t xml:space="preserve">, conclusion: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"You are reviewing an academic paper for internal logical consistency only, "</w:t>
      </w:r>
      <w:r>
        <w:br/>
      </w:r>
      <w:r>
        <w:rPr>
          <w:rStyle w:val="NormalTok"/>
        </w:rPr>
        <w:t xml:space="preserve">        </w:t>
      </w:r>
      <w:r>
        <w:rPr>
          <w:rStyle w:val="StringTok"/>
        </w:rPr>
        <w:t xml:space="preserve">"not scientific merit. Compare the abstract and conclusion below. "</w:t>
      </w:r>
      <w:r>
        <w:br/>
      </w:r>
      <w:r>
        <w:rPr>
          <w:rStyle w:val="NormalTok"/>
        </w:rPr>
        <w:t xml:space="preserve">        </w:t>
      </w:r>
      <w:r>
        <w:rPr>
          <w:rStyle w:val="StringTok"/>
        </w:rPr>
        <w:t xml:space="preserve">"Respond with a short JSON object: "</w:t>
      </w:r>
      <w:r>
        <w:br/>
      </w:r>
      <w:r>
        <w:rPr>
          <w:rStyle w:val="NormalTok"/>
        </w:rPr>
        <w:t xml:space="preserve">        </w:t>
      </w:r>
      <w:r>
        <w:rPr>
          <w:rStyle w:val="StringTok"/>
        </w:rPr>
        <w:t xml:space="preserve">'{"consistent": true|false, "explanation": "one or two sentences"}.</w:t>
      </w:r>
      <w:r>
        <w:rPr>
          <w:rStyle w:val="CharTok"/>
        </w:rPr>
        <w:t xml:space="preserve">\n\n</w:t>
      </w:r>
      <w:r>
        <w:rPr>
          <w:rStyle w:val="StringTok"/>
        </w:rPr>
        <w:t xml:space="preserve">'</w:t>
      </w:r>
      <w:r>
        <w:br/>
      </w:r>
      <w:r>
        <w:rPr>
          <w:rStyle w:val="NormalTok"/>
        </w:rPr>
        <w:t xml:space="preserve">        </w:t>
      </w:r>
      <w:r>
        <w:rPr>
          <w:rStyle w:val="SpecialStringTok"/>
        </w:rPr>
        <w:t xml:space="preserve">f"ABSTRACT:</w:t>
      </w:r>
      <w:r>
        <w:rPr>
          <w:rStyle w:val="CharTok"/>
        </w:rPr>
        <w:t xml:space="preserve">\n</w:t>
      </w:r>
      <w:r>
        <w:rPr>
          <w:rStyle w:val="SpecialCharTok"/>
        </w:rPr>
        <w:t xml:space="preserve">{</w:t>
      </w:r>
      <w:r>
        <w:rPr>
          <w:rStyle w:val="NormalTok"/>
        </w:rPr>
        <w:t xml:space="preserve">abstract</w:t>
      </w:r>
      <w:r>
        <w:rPr>
          <w:rStyle w:val="SpecialCharTok"/>
        </w:rPr>
        <w:t xml:space="preserve">}</w:t>
      </w:r>
      <w:r>
        <w:rPr>
          <w:rStyle w:val="CharTok"/>
        </w:rPr>
        <w:t xml:space="preserve">\n\n</w:t>
      </w:r>
      <w:r>
        <w:rPr>
          <w:rStyle w:val="SpecialStringTok"/>
        </w:rPr>
        <w:t xml:space="preserve">CONCLUSION:</w:t>
      </w:r>
      <w:r>
        <w:rPr>
          <w:rStyle w:val="CharTok"/>
        </w:rPr>
        <w:t xml:space="preserve">\n</w:t>
      </w:r>
      <w:r>
        <w:rPr>
          <w:rStyle w:val="SpecialCharTok"/>
        </w:rPr>
        <w:t xml:space="preserve">{</w:t>
      </w:r>
      <w:r>
        <w:rPr>
          <w:rStyle w:val="NormalTok"/>
        </w:rPr>
        <w:t xml:space="preserve">conclusion</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FloatTok"/>
        </w:rPr>
        <w:t xml:space="preserve">90.0</w:t>
      </w:r>
      <w:r>
        <w:rPr>
          <w:rStyle w:val="NormalTok"/>
        </w:rPr>
        <w:t xml:space="preserve">) </w:t>
      </w:r>
      <w:r>
        <w:rPr>
          <w:rStyle w:val="ImportTok"/>
        </w:rPr>
        <w:t xml:space="preserve">as</w:t>
      </w:r>
      <w:r>
        <w:rPr>
          <w:rStyle w:val="NormalTok"/>
        </w:rPr>
        <w:t xml:space="preserve"> client:</w:t>
      </w:r>
      <w:r>
        <w:br/>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client.post(</w:t>
      </w:r>
      <w:r>
        <w:br/>
      </w:r>
      <w:r>
        <w:rPr>
          <w:rStyle w:val="NormalTok"/>
        </w:rPr>
        <w:t xml:space="preserve">            </w:t>
      </w:r>
      <w:r>
        <w:rPr>
          <w:rStyle w:val="StringTok"/>
        </w:rPr>
        <w:t xml:space="preserve">"http://ollama:11434/api/generate"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w:t>
      </w:r>
      <w:r>
        <w:rPr>
          <w:rStyle w:val="StringTok"/>
        </w:rPr>
        <w:t xml:space="preserve">"qwen2.5:7b-instruct-q4_K_M"</w:t>
      </w:r>
      <w:r>
        <w:rPr>
          <w:rStyle w:val="NormalTok"/>
        </w:rPr>
        <w:t xml:space="preserve">, </w:t>
      </w:r>
      <w:r>
        <w:rPr>
          <w:rStyle w:val="StringTok"/>
        </w:rPr>
        <w:t xml:space="preserve">"prompt"</w:t>
      </w:r>
      <w:r>
        <w:rPr>
          <w:rStyle w:val="NormalTok"/>
        </w:rPr>
        <w:t xml:space="preserve">: prompt, </w:t>
      </w:r>
      <w:r>
        <w:rPr>
          <w:rStyle w:val="StringTok"/>
        </w:rPr>
        <w:t xml:space="preserve">"stream"</w:t>
      </w:r>
      <w:r>
        <w:rPr>
          <w:rStyle w:val="NormalTok"/>
        </w:rPr>
        <w:t xml:space="preserve">: </w:t>
      </w:r>
      <w:r>
        <w:rPr>
          <w:rStyle w:val="VariableTok"/>
        </w:rPr>
        <w:t xml:space="preserve">False</w:t>
      </w:r>
      <w:r>
        <w:rPr>
          <w:rStyle w:val="NormalTok"/>
        </w:rPr>
        <w:t xml:space="preserve">, </w:t>
      </w:r>
      <w:r>
        <w:rPr>
          <w:rStyle w:val="StringTok"/>
        </w:rPr>
        <w:t xml:space="preserve">"format"</w:t>
      </w:r>
      <w:r>
        <w:rPr>
          <w:rStyle w:val="NormalTok"/>
        </w:rPr>
        <w:t xml:space="preserve">: </w:t>
      </w:r>
      <w:r>
        <w:rPr>
          <w:rStyle w:val="StringTok"/>
        </w:rPr>
        <w:t xml:space="preserve">"json"</w:t>
      </w:r>
      <w:r>
        <w:rPr>
          <w:rStyle w:val="NormalTok"/>
        </w:rPr>
        <w:t xml:space="preserve">},</w:t>
      </w:r>
      <w:r>
        <w:br/>
      </w:r>
      <w:r>
        <w:rPr>
          <w:rStyle w:val="NormalTok"/>
        </w:rPr>
        <w:t xml:space="preserve">        )</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resp.json()</w:t>
      </w:r>
    </w:p>
    <w:p>
      <w:pPr>
        <w:pStyle w:val="FirstParagraph"/>
      </w:pPr>
      <w:r>
        <w:rPr>
          <w:bCs/>
          <w:b/>
        </w:rPr>
        <w:t xml:space="preserve">Config notes and pitfalls:</w:t>
      </w:r>
    </w:p>
    <w:p>
      <w:pPr>
        <w:numPr>
          <w:ilvl w:val="0"/>
          <w:numId w:val="1017"/>
        </w:numPr>
        <w:pStyle w:val="Compact"/>
      </w:pPr>
      <w:r>
        <w:t xml:space="preserve">VRAM rule of thumb: a 7–8B model at Q4_K_M quantization uses roughly 6–7GB VRAM (4.5–5GB of weights plus 1–2GB of KV cache at a 4k context window). Q4_K_M is the standard sweet spot for quality vs. size; move to Q5/Q6 only if VRAM headroom allows and quality is visibly lacking — unlikely for this task.</w:t>
      </w:r>
    </w:p>
    <w:p>
      <w:pPr>
        <w:numPr>
          <w:ilvl w:val="0"/>
          <w:numId w:val="1017"/>
        </w:numPr>
        <w:pStyle w:val="Compact"/>
      </w:pPr>
      <w:r>
        <w:t xml:space="preserve">Ollama auto-detects CUDA/ROCm/Metal and generally requires no manual driver configuration beyond the host-level CUDA setup described at the top of this section.</w:t>
      </w:r>
    </w:p>
    <w:p>
      <w:pPr>
        <w:numPr>
          <w:ilvl w:val="0"/>
          <w:numId w:val="1017"/>
        </w:numPr>
        <w:pStyle w:val="Compact"/>
      </w:pPr>
      <w:r>
        <w:rPr>
          <w:bCs/>
          <w:b/>
        </w:rPr>
        <w:t xml:space="preserve">If VRAM is insufficient, Ollama silently offloads layers to CPU RAM rather than failing loudly</w:t>
      </w:r>
      <w:r>
        <w:t xml:space="preserve"> </w:t>
      </w:r>
      <w:r>
        <w:t xml:space="preserve">— this shows up as unexpectedly slow inference with no obvious error, not a crash. If a demo request suddenly takes 30+ seconds instead of a few seconds, check</w:t>
      </w:r>
      <w:r>
        <w:t xml:space="preserve"> </w:t>
      </w:r>
      <w:r>
        <w:rPr>
          <w:rStyle w:val="VerbatimChar"/>
        </w:rPr>
        <w:t xml:space="preserve">nvidia-smi</w:t>
      </w:r>
      <w:r>
        <w:t xml:space="preserve"> </w:t>
      </w:r>
      <w:r>
        <w:t xml:space="preserve">for VRAM pressure (likely co-residency with Binoculars, see §3.6) before assuming a code bug.</w:t>
      </w:r>
    </w:p>
    <w:p>
      <w:pPr>
        <w:numPr>
          <w:ilvl w:val="0"/>
          <w:numId w:val="1017"/>
        </w:numPr>
        <w:pStyle w:val="Compact"/>
      </w:pPr>
      <w:r>
        <w:t xml:space="preserve">Always pin the explicit quantization tag (</w:t>
      </w:r>
      <w:r>
        <w:rPr>
          <w:rStyle w:val="VerbatimChar"/>
        </w:rPr>
        <w:t xml:space="preserve">qwen2.5:7b-instruct-q4_K_M</w:t>
      </w:r>
      <w:r>
        <w:t xml:space="preserve">), not the bare</w:t>
      </w:r>
      <w:r>
        <w:t xml:space="preserve"> </w:t>
      </w:r>
      <w:r>
        <w:rPr>
          <w:rStyle w:val="VerbatimChar"/>
        </w:rPr>
        <w:t xml:space="preserve">qwen2.5:7b</w:t>
      </w:r>
      <w:r>
        <w:t xml:space="preserve"> </w:t>
      </w:r>
      <w:r>
        <w:t xml:space="preserve">alias, so a background Ollama update doesn’t silently change which weights you’re running mid-build.</w:t>
      </w:r>
    </w:p>
    <w:p>
      <w:pPr>
        <w:pStyle w:val="FirstParagraph"/>
      </w:pPr>
      <w:r>
        <w:rPr>
          <w:bCs/>
          <w:b/>
        </w:rPr>
        <w:t xml:space="preserve">Setup time budget:</w:t>
      </w:r>
      <w:r>
        <w:t xml:space="preserve"> </w:t>
      </w:r>
      <w:r>
        <w:t xml:space="preserve">15–30 minutes for install + first successful generation call; add time for prompt-tuning the JSON-formatted output to be reliably parseable (budget half a day of iteration here — LLM output-format reliability is usually the actual time sink, not the install).</w:t>
      </w:r>
    </w:p>
    <w:bookmarkEnd w:id="67"/>
    <w:bookmarkStart w:id="68" w:name="Xe1c185678d3c32753a64d8c6c28da82183dbd72"/>
    <w:p>
      <w:pPr>
        <w:pStyle w:val="Heading2"/>
      </w:pPr>
      <w:r>
        <w:t xml:space="preserve">3.6 Binoculars + Fast-DetectGPT (AI-generated text detection)</w:t>
      </w:r>
    </w:p>
    <w:p>
      <w:pPr>
        <w:pStyle w:val="FirstParagraph"/>
      </w:pPr>
      <w:r>
        <w:rPr>
          <w:bCs/>
          <w:b/>
        </w:rPr>
        <w:t xml:space="preserve">What it does:</w:t>
      </w:r>
      <w:r>
        <w:t xml:space="preserve"> </w:t>
      </w:r>
      <w:r>
        <w:t xml:space="preserve">flags passages that are statistically likely to be AI-generated. This check is a</w:t>
      </w:r>
      <w:r>
        <w:t xml:space="preserve"> </w:t>
      </w:r>
      <w:r>
        <w:rPr>
          <w:bCs/>
          <w:b/>
        </w:rPr>
        <w:t xml:space="preserve">soft gate only, by product-level constraint</w:t>
      </w:r>
      <w:r>
        <w:t xml:space="preserve"> </w:t>
      </w:r>
      <w:r>
        <w:t xml:space="preserve">(§1.1) — it must never auto-reject a submission.</w:t>
      </w:r>
    </w:p>
    <w:p>
      <w:pPr>
        <w:pStyle w:val="BodyText"/>
      </w:pPr>
      <w:r>
        <w:rPr>
          <w:bCs/>
          <w:b/>
        </w:rPr>
        <w:t xml:space="preserve">Why a second detector was added:</w:t>
      </w:r>
      <w:r>
        <w:t xml:space="preserve"> </w:t>
      </w:r>
      <w:r>
        <w:t xml:space="preserve">research confirms Binoculars (Cornell, ICML 2024) remains a strong choice — it is notably better than most published alternatives at maintaining a</w:t>
      </w:r>
      <w:r>
        <w:t xml:space="preserve"> </w:t>
      </w:r>
      <w:r>
        <w:rPr>
          <w:iCs/>
          <w:i/>
        </w:rPr>
        <w:t xml:space="preserve">low false-positive rate</w:t>
      </w:r>
      <w:r>
        <w:t xml:space="preserve">, which is exactly the property that matters most given the non-native-English bias risk (§1.7). But it is not infallible: on the RAID adversarial benchmark, Binoculars scores roughly 79.6% accuracy with no attack, dropping to about 43.5% under paraphrase attack and 37.7% under homoglyph attack, and separate research on actively</w:t>
      </w:r>
      <w:r>
        <w:t xml:space="preserve"> </w:t>
      </w:r>
      <w:r>
        <w:t xml:space="preserve">“</w:t>
      </w:r>
      <w:r>
        <w:t xml:space="preserve">humanized</w:t>
      </w:r>
      <w:r>
        <w:t xml:space="preserve">”</w:t>
      </w:r>
      <w:r>
        <w:t xml:space="preserve"> </w:t>
      </w:r>
      <w:r>
        <w:t xml:space="preserve">(evasion-rewritten) text found open-source detectors including Binoculars struggling badly (single-digit-to-low-double-digit accuracy in some conditions) against text specifically rewritten to evade detection. Running</w:t>
      </w:r>
      <w:r>
        <w:t xml:space="preserve"> </w:t>
      </w:r>
      <w:r>
        <w:rPr>
          <w:bCs/>
          <w:b/>
        </w:rPr>
        <w:t xml:space="preserve">Fast-DetectGPT</w:t>
      </w:r>
      <w:r>
        <w:t xml:space="preserve"> </w:t>
      </w:r>
      <w:r>
        <w:t xml:space="preserve">as a second, independent detector and only surfacing a flag to reviewers when both agree substantially reduces false-positive exposure — a paper that trips one detector but not the other is exactly the ambiguous case that should not reach a reviewer as a confident-looking flag.</w:t>
      </w:r>
    </w:p>
    <w:p>
      <w:pPr>
        <w:pStyle w:val="BodyText"/>
      </w:pPr>
      <w:r>
        <w:rPr>
          <w:bCs/>
          <w:b/>
        </w:rPr>
        <w:t xml:space="preserve">Install Binoculars:</w:t>
      </w:r>
    </w:p>
    <w:p>
      <w:pPr>
        <w:pStyle w:val="SourceCode"/>
      </w:pPr>
      <w:r>
        <w:rPr>
          <w:rStyle w:val="FunctionTok"/>
        </w:rPr>
        <w:t xml:space="preserve">git</w:t>
      </w:r>
      <w:r>
        <w:rPr>
          <w:rStyle w:val="NormalTok"/>
        </w:rPr>
        <w:t xml:space="preserve"> clone https://github.com/ahans30/Binoculars</w:t>
      </w:r>
      <w:r>
        <w:br/>
      </w:r>
      <w:r>
        <w:rPr>
          <w:rStyle w:val="BuiltInTok"/>
        </w:rPr>
        <w:t xml:space="preserve">cd</w:t>
      </w:r>
      <w:r>
        <w:rPr>
          <w:rStyle w:val="NormalTok"/>
        </w:rPr>
        <w:t xml:space="preserve"> Binoculars</w:t>
      </w:r>
      <w:r>
        <w:br/>
      </w:r>
      <w:r>
        <w:rPr>
          <w:rStyle w:val="ExtensionTok"/>
        </w:rPr>
        <w:t xml:space="preserve">pip</w:t>
      </w:r>
      <w:r>
        <w:rPr>
          <w:rStyle w:val="NormalTok"/>
        </w:rPr>
        <w:t xml:space="preserve"> install </w:t>
      </w:r>
      <w:r>
        <w:rPr>
          <w:rStyle w:val="AttributeTok"/>
        </w:rPr>
        <w:t xml:space="preserve">-e</w:t>
      </w:r>
      <w:r>
        <w:rPr>
          <w:rStyle w:val="NormalTok"/>
        </w:rPr>
        <w:t xml:space="preserve"> . </w:t>
      </w:r>
      <w:r>
        <w:rPr>
          <w:rStyle w:val="AttributeTok"/>
        </w:rPr>
        <w:t xml:space="preserve">--break-system-packages</w:t>
      </w:r>
    </w:p>
    <w:p>
      <w:pPr>
        <w:pStyle w:val="SourceCode"/>
      </w:pPr>
      <w:r>
        <w:rPr>
          <w:rStyle w:val="ImportTok"/>
        </w:rPr>
        <w:t xml:space="preserve">from</w:t>
      </w:r>
      <w:r>
        <w:rPr>
          <w:rStyle w:val="NormalTok"/>
        </w:rPr>
        <w:t xml:space="preserve"> binoculars </w:t>
      </w:r>
      <w:r>
        <w:rPr>
          <w:rStyle w:val="ImportTok"/>
        </w:rPr>
        <w:t xml:space="preserve">import</w:t>
      </w:r>
      <w:r>
        <w:rPr>
          <w:rStyle w:val="NormalTok"/>
        </w:rPr>
        <w:t xml:space="preserve"> Binoculars</w:t>
      </w:r>
      <w:r>
        <w:br/>
      </w:r>
      <w:r>
        <w:br/>
      </w:r>
      <w:r>
        <w:rPr>
          <w:rStyle w:val="NormalTok"/>
        </w:rPr>
        <w:t xml:space="preserve">bino </w:t>
      </w:r>
      <w:r>
        <w:rPr>
          <w:rStyle w:val="OperatorTok"/>
        </w:rPr>
        <w:t xml:space="preserve">=</w:t>
      </w:r>
      <w:r>
        <w:rPr>
          <w:rStyle w:val="NormalTok"/>
        </w:rPr>
        <w:t xml:space="preserve"> Binoculars()   </w:t>
      </w:r>
      <w:r>
        <w:rPr>
          <w:rStyle w:val="CommentTok"/>
        </w:rPr>
        <w:t xml:space="preserve"># loads the default falcon-7b / falcon-7b-instruct pair</w:t>
      </w:r>
      <w:r>
        <w:br/>
      </w:r>
      <w:r>
        <w:rPr>
          <w:rStyle w:val="NormalTok"/>
        </w:rPr>
        <w:t xml:space="preserve">score </w:t>
      </w:r>
      <w:r>
        <w:rPr>
          <w:rStyle w:val="OperatorTok"/>
        </w:rPr>
        <w:t xml:space="preserve">=</w:t>
      </w:r>
      <w:r>
        <w:rPr>
          <w:rStyle w:val="NormalTok"/>
        </w:rPr>
        <w:t xml:space="preserve"> bino.predict(submitted_text)</w:t>
      </w:r>
    </w:p>
    <w:p>
      <w:pPr>
        <w:pStyle w:val="FirstParagraph"/>
      </w:pPr>
      <w:r>
        <w:rPr>
          <w:bCs/>
          <w:b/>
        </w:rPr>
        <w:t xml:space="preserve">VRAM footprint — the key constraint for this section:</w:t>
      </w:r>
      <w:r>
        <w:t xml:space="preserve"> </w:t>
      </w:r>
      <w:r>
        <w:t xml:space="preserve">Binoculars’ default configuration loads</w:t>
      </w:r>
      <w:r>
        <w:t xml:space="preserve"> </w:t>
      </w:r>
      <w:r>
        <w:rPr>
          <w:bCs/>
          <w:b/>
        </w:rPr>
        <w:t xml:space="preserve">two ~7B parameter models simultaneously</w:t>
      </w:r>
      <w:r>
        <w:t xml:space="preserve"> </w:t>
      </w:r>
      <w:r>
        <w:t xml:space="preserve">(a base model and an instruction-tuned variant of the same family). In FP16 this is roughly 15–16GB of VRAM combined — it fits a 24GB L4 comfortably on its own, but</w:t>
      </w:r>
      <w:r>
        <w:t xml:space="preserve"> </w:t>
      </w:r>
      <w:r>
        <w:rPr>
          <w:bCs/>
          <w:b/>
        </w:rPr>
        <w:t xml:space="preserve">fits a 16GB T4 only with little to no headroom</w:t>
      </w:r>
      <w:r>
        <w:t xml:space="preserve">, and does not comfortably co-reside on a 24GB L4 alongside a second resident 7B LLM (the Ollama service from §3.5) without careful memory management.</w:t>
      </w:r>
      <w:r>
        <w:t xml:space="preserve"> </w:t>
      </w:r>
      <w:r>
        <w:rPr>
          <w:bCs/>
          <w:b/>
        </w:rPr>
        <w:t xml:space="preserve">This is the concrete reason the roadmap in §7 specifies running Binoculars and the Ollama LLM sequentially rather than co-resident</w:t>
      </w:r>
      <w:r>
        <w:t xml:space="preserve"> </w:t>
      </w:r>
      <w:r>
        <w:t xml:space="preserve">— load Binoculars, run the AI-text-detection pass for a batch of pending submissions, unload it (or let the process exit), then load Ollama for the logical-consistency pass, rather than keeping both models resident in the same GPU memory at once. In a request-driven (rather than batch) architecture, this means the AI-text-detection service and the LLM service should not be kept warm simultaneously on a single L4 — either time-slice them, or accept the (small, ~$0.40/hr) cost of a second GPU instance during the demo if simultaneous availability turns out to matter for the live demo flow.</w:t>
      </w:r>
    </w:p>
    <w:p>
      <w:pPr>
        <w:pStyle w:val="BodyText"/>
      </w:pPr>
      <w:r>
        <w:rPr>
          <w:bCs/>
          <w:b/>
        </w:rPr>
        <w:t xml:space="preserve">Fast-DetectGPT as the second signal:</w:t>
      </w:r>
      <w:r>
        <w:t xml:space="preserve"> </w:t>
      </w:r>
      <w:r>
        <w:t xml:space="preserve">integrate as a second scoring function called in the same background task, using a small open-weight scoring model pair (Fast-DetectGPT’s efficiency advantage over the original DetectGPT comes from using a single model’s own conditional probabilities rather than requiring many perturbation samples, making it materially cheaper to run as a routine second check). Combine the two signals conservatively:</w:t>
      </w:r>
    </w:p>
    <w:p>
      <w:pPr>
        <w:pStyle w:val="SourceCode"/>
      </w:pPr>
      <w:r>
        <w:rPr>
          <w:rStyle w:val="KeywordTok"/>
        </w:rPr>
        <w:t xml:space="preserve">def</w:t>
      </w:r>
      <w:r>
        <w:rPr>
          <w:rStyle w:val="NormalTok"/>
        </w:rPr>
        <w:t xml:space="preserve"> combine_ai_text_signals(binoculars_score: </w:t>
      </w:r>
      <w:r>
        <w:rPr>
          <w:rStyle w:val="BuiltInTok"/>
        </w:rPr>
        <w:t xml:space="preserve">float</w:t>
      </w:r>
      <w:r>
        <w:rPr>
          <w:rStyle w:val="NormalTok"/>
        </w:rPr>
        <w:t xml:space="preserve">, binoculars_threshold: </w:t>
      </w:r>
      <w:r>
        <w:rPr>
          <w:rStyle w:val="BuiltInTok"/>
        </w:rPr>
        <w:t xml:space="preserve">float</w:t>
      </w:r>
      <w:r>
        <w:rPr>
          <w:rStyle w:val="NormalTok"/>
        </w:rPr>
        <w:t xml:space="preserve">,</w:t>
      </w:r>
      <w:r>
        <w:br/>
      </w:r>
      <w:r>
        <w:rPr>
          <w:rStyle w:val="NormalTok"/>
        </w:rPr>
        <w:t xml:space="preserve">                              fastdetect_score: </w:t>
      </w:r>
      <w:r>
        <w:rPr>
          <w:rStyle w:val="BuiltInTok"/>
        </w:rPr>
        <w:t xml:space="preserve">float</w:t>
      </w:r>
      <w:r>
        <w:rPr>
          <w:rStyle w:val="NormalTok"/>
        </w:rPr>
        <w:t xml:space="preserve">, fastdetect_threshold: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bino_flag </w:t>
      </w:r>
      <w:r>
        <w:rPr>
          <w:rStyle w:val="OperatorTok"/>
        </w:rPr>
        <w:t xml:space="preserve">=</w:t>
      </w:r>
      <w:r>
        <w:rPr>
          <w:rStyle w:val="NormalTok"/>
        </w:rPr>
        <w:t xml:space="preserve"> binoculars_score </w:t>
      </w:r>
      <w:r>
        <w:rPr>
          <w:rStyle w:val="OperatorTok"/>
        </w:rPr>
        <w:t xml:space="preserve">&lt;</w:t>
      </w:r>
      <w:r>
        <w:rPr>
          <w:rStyle w:val="NormalTok"/>
        </w:rPr>
        <w:t xml:space="preserve"> binoculars_threshold      </w:t>
      </w:r>
      <w:r>
        <w:rPr>
          <w:rStyle w:val="CommentTok"/>
        </w:rPr>
        <w:t xml:space="preserve"># Binoculars: lower score = more likely AI</w:t>
      </w:r>
      <w:r>
        <w:br/>
      </w:r>
      <w:r>
        <w:rPr>
          <w:rStyle w:val="NormalTok"/>
        </w:rPr>
        <w:t xml:space="preserve">    fast_flag </w:t>
      </w:r>
      <w:r>
        <w:rPr>
          <w:rStyle w:val="OperatorTok"/>
        </w:rPr>
        <w:t xml:space="preserve">=</w:t>
      </w:r>
      <w:r>
        <w:rPr>
          <w:rStyle w:val="NormalTok"/>
        </w:rPr>
        <w:t xml:space="preserve"> fastdetect_score </w:t>
      </w:r>
      <w:r>
        <w:rPr>
          <w:rStyle w:val="OperatorTok"/>
        </w:rPr>
        <w:t xml:space="preserve">&gt;</w:t>
      </w:r>
      <w:r>
        <w:rPr>
          <w:rStyle w:val="NormalTok"/>
        </w:rPr>
        <w:t xml:space="preserve"> fastdetect_threshold      </w:t>
      </w:r>
      <w:r>
        <w:rPr>
          <w:rStyle w:val="CommentTok"/>
        </w:rPr>
        <w:t xml:space="preserve"># Fast-DetectGPT: higher score = more likely AI</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"binoculars_flag"</w:t>
      </w:r>
      <w:r>
        <w:rPr>
          <w:rStyle w:val="NormalTok"/>
        </w:rPr>
        <w:t xml:space="preserve">: bino_flag,</w:t>
      </w:r>
      <w:r>
        <w:br/>
      </w:r>
      <w:r>
        <w:rPr>
          <w:rStyle w:val="NormalTok"/>
        </w:rPr>
        <w:t xml:space="preserve">        </w:t>
      </w:r>
      <w:r>
        <w:rPr>
          <w:rStyle w:val="StringTok"/>
        </w:rPr>
        <w:t xml:space="preserve">"fastdetect_flag"</w:t>
      </w:r>
      <w:r>
        <w:rPr>
          <w:rStyle w:val="NormalTok"/>
        </w:rPr>
        <w:t xml:space="preserve">: fast_flag,</w:t>
      </w:r>
      <w:r>
        <w:br/>
      </w:r>
      <w:r>
        <w:rPr>
          <w:rStyle w:val="NormalTok"/>
        </w:rPr>
        <w:t xml:space="preserve">        </w:t>
      </w:r>
      <w:r>
        <w:rPr>
          <w:rStyle w:val="StringTok"/>
        </w:rPr>
        <w:t xml:space="preserve">"combined_flag"</w:t>
      </w:r>
      <w:r>
        <w:rPr>
          <w:rStyle w:val="NormalTok"/>
        </w:rPr>
        <w:t xml:space="preserve">: bino_flag </w:t>
      </w:r>
      <w:r>
        <w:rPr>
          <w:rStyle w:val="KeywordTok"/>
        </w:rPr>
        <w:t xml:space="preserve">and</w:t>
      </w:r>
      <w:r>
        <w:rPr>
          <w:rStyle w:val="NormalTok"/>
        </w:rPr>
        <w:t xml:space="preserve"> fast_flag,   </w:t>
      </w:r>
      <w:r>
        <w:rPr>
          <w:rStyle w:val="CommentTok"/>
        </w:rPr>
        <w:t xml:space="preserve"># only surface as a flag when BOTH agree</w:t>
      </w:r>
      <w:r>
        <w:br/>
      </w:r>
      <w:r>
        <w:rPr>
          <w:rStyle w:val="NormalTok"/>
        </w:rPr>
        <w:t xml:space="preserve">        </w:t>
      </w:r>
      <w:r>
        <w:rPr>
          <w:rStyle w:val="StringTok"/>
        </w:rPr>
        <w:t xml:space="preserve">"confidence"</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(bino_flag </w:t>
      </w:r>
      <w:r>
        <w:rPr>
          <w:rStyle w:val="KeywordTok"/>
        </w:rPr>
        <w:t xml:space="preserve">and</w:t>
      </w:r>
      <w:r>
        <w:rPr>
          <w:rStyle w:val="NormalTok"/>
        </w:rPr>
        <w:t xml:space="preserve"> fast_flag) </w:t>
      </w:r>
      <w:r>
        <w:rPr>
          <w:rStyle w:val="ControlFlowTok"/>
        </w:rPr>
        <w:t xml:space="preserve">else</w:t>
      </w:r>
      <w:r>
        <w:rPr>
          <w:rStyle w:val="NormalTok"/>
        </w:rPr>
        <w:t xml:space="preserve"> </w:t>
      </w:r>
      <w:r>
        <w:rPr>
          <w:rStyle w:val="StringTok"/>
        </w:rPr>
        <w:t xml:space="preserve">"low"</w:t>
      </w:r>
      <w:r>
        <w:rPr>
          <w:rStyle w:val="NormalTok"/>
        </w:rPr>
        <w:t xml:space="preserve">,</w:t>
      </w:r>
      <w:r>
        <w:br/>
      </w:r>
      <w:r>
        <w:rPr>
          <w:rStyle w:val="NormalTok"/>
        </w:rPr>
        <w:t xml:space="preserve">    }</w:t>
      </w:r>
    </w:p>
    <w:p>
      <w:pPr>
        <w:pStyle w:val="FirstParagraph"/>
      </w:pPr>
      <w:r>
        <w:t xml:space="preserve">Exact threshold values require calibration against sample text (both known-human academic writing and known-AI-generated text) before locking them in — do not ship the library’s example thresholds unmodified without at least a sanity check against a handful of real academic abstracts, since detector calibration is known to be domain-sensitive (general web text vs. academic writing).</w:t>
      </w:r>
    </w:p>
    <w:p>
      <w:pPr>
        <w:pStyle w:val="BodyText"/>
      </w:pPr>
      <w:r>
        <w:rPr>
          <w:bCs/>
          <w:b/>
        </w:rPr>
        <w:t xml:space="preserve">Setup time budget:</w:t>
      </w:r>
      <w:r>
        <w:t xml:space="preserve"> </w:t>
      </w:r>
      <w:r>
        <w:t xml:space="preserve">0.5–1 day for Binoculars (large model downloads dominate this — budget real wall-clock time for a ~15GB combined model download on a typical connection, plus first-run debugging of CUDA/driver issues if any). Add another half-day for Fast-DetectGPT integration and threshold calibration. This is the single highest-risk setup item in the entire stack — see §7 for how the roadmap accounts for that.</w:t>
      </w:r>
    </w:p>
    <w:bookmarkEnd w:id="68"/>
    <w:bookmarkStart w:id="69" w:name="X02658064df7b80f100bc57c8757daaeaf0330e4"/>
    <w:p>
      <w:pPr>
        <w:pStyle w:val="Heading2"/>
      </w:pPr>
      <w:r>
        <w:t xml:space="preserve">3.7 IEEE format-compliance rules (first supported publisher format)</w:t>
      </w:r>
    </w:p>
    <w:p>
      <w:pPr>
        <w:pStyle w:val="FirstParagraph"/>
      </w:pPr>
      <w:r>
        <w:t xml:space="preserve">Encode the following as the</w:t>
      </w:r>
      <w:r>
        <w:t xml:space="preserve"> </w:t>
      </w:r>
      <w:r>
        <w:rPr>
          <w:rStyle w:val="VerbatimChar"/>
        </w:rPr>
        <w:t xml:space="preserve">publisher_format_rules</w:t>
      </w:r>
      <w:r>
        <w:t xml:space="preserve"> </w:t>
      </w:r>
      <w:r>
        <w:t xml:space="preserve">entry for</w:t>
      </w:r>
      <w:r>
        <w:t xml:space="preserve"> </w:t>
      </w:r>
      <w:r>
        <w:rPr>
          <w:rStyle w:val="VerbatimChar"/>
        </w:rPr>
        <w:t xml:space="preserve">format_name = "IEEE"</w:t>
      </w:r>
      <w:r>
        <w:t xml:space="preserve"> </w:t>
      </w:r>
      <w:r>
        <w:t xml:space="preserve">(§4). These rules are sourced from IEEE’s official conference author templates and guidance; a specific conference’s CFP can and does override these defaults (page limit and abstract length in particular), so the validator should treat this as a default rule set, not an immutable one.</w:t>
      </w:r>
    </w:p>
    <w:p>
      <w:pPr>
        <w:pStyle w:val="BodyText"/>
      </w:pPr>
      <w:r>
        <w:rPr>
          <w:bCs/>
          <w:b/>
        </w:rPr>
        <w:t xml:space="preserve">Page &amp; layout:</w:t>
      </w:r>
    </w:p>
    <w:p>
      <w:pPr>
        <w:numPr>
          <w:ilvl w:val="0"/>
          <w:numId w:val="1018"/>
        </w:numPr>
        <w:pStyle w:val="Compact"/>
      </w:pPr>
      <w:r>
        <w:t xml:space="preserve">Page size: US Letter (8.5×11 in)</w:t>
      </w:r>
      <w:r>
        <w:t xml:space="preserve"> </w:t>
      </w:r>
      <w:r>
        <w:rPr>
          <w:bCs/>
          <w:b/>
        </w:rPr>
        <w:t xml:space="preserve">or</w:t>
      </w:r>
      <w:r>
        <w:t xml:space="preserve"> </w:t>
      </w:r>
      <w:r>
        <w:t xml:space="preserve">A4 (210×297 mm) depending on the conference —</w:t>
      </w:r>
      <w:r>
        <w:t xml:space="preserve"> </w:t>
      </w:r>
      <w:r>
        <w:rPr>
          <w:bCs/>
          <w:b/>
        </w:rPr>
        <w:t xml:space="preserve">the validator must detect page size from the PDF and apply the matching margin spec rather than assuming Letter</w:t>
      </w:r>
      <w:r>
        <w:t xml:space="preserve"> </w:t>
      </w:r>
      <w:r>
        <w:t xml:space="preserve">(flagged in §1.8 as an easy-to-miss requirement).</w:t>
      </w:r>
    </w:p>
    <w:p>
      <w:pPr>
        <w:numPr>
          <w:ilvl w:val="0"/>
          <w:numId w:val="1018"/>
        </w:numPr>
        <w:pStyle w:val="Compact"/>
      </w:pPr>
      <w:r>
        <w:t xml:space="preserve">Two-column format. Column width 3.5 in (≈88.9mm); gutter between columns 0.25 in (≈6.35mm). Total print area width ≈6.875 in (17.5cm).</w:t>
      </w:r>
    </w:p>
    <w:p>
      <w:pPr>
        <w:numPr>
          <w:ilvl w:val="0"/>
          <w:numId w:val="1018"/>
        </w:numPr>
        <w:pStyle w:val="Compact"/>
      </w:pPr>
      <w:r>
        <w:t xml:space="preserve">Margins (US Letter): top 0.75 in (19mm), bottom 1 in, left/right 0.625 in. No text or graphics permitted in the margin area.</w:t>
      </w:r>
    </w:p>
    <w:p>
      <w:pPr>
        <w:numPr>
          <w:ilvl w:val="0"/>
          <w:numId w:val="1018"/>
        </w:numPr>
        <w:pStyle w:val="Compact"/>
      </w:pPr>
      <w:r>
        <w:t xml:space="preserve">No page numbers, headers, or footers on the manuscript itself — these are added by the proceedings compiler after acceptance; their presence in a submitted manuscript is not itself an error, but the validator should not expect to find IEEE-style running headers.</w:t>
      </w:r>
    </w:p>
    <w:p>
      <w:pPr>
        <w:pStyle w:val="FirstParagraph"/>
      </w:pPr>
      <w:r>
        <w:rPr>
          <w:bCs/>
          <w:b/>
        </w:rPr>
        <w:t xml:space="preserve">Fonts (Times New Roman / Times family throughout):</w:t>
      </w:r>
    </w:p>
    <w:p>
      <w:pPr>
        <w:numPr>
          <w:ilvl w:val="0"/>
          <w:numId w:val="1019"/>
        </w:numPr>
        <w:pStyle w:val="Compact"/>
      </w:pPr>
      <w:r>
        <w:t xml:space="preserve">Title: 24pt, bold, centered.</w:t>
      </w:r>
    </w:p>
    <w:p>
      <w:pPr>
        <w:numPr>
          <w:ilvl w:val="0"/>
          <w:numId w:val="1019"/>
        </w:numPr>
        <w:pStyle w:val="Compact"/>
      </w:pPr>
      <w:r>
        <w:t xml:space="preserve">Author names: 10pt; affiliations below the title.</w:t>
      </w:r>
    </w:p>
    <w:p>
      <w:pPr>
        <w:numPr>
          <w:ilvl w:val="0"/>
          <w:numId w:val="1019"/>
        </w:numPr>
        <w:pStyle w:val="Compact"/>
      </w:pPr>
      <w:r>
        <w:t xml:space="preserve">Abstract and index terms lead-ins: 9pt.</w:t>
      </w:r>
    </w:p>
    <w:p>
      <w:pPr>
        <w:numPr>
          <w:ilvl w:val="0"/>
          <w:numId w:val="1019"/>
        </w:numPr>
        <w:pStyle w:val="Compact"/>
      </w:pPr>
      <w:r>
        <w:t xml:space="preserve">Body text: 10pt, single-spaced, ~12pt interline spacing, first line of each paragraph indented ~0.25 in.</w:t>
      </w:r>
    </w:p>
    <w:p>
      <w:pPr>
        <w:numPr>
          <w:ilvl w:val="0"/>
          <w:numId w:val="1019"/>
        </w:numPr>
        <w:pStyle w:val="Compact"/>
      </w:pPr>
      <w:r>
        <w:t xml:space="preserve">Section headings: numbered with Roman numerals (I, II, III, …); subsections lettered (A, B, C, …).</w:t>
      </w:r>
    </w:p>
    <w:p>
      <w:pPr>
        <w:numPr>
          <w:ilvl w:val="0"/>
          <w:numId w:val="1019"/>
        </w:numPr>
        <w:pStyle w:val="Compact"/>
      </w:pPr>
      <w:r>
        <w:t xml:space="preserve">References: 8pt.</w:t>
      </w:r>
    </w:p>
    <w:p>
      <w:pPr>
        <w:pStyle w:val="FirstParagraph"/>
      </w:pPr>
      <w:r>
        <w:rPr>
          <w:bCs/>
          <w:b/>
        </w:rPr>
        <w:t xml:space="preserve">Structure / content requirements, in order:</w:t>
      </w:r>
    </w:p>
    <w:p>
      <w:pPr>
        <w:numPr>
          <w:ilvl w:val="0"/>
          <w:numId w:val="1020"/>
        </w:numPr>
        <w:pStyle w:val="Compact"/>
      </w:pPr>
      <w:r>
        <w:t xml:space="preserve">Title</w:t>
      </w:r>
    </w:p>
    <w:p>
      <w:pPr>
        <w:numPr>
          <w:ilvl w:val="0"/>
          <w:numId w:val="1020"/>
        </w:numPr>
        <w:pStyle w:val="Compact"/>
      </w:pPr>
      <w:r>
        <w:t xml:space="preserve">Author names / affiliations</w:t>
      </w:r>
    </w:p>
    <w:p>
      <w:pPr>
        <w:numPr>
          <w:ilvl w:val="0"/>
          <w:numId w:val="1020"/>
        </w:numPr>
        <w:pStyle w:val="Compact"/>
      </w:pPr>
      <w:r>
        <w:t xml:space="preserve">Abstract (~150–250 words;</w:t>
      </w:r>
      <w:r>
        <w:t xml:space="preserve"> </w:t>
      </w:r>
      <w:r>
        <w:rPr>
          <w:bCs/>
          <w:b/>
        </w:rPr>
        <w:t xml:space="preserve">[ASSUMPTION]</w:t>
      </w:r>
      <w:r>
        <w:t xml:space="preserve"> </w:t>
      </w:r>
      <w:r>
        <w:t xml:space="preserve">default cap of 200 words for the prototype’s validator, overridable per conference since specific CFPs vary)</w:t>
      </w:r>
    </w:p>
    <w:p>
      <w:pPr>
        <w:numPr>
          <w:ilvl w:val="0"/>
          <w:numId w:val="1020"/>
        </w:numPr>
        <w:pStyle w:val="Compact"/>
      </w:pPr>
      <w:r>
        <w:t xml:space="preserve">Index Terms / Keywords (3–5 terms)</w:t>
      </w:r>
    </w:p>
    <w:p>
      <w:pPr>
        <w:numPr>
          <w:ilvl w:val="0"/>
          <w:numId w:val="1020"/>
        </w:numPr>
        <w:pStyle w:val="Compact"/>
      </w:pPr>
      <w:r>
        <w:t xml:space="preserve">Numbered body sections (Introduction through Conclusion at minimum)</w:t>
      </w:r>
    </w:p>
    <w:p>
      <w:pPr>
        <w:numPr>
          <w:ilvl w:val="0"/>
          <w:numId w:val="1020"/>
        </w:numPr>
        <w:pStyle w:val="Compact"/>
      </w:pPr>
      <w:r>
        <w:t xml:space="preserve">References, IEEE bracketed-numeral style (</w:t>
      </w:r>
      <w:r>
        <w:rPr>
          <w:rStyle w:val="VerbatimChar"/>
        </w:rPr>
        <w:t xml:space="preserve">[1]</w:t>
      </w:r>
      <w:r>
        <w:t xml:space="preserve">,</w:t>
      </w:r>
      <w:r>
        <w:t xml:space="preserve"> </w:t>
      </w:r>
      <w:r>
        <w:rPr>
          <w:rStyle w:val="VerbatimChar"/>
        </w:rPr>
        <w:t xml:space="preserve">[2]</w:t>
      </w:r>
      <w:r>
        <w:t xml:space="preserve">, …, in citation order)</w:t>
      </w:r>
    </w:p>
    <w:p>
      <w:pPr>
        <w:numPr>
          <w:ilvl w:val="0"/>
          <w:numId w:val="1020"/>
        </w:numPr>
        <w:pStyle w:val="Compact"/>
      </w:pPr>
      <w:r>
        <w:t xml:space="preserve">Optional Acknowledgment / Appendix</w:t>
      </w:r>
    </w:p>
    <w:p>
      <w:pPr>
        <w:pStyle w:val="FirstParagraph"/>
      </w:pPr>
      <w:r>
        <w:rPr>
          <w:bCs/>
          <w:b/>
        </w:rPr>
        <w:t xml:space="preserve">Other structural rules to validate:</w:t>
      </w:r>
    </w:p>
    <w:p>
      <w:pPr>
        <w:numPr>
          <w:ilvl w:val="0"/>
          <w:numId w:val="1021"/>
        </w:numPr>
        <w:pStyle w:val="Compact"/>
      </w:pPr>
      <w:r>
        <w:t xml:space="preserve">Equations numbered consecutively, right-flush in parentheses, e.g. </w:t>
      </w:r>
      <w:r>
        <w:rPr>
          <w:rStyle w:val="VerbatimChar"/>
        </w:rPr>
        <w:t xml:space="preserve">(1)</w:t>
      </w:r>
      <w:r>
        <w:t xml:space="preserve">.</w:t>
      </w:r>
    </w:p>
    <w:p>
      <w:pPr>
        <w:numPr>
          <w:ilvl w:val="0"/>
          <w:numId w:val="1021"/>
        </w:numPr>
        <w:pStyle w:val="Compact"/>
      </w:pPr>
      <w:r>
        <w:t xml:space="preserve">Every in-text bracketed citation</w:t>
      </w:r>
      <w:r>
        <w:t xml:space="preserve"> </w:t>
      </w:r>
      <w:r>
        <w:rPr>
          <w:rStyle w:val="VerbatimChar"/>
        </w:rPr>
        <w:t xml:space="preserve">[n]</w:t>
      </w:r>
      <w:r>
        <w:t xml:space="preserve"> </w:t>
      </w:r>
      <w:r>
        <w:t xml:space="preserve">should resolve to an entry in the reference list (this is where the GROBID-parsed</w:t>
      </w:r>
      <w:r>
        <w:t xml:space="preserve"> </w:t>
      </w:r>
      <w:r>
        <w:rPr>
          <w:rStyle w:val="VerbatimChar"/>
        </w:rPr>
        <w:t xml:space="preserve">&lt;listBibl&gt;</w:t>
      </w:r>
      <w:r>
        <w:t xml:space="preserve"> </w:t>
      </w:r>
      <w:r>
        <w:t xml:space="preserve">from §3.2 does the heavy lifting — cross-reference in-text citation markers against parsed bibliography entries).</w:t>
      </w:r>
    </w:p>
    <w:p>
      <w:pPr>
        <w:numPr>
          <w:ilvl w:val="0"/>
          <w:numId w:val="1021"/>
        </w:numPr>
        <w:pStyle w:val="Compact"/>
      </w:pPr>
      <w:r>
        <w:t xml:space="preserve">Page limit: typically 4–6 pages, with some venues allowing up to 8 with an over-length fee —</w:t>
      </w:r>
      <w:r>
        <w:t xml:space="preserve"> </w:t>
      </w:r>
      <w:r>
        <w:rPr>
          <w:bCs/>
          <w:b/>
        </w:rPr>
        <w:t xml:space="preserve">make this an organizer-configurable parameter</w:t>
      </w:r>
      <w:r>
        <w:t xml:space="preserve"> </w:t>
      </w:r>
      <w:r>
        <w:t xml:space="preserve">in</w:t>
      </w:r>
      <w:r>
        <w:t xml:space="preserve"> </w:t>
      </w:r>
      <w:r>
        <w:rPr>
          <w:rStyle w:val="VerbatimChar"/>
        </w:rPr>
        <w:t xml:space="preserve">gate_rules</w:t>
      </w:r>
      <w:r>
        <w:t xml:space="preserve">, not a hardcoded constant, since it varies by conference.</w:t>
      </w:r>
    </w:p>
    <w:p>
      <w:pPr>
        <w:numPr>
          <w:ilvl w:val="0"/>
          <w:numId w:val="1021"/>
        </w:numPr>
        <w:pStyle w:val="Compact"/>
      </w:pPr>
      <w:r>
        <w:t xml:space="preserve">Figures/tables captioned and referenced in text; abbreviations defined at first use (soft-gate territory, feeds the table/figure-consistency check from §1.6 rather than the format-compliance check specifically).</w:t>
      </w:r>
    </w:p>
    <w:p>
      <w:pPr>
        <w:pStyle w:val="FirstParagraph"/>
      </w:pPr>
      <w:r>
        <w:rPr>
          <w:bCs/>
          <w:b/>
        </w:rPr>
        <w:t xml:space="preserve">Implementation approach:</w:t>
      </w:r>
    </w:p>
    <w:p>
      <w:pPr>
        <w:numPr>
          <w:ilvl w:val="0"/>
          <w:numId w:val="1022"/>
        </w:numPr>
        <w:pStyle w:val="Compact"/>
      </w:pPr>
      <w:r>
        <w:t xml:space="preserve">Use GROBID’s TEI output (§3.2) to check presence and order of Abstract, Index Terms, numbered sections, and References.</w:t>
      </w:r>
    </w:p>
    <w:p>
      <w:pPr>
        <w:numPr>
          <w:ilvl w:val="0"/>
          <w:numId w:val="1022"/>
        </w:numPr>
        <w:pStyle w:val="Compact"/>
      </w:pPr>
      <w:r>
        <w:t xml:space="preserve">Use PyMuPDF/pdfplumber to directly measure column count, page dimensions, and approximate font sizes/families from the PDF’s text layer — GROBID’s structural parse does not give you exact typographic measurements, so this is a necessary second pass over the raw PDF, not a redundant one.</w:t>
      </w:r>
    </w:p>
    <w:p>
      <w:pPr>
        <w:numPr>
          <w:ilvl w:val="0"/>
          <w:numId w:val="1022"/>
        </w:numPr>
        <w:pStyle w:val="Compact"/>
      </w:pPr>
      <w:r>
        <w:t xml:space="preserve">Source of truth for any conference-specific deviation from these defaults: the specific conference’s IEEE author kit (Word + LaTeX templates), which should be treated as authoritative over this document’s defaults whenever the two conflict.</w:t>
      </w:r>
    </w:p>
    <w:p>
      <w:pPr>
        <w:pStyle w:val="FirstParagraph"/>
      </w:pPr>
      <w:r>
        <w:rPr>
          <w:bCs/>
          <w:b/>
        </w:rPr>
        <w:t xml:space="preserve">Setup time budget:</w:t>
      </w:r>
      <w:r>
        <w:t xml:space="preserve"> </w:t>
      </w:r>
      <w:r>
        <w:t xml:space="preserve">1–1.5 days to encode the rule set as a structured, testable ruleset (not a hardcoded imperative check) plus the PyMuPDF measurement layer, assuming GROBID (§3.2) is already integrated and producing usable TEI output.</w:t>
      </w:r>
    </w:p>
    <w:bookmarkEnd w:id="69"/>
    <w:bookmarkStart w:id="70" w:name="X0755e3fbc49683a8e07d3b6649a138903ffcef0"/>
    <w:p>
      <w:pPr>
        <w:pStyle w:val="Heading2"/>
      </w:pPr>
      <w:r>
        <w:t xml:space="preserve">3.8 Table/figure consistency (PyMuPDF/pdfplumber + Camelot)</w:t>
      </w:r>
    </w:p>
    <w:p>
      <w:pPr>
        <w:pStyle w:val="FirstParagraph"/>
      </w:pPr>
      <w:r>
        <w:rPr>
          <w:bCs/>
          <w:b/>
        </w:rPr>
        <w:t xml:space="preserve">What it does:</w:t>
      </w:r>
      <w:r>
        <w:t xml:space="preserve"> </w:t>
      </w:r>
      <w:r>
        <w:t xml:space="preserve">extracts tables and figures from the PDF and structurally validates that they exist, are numbered, and are captioned — a rule-based, CPU-only check with no GPU dependency and no model to select or benchmark; this component is unchanged from the original roadmap and research found no reason to revisit it.</w:t>
      </w:r>
    </w:p>
    <w:p>
      <w:pPr>
        <w:pStyle w:val="SourceCode"/>
      </w:pPr>
      <w:r>
        <w:rPr>
          <w:rStyle w:val="ExtensionTok"/>
        </w:rPr>
        <w:t xml:space="preserve">pip</w:t>
      </w:r>
      <w:r>
        <w:rPr>
          <w:rStyle w:val="NormalTok"/>
        </w:rPr>
        <w:t xml:space="preserve"> install pymupdf pdfplumber camelot-py</w:t>
      </w:r>
      <w:r>
        <w:rPr>
          <w:rStyle w:val="PreprocessorTok"/>
        </w:rPr>
        <w:t xml:space="preserve">[</w:t>
      </w:r>
      <w:r>
        <w:rPr>
          <w:rStyle w:val="SpecialStringTok"/>
        </w:rPr>
        <w:t xml:space="preserve">cv</w:t>
      </w:r>
      <w:r>
        <w:rPr>
          <w:rStyle w:val="PreprocessorTok"/>
        </w:rPr>
        <w:t xml:space="preserve">]</w:t>
      </w:r>
      <w:r>
        <w:rPr>
          <w:rStyle w:val="NormalTok"/>
        </w:rPr>
        <w:t xml:space="preserve"> </w:t>
      </w:r>
      <w:r>
        <w:rPr>
          <w:rStyle w:val="AttributeTok"/>
        </w:rPr>
        <w:t xml:space="preserve">--break-system-packages</w:t>
      </w:r>
    </w:p>
    <w:p>
      <w:pPr>
        <w:pStyle w:val="SourceCode"/>
      </w:pPr>
      <w:r>
        <w:rPr>
          <w:rStyle w:val="ImportTok"/>
        </w:rPr>
        <w:t xml:space="preserve">import</w:t>
      </w:r>
      <w:r>
        <w:rPr>
          <w:rStyle w:val="NormalTok"/>
        </w:rPr>
        <w:t xml:space="preserve"> fitz  </w:t>
      </w:r>
      <w:r>
        <w:rPr>
          <w:rStyle w:val="CommentTok"/>
        </w:rPr>
        <w:t xml:space="preserve"># PyMuPDF</w:t>
      </w:r>
      <w:r>
        <w:br/>
      </w:r>
      <w:r>
        <w:br/>
      </w:r>
      <w:r>
        <w:rPr>
          <w:rStyle w:val="KeywordTok"/>
        </w:rPr>
        <w:t xml:space="preserve">def</w:t>
      </w:r>
      <w:r>
        <w:rPr>
          <w:rStyle w:val="NormalTok"/>
        </w:rPr>
        <w:t xml:space="preserve"> extract_figures(pdf_bytes: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doc </w:t>
      </w:r>
      <w:r>
        <w:rPr>
          <w:rStyle w:val="OperatorTok"/>
        </w:rPr>
        <w:t xml:space="preserve">=</w:t>
      </w:r>
      <w:r>
        <w:rPr>
          <w:rStyle w:val="NormalTok"/>
        </w:rPr>
        <w:t xml:space="preserve"> fitz.</w:t>
      </w:r>
      <w:r>
        <w:rPr>
          <w:rStyle w:val="BuiltInTok"/>
        </w:rPr>
        <w:t xml:space="preserve">open</w:t>
      </w:r>
      <w:r>
        <w:rPr>
          <w:rStyle w:val="NormalTok"/>
        </w:rPr>
        <w:t xml:space="preserve">(stream</w:t>
      </w:r>
      <w:r>
        <w:rPr>
          <w:rStyle w:val="OperatorTok"/>
        </w:rPr>
        <w:t xml:space="preserve">=</w:t>
      </w:r>
      <w:r>
        <w:rPr>
          <w:rStyle w:val="NormalTok"/>
        </w:rPr>
        <w:t xml:space="preserve">pdf_bytes, filetype</w:t>
      </w:r>
      <w:r>
        <w:rPr>
          <w:rStyle w:val="OperatorTok"/>
        </w:rPr>
        <w:t xml:space="preserve">=</w:t>
      </w:r>
      <w:r>
        <w:rPr>
          <w:rStyle w:val="StringTok"/>
        </w:rPr>
        <w:t xml:space="preserve">"pdf"</w:t>
      </w:r>
      <w:r>
        <w:rPr>
          <w:rStyle w:val="NormalTok"/>
        </w:rPr>
        <w:t xml:space="preserve">)</w:t>
      </w:r>
      <w:r>
        <w:br/>
      </w:r>
      <w:r>
        <w:rPr>
          <w:rStyle w:val="NormalTok"/>
        </w:rPr>
        <w:t xml:space="preserve">    figures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page_num, page </w:t>
      </w:r>
      <w:r>
        <w:rPr>
          <w:rStyle w:val="KeywordTok"/>
        </w:rPr>
        <w:t xml:space="preserve">in</w:t>
      </w:r>
      <w:r>
        <w:rPr>
          <w:rStyle w:val="NormalTok"/>
        </w:rPr>
        <w:t xml:space="preserve"> </w:t>
      </w:r>
      <w:r>
        <w:rPr>
          <w:rStyle w:val="BuiltInTok"/>
        </w:rPr>
        <w:t xml:space="preserve">enumerate</w:t>
      </w:r>
      <w:r>
        <w:rPr>
          <w:rStyle w:val="NormalTok"/>
        </w:rPr>
        <w:t xml:space="preserve">(doc):</w:t>
      </w:r>
      <w:r>
        <w:br/>
      </w:r>
      <w:r>
        <w:rPr>
          <w:rStyle w:val="NormalTok"/>
        </w:rPr>
        <w:t xml:space="preserve">        </w:t>
      </w:r>
      <w:r>
        <w:rPr>
          <w:rStyle w:val="ControlFlowTok"/>
        </w:rPr>
        <w:t xml:space="preserve">for</w:t>
      </w:r>
      <w:r>
        <w:rPr>
          <w:rStyle w:val="NormalTok"/>
        </w:rPr>
        <w:t xml:space="preserve"> img </w:t>
      </w:r>
      <w:r>
        <w:rPr>
          <w:rStyle w:val="KeywordTok"/>
        </w:rPr>
        <w:t xml:space="preserve">in</w:t>
      </w:r>
      <w:r>
        <w:rPr>
          <w:rStyle w:val="NormalTok"/>
        </w:rPr>
        <w:t xml:space="preserve"> page.get_images(full</w:t>
      </w:r>
      <w:r>
        <w:rPr>
          <w:rStyle w:val="OperatorTok"/>
        </w:rPr>
        <w:t xml:space="preserve">=</w:t>
      </w:r>
      <w:r>
        <w:rPr>
          <w:rStyle w:val="VariableTok"/>
        </w:rPr>
        <w:t xml:space="preserve">True</w:t>
      </w:r>
      <w:r>
        <w:rPr>
          <w:rStyle w:val="NormalTok"/>
        </w:rPr>
        <w:t xml:space="preserve">):</w:t>
      </w:r>
      <w:r>
        <w:br/>
      </w:r>
      <w:r>
        <w:rPr>
          <w:rStyle w:val="NormalTok"/>
        </w:rPr>
        <w:t xml:space="preserve">            figures.append({</w:t>
      </w:r>
      <w:r>
        <w:rPr>
          <w:rStyle w:val="StringTok"/>
        </w:rPr>
        <w:t xml:space="preserve">"page"</w:t>
      </w:r>
      <w:r>
        <w:rPr>
          <w:rStyle w:val="NormalTok"/>
        </w:rPr>
        <w:t xml:space="preserve">: page_num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"xref"</w:t>
      </w:r>
      <w:r>
        <w:rPr>
          <w:rStyle w:val="NormalTok"/>
        </w:rPr>
        <w:t xml:space="preserve">: img[</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figures</w:t>
      </w:r>
    </w:p>
    <w:p>
      <w:pPr>
        <w:pStyle w:val="SourceCode"/>
      </w:pPr>
      <w:r>
        <w:rPr>
          <w:rStyle w:val="ImportTok"/>
        </w:rPr>
        <w:t xml:space="preserve">import</w:t>
      </w:r>
      <w:r>
        <w:rPr>
          <w:rStyle w:val="NormalTok"/>
        </w:rPr>
        <w:t xml:space="preserve"> camelot</w:t>
      </w:r>
      <w:r>
        <w:br/>
      </w:r>
      <w:r>
        <w:br/>
      </w:r>
      <w:r>
        <w:rPr>
          <w:rStyle w:val="KeywordTok"/>
        </w:rPr>
        <w:t xml:space="preserve">def</w:t>
      </w:r>
      <w:r>
        <w:rPr>
          <w:rStyle w:val="NormalTok"/>
        </w:rPr>
        <w:t xml:space="preserve"> extract_tables(pdf_path: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tables </w:t>
      </w:r>
      <w:r>
        <w:rPr>
          <w:rStyle w:val="OperatorTok"/>
        </w:rPr>
        <w:t xml:space="preserve">=</w:t>
      </w:r>
      <w:r>
        <w:rPr>
          <w:rStyle w:val="NormalTok"/>
        </w:rPr>
        <w:t xml:space="preserve"> camelot.read_pdf(pdf_path, pages</w:t>
      </w:r>
      <w:r>
        <w:rPr>
          <w:rStyle w:val="OperatorTok"/>
        </w:rPr>
        <w:t xml:space="preserve">=</w:t>
      </w:r>
      <w:r>
        <w:rPr>
          <w:rStyle w:val="StringTok"/>
        </w:rPr>
        <w:t xml:space="preserve">"all"</w:t>
      </w:r>
      <w:r>
        <w:rPr>
          <w:rStyle w:val="NormalTok"/>
        </w:rPr>
        <w:t xml:space="preserve">, flavor</w:t>
      </w:r>
      <w:r>
        <w:rPr>
          <w:rStyle w:val="OperatorTok"/>
        </w:rPr>
        <w:t xml:space="preserve">=</w:t>
      </w:r>
      <w:r>
        <w:rPr>
          <w:rStyle w:val="StringTok"/>
        </w:rPr>
        <w:t xml:space="preserve">"lattice"</w:t>
      </w:r>
      <w:r>
        <w:rPr>
          <w:rStyle w:val="NormalTok"/>
        </w:rPr>
        <w:t xml:space="preserve">)</w:t>
      </w:r>
      <w:r>
        <w:br/>
      </w:r>
      <w:r>
        <w:rPr>
          <w:rStyle w:val="NormalTok"/>
        </w:rPr>
        <w:t xml:space="preserve">    </w:t>
      </w:r>
      <w:r>
        <w:rPr>
          <w:rStyle w:val="ControlFlowTok"/>
        </w:rPr>
        <w:t xml:space="preserve">return</w:t>
      </w:r>
      <w:r>
        <w:rPr>
          <w:rStyle w:val="NormalTok"/>
        </w:rPr>
        <w:t xml:space="preserve"> [t.df </w:t>
      </w:r>
      <w:r>
        <w:rPr>
          <w:rStyle w:val="ControlFlowTok"/>
        </w:rPr>
        <w:t xml:space="preserve">for</w:t>
      </w:r>
      <w:r>
        <w:rPr>
          <w:rStyle w:val="NormalTok"/>
        </w:rPr>
        <w:t xml:space="preserve"> t </w:t>
      </w:r>
      <w:r>
        <w:rPr>
          <w:rStyle w:val="KeywordTok"/>
        </w:rPr>
        <w:t xml:space="preserve">in</w:t>
      </w:r>
      <w:r>
        <w:rPr>
          <w:rStyle w:val="NormalTok"/>
        </w:rPr>
        <w:t xml:space="preserve"> tables]  </w:t>
      </w:r>
      <w:r>
        <w:rPr>
          <w:rStyle w:val="CommentTok"/>
        </w:rPr>
        <w:t xml:space="preserve"># fall back to flavor="stream" for borderless tables</w:t>
      </w:r>
    </w:p>
    <w:p>
      <w:pPr>
        <w:pStyle w:val="FirstParagraph"/>
      </w:pPr>
      <w:r>
        <w:rPr>
          <w:bCs/>
          <w:b/>
        </w:rPr>
        <w:t xml:space="preserve">Pitfall:</w:t>
      </w:r>
      <w:r>
        <w:t xml:space="preserve"> </w:t>
      </w:r>
      <w:r>
        <w:t xml:space="preserve">Camelot’s</w:t>
      </w:r>
      <w:r>
        <w:t xml:space="preserve"> </w:t>
      </w:r>
      <w:r>
        <w:rPr>
          <w:rStyle w:val="VerbatimChar"/>
        </w:rPr>
        <w:t xml:space="preserve">lattice</w:t>
      </w:r>
      <w:r>
        <w:t xml:space="preserve"> </w:t>
      </w:r>
      <w:r>
        <w:t xml:space="preserve">flavor requires visible table borders/gridlines; academic papers frequently use borderless tables, so plan to try</w:t>
      </w:r>
      <w:r>
        <w:t xml:space="preserve"> </w:t>
      </w:r>
      <w:r>
        <w:rPr>
          <w:rStyle w:val="VerbatimChar"/>
        </w:rPr>
        <w:t xml:space="preserve">stream</w:t>
      </w:r>
      <w:r>
        <w:t xml:space="preserve"> </w:t>
      </w:r>
      <w:r>
        <w:t xml:space="preserve">as a fallback when</w:t>
      </w:r>
      <w:r>
        <w:t xml:space="preserve"> </w:t>
      </w:r>
      <w:r>
        <w:rPr>
          <w:rStyle w:val="VerbatimChar"/>
        </w:rPr>
        <w:t xml:space="preserve">lattice</w:t>
      </w:r>
      <w:r>
        <w:t xml:space="preserve"> </w:t>
      </w:r>
      <w:r>
        <w:t xml:space="preserve">returns zero tables on a page known (from GROBID’s structure parse) to contain one.</w:t>
      </w:r>
      <w:r>
        <w:t xml:space="preserve"> </w:t>
      </w:r>
      <w:r>
        <w:rPr>
          <w:bCs/>
          <w:b/>
        </w:rPr>
        <w:t xml:space="preserve">Setup time budget:</w:t>
      </w:r>
      <w:r>
        <w:t xml:space="preserve"> </w:t>
      </w:r>
      <w:r>
        <w:t xml:space="preserve">0.5 day, mostly spent on the lattice/stream fallback logic and captioning-adjacency heuristics (matching a</w:t>
      </w:r>
      <w:r>
        <w:t xml:space="preserve"> </w:t>
      </w:r>
      <w:r>
        <w:t xml:space="preserve">“</w:t>
      </w:r>
      <w:r>
        <w:t xml:space="preserve">Table 1: …</w:t>
      </w:r>
      <w:r>
        <w:t xml:space="preserve">”</w:t>
      </w:r>
      <w:r>
        <w:t xml:space="preserve"> </w:t>
      </w:r>
      <w:r>
        <w:t xml:space="preserve">caption line to the nearest extracted table).</w:t>
      </w:r>
    </w:p>
    <w:bookmarkEnd w:id="70"/>
    <w:bookmarkStart w:id="71" w:name="X2dfc4dc07d6ddf9aaa27f47efae68e9be08dd8f"/>
    <w:p>
      <w:pPr>
        <w:pStyle w:val="Heading2"/>
      </w:pPr>
      <w:r>
        <w:t xml:space="preserve">3.9 AI-generated-image detection — advisory-only fallback (deferred from core scope)</w:t>
      </w:r>
    </w:p>
    <w:p>
      <w:pPr>
        <w:pStyle w:val="FirstParagraph"/>
      </w:pPr>
      <w:r>
        <w:t xml:space="preserve">Per §1.6.1, this is</w:t>
      </w:r>
      <w:r>
        <w:t xml:space="preserve"> </w:t>
      </w:r>
      <w:r>
        <w:rPr>
          <w:bCs/>
          <w:b/>
        </w:rPr>
        <w:t xml:space="preserve">not built into the core 25-day prototype.</w:t>
      </w:r>
      <w:r>
        <w:t xml:space="preserve"> </w:t>
      </w:r>
      <w:r>
        <w:t xml:space="preserve">If Phase 6 polish time genuinely allows for an advisory-only demo of this capability, the approach is: extract embedded images with PyMuPDF (reusing §3.8’s extraction), score each with 2–3 open community detectors as an ensemble via a unified toolkit approach rather than a single model (single-model accuracy on modern generators is too unreliable to trust in isolation), and present a calibrated confidence score with an explicit</w:t>
      </w:r>
      <w:r>
        <w:t xml:space="preserve"> </w:t>
      </w:r>
      <w:r>
        <w:t xml:space="preserve">“</w:t>
      </w:r>
      <w:r>
        <w:t xml:space="preserve">advisory only — not a gate, high false-negative rate on current-generation image generators</w:t>
      </w:r>
      <w:r>
        <w:t xml:space="preserve">”</w:t>
      </w:r>
      <w:r>
        <w:t xml:space="preserve"> </w:t>
      </w:r>
      <w:r>
        <w:t xml:space="preserve">label in the UI. This must never feed into</w:t>
      </w:r>
      <w:r>
        <w:t xml:space="preserve"> </w:t>
      </w:r>
      <w:r>
        <w:rPr>
          <w:rStyle w:val="VerbatimChar"/>
        </w:rPr>
        <w:t xml:space="preserve">gate_rules</w:t>
      </w:r>
      <w:r>
        <w:t xml:space="preserve"> </w:t>
      </w:r>
      <w:r>
        <w:t xml:space="preserve">evaluation.</w:t>
      </w:r>
      <w:r>
        <w:t xml:space="preserve"> </w:t>
      </w:r>
      <w:r>
        <w:rPr>
          <w:bCs/>
          <w:b/>
        </w:rPr>
        <w:t xml:space="preserve">[ASSUMPTION]</w:t>
      </w:r>
      <w:r>
        <w:t xml:space="preserve"> </w:t>
      </w:r>
      <w:r>
        <w:t xml:space="preserve">Given the roadmap pressure documented in §7, this fallback is treated as out-of-scope even for Phase 6 unless every other Phase 6 item is already done early — it is explicitly the lowest-priority item in the entire document.</w:t>
      </w:r>
    </w:p>
    <w:p>
      <w:r>
        <w:br w:type="page"/>
      </w:r>
    </w:p>
    <w:bookmarkEnd w:id="71"/>
    <w:bookmarkEnd w:id="72"/>
    <w:bookmarkStart w:id="96" w:name="database-schema"/>
    <w:p>
      <w:pPr>
        <w:pStyle w:val="Heading1"/>
      </w:pPr>
      <w:r>
        <w:t xml:space="preserve">4. Database Schema</w:t>
      </w:r>
    </w:p>
    <w:p>
      <w:pPr>
        <w:pStyle w:val="FirstParagraph"/>
      </w:pPr>
      <w:r>
        <w:rPr>
          <w:bCs/>
          <w:b/>
        </w:rPr>
        <w:t xml:space="preserve">Database:</w:t>
      </w:r>
      <w:r>
        <w:t xml:space="preserve"> </w:t>
      </w:r>
      <w:r>
        <w:t xml:space="preserve">PostgreSQL, hosted free-tier via Supabase or Neon (§2.2.5). All primary keys are UUIDs (</w:t>
      </w:r>
      <w:r>
        <w:rPr>
          <w:rStyle w:val="VerbatimChar"/>
        </w:rPr>
        <w:t xml:space="preserve">gen_random_uuid()</w:t>
      </w:r>
      <w:r>
        <w:t xml:space="preserve">, available via the</w:t>
      </w:r>
      <w:r>
        <w:t xml:space="preserve"> </w:t>
      </w:r>
      <w:r>
        <w:rPr>
          <w:rStyle w:val="VerbatimChar"/>
        </w:rPr>
        <w:t xml:space="preserve">pgcrypto</w:t>
      </w:r>
      <w:r>
        <w:t xml:space="preserve"> </w:t>
      </w:r>
      <w:r>
        <w:t xml:space="preserve">extension — enable it first:</w:t>
      </w:r>
      <w:r>
        <w:t xml:space="preserve"> </w:t>
      </w:r>
      <w:r>
        <w:rPr>
          <w:rStyle w:val="VerbatimChar"/>
        </w:rPr>
        <w:t xml:space="preserve">CREATE EXTENSION IF NOT EXISTS pgcrypto;</w:t>
      </w:r>
      <w:r>
        <w:t xml:space="preserve">). Timestamps are</w:t>
      </w:r>
      <w:r>
        <w:t xml:space="preserve"> </w:t>
      </w:r>
      <w:r>
        <w:rPr>
          <w:rStyle w:val="VerbatimChar"/>
        </w:rPr>
        <w:t xml:space="preserve">timestamptz</w:t>
      </w:r>
      <w:r>
        <w:t xml:space="preserve">, always stored in UTC.</w:t>
      </w:r>
    </w:p>
    <w:bookmarkStart w:id="76" w:name="entity-relationship-diagram"/>
    <w:p>
      <w:pPr>
        <w:pStyle w:val="Heading2"/>
      </w:pPr>
      <w:r>
        <w:t xml:space="preserve">4.1 Entity-relationship diagram</w:t>
      </w:r>
    </w:p>
    <w:p>
      <w:pPr>
        <w:pStyle w:val="CaptionedFigure"/>
      </w:pPr>
      <w:r>
        <w:drawing>
          <wp:inline>
            <wp:extent cx="5334000" cy="4090335"/>
            <wp:effectExtent b="0" l="0" r="0" t="0"/>
            <wp:docPr descr="Figure 4 — Database Entity-Relationship Diagram" title="" id="74" name="Picture"/>
            <a:graphic>
              <a:graphicData uri="http://schemas.openxmlformats.org/drawingml/2006/picture">
                <pic:pic>
                  <pic:nvPicPr>
                    <pic:cNvPr descr="diagrams/diag4_erd.png" id="75" name="Picture"/>
                    <pic:cNvPicPr>
                      <a:picLocks noChangeArrowheads="1" noChangeAspect="1"/>
                    </pic:cNvPicPr>
                  </pic:nvPicPr>
                  <pic:blipFill>
                    <a:blip r:embed="rId73"/>
                    <a:stretch>
                      <a:fillRect/>
                    </a:stretch>
                  </pic:blipFill>
                  <pic:spPr bwMode="auto">
                    <a:xfrm>
                      <a:off x="0" y="0"/>
                      <a:ext cx="5334000" cy="4090335"/>
                    </a:xfrm>
                    <a:prstGeom prst="rect">
                      <a:avLst/>
                    </a:prstGeom>
                    <a:noFill/>
                    <a:ln w="9525">
                      <a:noFill/>
                      <a:headEnd/>
                      <a:tailEnd/>
                    </a:ln>
                  </pic:spPr>
                </pic:pic>
              </a:graphicData>
            </a:graphic>
          </wp:inline>
        </w:drawing>
      </w:r>
    </w:p>
    <w:p>
      <w:pPr>
        <w:pStyle w:val="ImageCaption"/>
      </w:pPr>
      <w:r>
        <w:t xml:space="preserve">Figure 4 — Database Entity-Relationship Diagram</w:t>
      </w:r>
    </w:p>
    <w:bookmarkEnd w:id="76"/>
    <w:bookmarkStart w:id="77" w:name="X38d759d7c7b76fdde8fa9844c657c068a8ea6f1"/>
    <w:p>
      <w:pPr>
        <w:pStyle w:val="Heading2"/>
      </w:pPr>
      <w:r>
        <w:t xml:space="preserve">4.2 What changed from the original draft schema</w:t>
      </w:r>
    </w:p>
    <w:p>
      <w:pPr>
        <w:pStyle w:val="FirstParagraph"/>
      </w:pPr>
      <w:r>
        <w:t xml:space="preserve">The original roadmap’s schema (§7 of the draft technical roadmap) was a reasonable simplified starting point and needed no structural rework, but research and the consolidation in §1–§3 surfaced four gaps worth adding before implementation starts rather than as a mid-build migration:</w:t>
      </w:r>
    </w:p>
    <w:p>
      <w:pPr>
        <w:numPr>
          <w:ilvl w:val="0"/>
          <w:numId w:val="1023"/>
        </w:numPr>
        <w:pStyle w:val="Compact"/>
      </w:pPr>
      <w:r>
        <w:rPr>
          <w:rStyle w:val="VerbatimChar"/>
          <w:bCs/>
          <w:b/>
        </w:rPr>
        <w:t xml:space="preserve">plagiarism_matches</w:t>
      </w:r>
      <w:r>
        <w:t xml:space="preserve"> </w:t>
      </w:r>
      <w:r>
        <w:t xml:space="preserve">— the original schema stored plagiarism results only as a JSON blob inside</w:t>
      </w:r>
      <w:r>
        <w:t xml:space="preserve"> </w:t>
      </w:r>
      <w:r>
        <w:rPr>
          <w:rStyle w:val="VerbatimChar"/>
        </w:rPr>
        <w:t xml:space="preserve">ai_reports.result_json</w:t>
      </w:r>
      <w:r>
        <w:t xml:space="preserve">. Given that source-highlighting transparency (showing the researcher</w:t>
      </w:r>
      <w:r>
        <w:t xml:space="preserve"> </w:t>
      </w:r>
      <w:r>
        <w:rPr>
          <w:iCs/>
          <w:i/>
        </w:rPr>
        <w:t xml:space="preserve">which specific span</w:t>
      </w:r>
      <w:r>
        <w:t xml:space="preserve"> </w:t>
      </w:r>
      <w:r>
        <w:t xml:space="preserve">matched</w:t>
      </w:r>
      <w:r>
        <w:t xml:space="preserve"> </w:t>
      </w:r>
      <w:r>
        <w:rPr>
          <w:iCs/>
          <w:i/>
        </w:rPr>
        <w:t xml:space="preserve">which specific prior paper</w:t>
      </w:r>
      <w:r>
        <w:t xml:space="preserve">) is a named risk-mitigation commitment (§1.14), this needs to be a proper relational table so matches can be queried, counted, and displayed per-span rather than parsed out of JSON at render time.</w:t>
      </w:r>
    </w:p>
    <w:p>
      <w:pPr>
        <w:numPr>
          <w:ilvl w:val="0"/>
          <w:numId w:val="1023"/>
        </w:numPr>
        <w:pStyle w:val="Compact"/>
      </w:pPr>
      <w:r>
        <w:rPr>
          <w:rStyle w:val="VerbatimChar"/>
          <w:bCs/>
          <w:b/>
        </w:rPr>
        <w:t xml:space="preserve">reference_corpus_papers</w:t>
      </w:r>
      <w:r>
        <w:t xml:space="preserve"> </w:t>
      </w:r>
      <w:r>
        <w:t xml:space="preserve">— the plagiarism reference corpus (§3.4) needs its own table mapping FAISS index positions to paper metadata; this did not exist in the original schema at all.</w:t>
      </w:r>
    </w:p>
    <w:p>
      <w:pPr>
        <w:numPr>
          <w:ilvl w:val="0"/>
          <w:numId w:val="1023"/>
        </w:numPr>
        <w:pStyle w:val="Compact"/>
      </w:pPr>
      <w:r>
        <w:rPr>
          <w:rStyle w:val="VerbatimChar"/>
          <w:bCs/>
          <w:b/>
        </w:rPr>
        <w:t xml:space="preserve">publisher_format_rules</w:t>
      </w:r>
      <w:r>
        <w:t xml:space="preserve"> </w:t>
      </w:r>
      <w:r>
        <w:t xml:space="preserve">— the original spec called for format rules to be</w:t>
      </w:r>
      <w:r>
        <w:t xml:space="preserve"> </w:t>
      </w:r>
      <w:r>
        <w:t xml:space="preserve">“</w:t>
      </w:r>
      <w:r>
        <w:t xml:space="preserve">an updatable config, not hardcoded logic</w:t>
      </w:r>
      <w:r>
        <w:t xml:space="preserve">”</w:t>
      </w:r>
      <w:r>
        <w:t xml:space="preserve"> </w:t>
      </w:r>
      <w:r>
        <w:t xml:space="preserve">(risk register) but the draft schema had no table for this. Added as a versioned JSON-rules table.</w:t>
      </w:r>
    </w:p>
    <w:p>
      <w:pPr>
        <w:numPr>
          <w:ilvl w:val="0"/>
          <w:numId w:val="1023"/>
        </w:numPr>
        <w:pStyle w:val="Compact"/>
      </w:pPr>
      <w:r>
        <w:rPr>
          <w:rStyle w:val="VerbatimChar"/>
          <w:bCs/>
          <w:b/>
        </w:rPr>
        <w:t xml:space="preserve">conference_reviewers</w:t>
      </w:r>
      <w:r>
        <w:t xml:space="preserve"> </w:t>
      </w:r>
      <w:r>
        <w:t xml:space="preserve">and</w:t>
      </w:r>
      <w:r>
        <w:t xml:space="preserve"> </w:t>
      </w:r>
      <w:r>
        <w:rPr>
          <w:rStyle w:val="VerbatimChar"/>
          <w:bCs/>
          <w:b/>
        </w:rPr>
        <w:t xml:space="preserve">conference_coadmins</w:t>
      </w:r>
      <w:r>
        <w:t xml:space="preserve"> </w:t>
      </w:r>
      <w:r>
        <w:t xml:space="preserve">— the original schema had no explicit join tables for reviewer-pool membership or co-admin membership; these were implied by the product spec’s role matrix (§1.10) but not modeled. Added as explicit tables rather than overloading</w:t>
      </w:r>
      <w:r>
        <w:t xml:space="preserve"> </w:t>
      </w:r>
      <w:r>
        <w:rPr>
          <w:rStyle w:val="VerbatimChar"/>
        </w:rPr>
        <w:t xml:space="preserve">users.role</w:t>
      </w:r>
      <w:r>
        <w:t xml:space="preserve">, since a single user can be a reviewer for one conference and a researcher submitting to another.</w:t>
      </w:r>
    </w:p>
    <w:p>
      <w:pPr>
        <w:pStyle w:val="FirstParagraph"/>
      </w:pPr>
      <w:r>
        <w:t xml:space="preserve">Everything else below is the original schema’s tables, filled out to full column/type/index/FK detail.</w:t>
      </w:r>
    </w:p>
    <w:bookmarkEnd w:id="77"/>
    <w:bookmarkStart w:id="94" w:name="table-reference"/>
    <w:p>
      <w:pPr>
        <w:pStyle w:val="Heading2"/>
      </w:pPr>
      <w:r>
        <w:t xml:space="preserve">4.3 Table reference</w:t>
      </w:r>
    </w:p>
    <w:bookmarkStart w:id="78" w:name="users"/>
    <w:p>
      <w:pPr>
        <w:pStyle w:val="Heading3"/>
      </w:pPr>
      <w:r>
        <w:rPr>
          <w:rStyle w:val="VerbatimChar"/>
        </w:rPr>
        <w:t xml:space="preserve">users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jc w:val="left"/>
            </w:pPr>
            <w:r>
              <w:rPr>
                <w:rStyle w:val="VerbatimChar"/>
              </w:rPr>
              <w:t xml:space="preserve">default gen_random_uuid()</w:t>
            </w:r>
          </w:p>
        </w:tc>
      </w:tr>
      <w:tr>
        <w:tc>
          <w:tcPr/>
          <w:p>
            <w:pPr>
              <w:pStyle w:val="Compact"/>
              <w:jc w:val="left"/>
            </w:pPr>
            <w:r>
              <w:rPr>
                <w:rStyle w:val="VerbatimChar"/>
              </w:rPr>
              <w:t xml:space="preserve">email</w:t>
            </w:r>
          </w:p>
        </w:tc>
        <w:tc>
          <w:tcPr/>
          <w:p>
            <w:pPr>
              <w:pStyle w:val="Compact"/>
              <w:jc w:val="left"/>
            </w:pPr>
            <w:r>
              <w:rPr>
                <w:rStyle w:val="VerbatimChar"/>
              </w:rPr>
              <w:t xml:space="preserve">text</w:t>
            </w:r>
            <w:r>
              <w:t xml:space="preserve"> </w:t>
            </w:r>
            <w:r>
              <w:t xml:space="preserve">UNIQUE NOT NULL</w:t>
            </w:r>
          </w:p>
        </w:tc>
        <w:tc>
          <w:tcPr/>
          <w:p>
            <w:pPr>
              <w:pStyle w:val="Compact"/>
            </w:pPr>
          </w:p>
        </w:tc>
      </w:tr>
      <w:tr>
        <w:tc>
          <w:tcPr/>
          <w:p>
            <w:pPr>
              <w:pStyle w:val="Compact"/>
              <w:jc w:val="left"/>
            </w:pPr>
            <w:r>
              <w:rPr>
                <w:rStyle w:val="VerbatimChar"/>
              </w:rPr>
              <w:t xml:space="preserve">password_hash</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bcrypt/argon2 —</w:t>
            </w:r>
            <w:r>
              <w:t xml:space="preserve"> </w:t>
            </w:r>
            <w:r>
              <w:rPr>
                <w:bCs/>
                <w:b/>
              </w:rPr>
              <w:t xml:space="preserve">[ASSUMPTION]</w:t>
            </w:r>
            <w:r>
              <w:t xml:space="preserve"> </w:t>
            </w:r>
            <w:r>
              <w:t xml:space="preserve">if using Supabase/Firebase Auth (§2.2.2), this column may instead be managed entirely by the auth provider and</w:t>
            </w:r>
            <w:r>
              <w:t xml:space="preserve"> </w:t>
            </w:r>
            <w:r>
              <w:rPr>
                <w:rStyle w:val="VerbatimChar"/>
              </w:rPr>
              <w:t xml:space="preserve">users</w:t>
            </w:r>
            <w:r>
              <w:t xml:space="preserve"> </w:t>
            </w:r>
            <w:r>
              <w:t xml:space="preserve">becomes a profile table keyed by the auth provider’s user ID; shown here as a self-managed column for completeness in case the team builds auth from scratch</w:t>
            </w:r>
          </w:p>
        </w:tc>
      </w:tr>
      <w:tr>
        <w:tc>
          <w:tcPr/>
          <w:p>
            <w:pPr>
              <w:pStyle w:val="Compact"/>
              <w:jc w:val="left"/>
            </w:pPr>
            <w:r>
              <w:rPr>
                <w:rStyle w:val="VerbatimChar"/>
              </w:rPr>
              <w:t xml:space="preserve">role</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enum-like check constraint:</w:t>
            </w:r>
            <w:r>
              <w:t xml:space="preserve"> </w:t>
            </w:r>
            <w:r>
              <w:rPr>
                <w:rStyle w:val="VerbatimChar"/>
              </w:rPr>
              <w:t xml:space="preserve">'researcher' \| 'reviewer' \| 'organizer'</w:t>
            </w:r>
            <w:r>
              <w:t xml:space="preserve"> </w:t>
            </w:r>
            <w:r>
              <w:t xml:space="preserve">— a user can hold multiple functional roles across conferences via</w:t>
            </w:r>
            <w:r>
              <w:t xml:space="preserve"> </w:t>
            </w:r>
            <w:r>
              <w:rPr>
                <w:rStyle w:val="VerbatimChar"/>
              </w:rPr>
              <w:t xml:space="preserve">conference_reviewers</w:t>
            </w:r>
            <w:r>
              <w:t xml:space="preserve">/</w:t>
            </w:r>
            <w:r>
              <w:rPr>
                <w:rStyle w:val="VerbatimChar"/>
              </w:rPr>
              <w:t xml:space="preserve">conference_coadmins</w:t>
            </w:r>
            <w:r>
              <w:t xml:space="preserve">; this column is their</w:t>
            </w:r>
            <w:r>
              <w:t xml:space="preserve"> </w:t>
            </w:r>
            <w:r>
              <w:rPr>
                <w:iCs/>
                <w:i/>
              </w:rPr>
              <w:t xml:space="preserve">primary</w:t>
            </w:r>
            <w:r>
              <w:t xml:space="preserve"> </w:t>
            </w:r>
            <w:r>
              <w:t xml:space="preserve">signup role</w:t>
            </w:r>
          </w:p>
        </w:tc>
      </w:tr>
      <w:tr>
        <w:tc>
          <w:tcPr/>
          <w:p>
            <w:pPr>
              <w:pStyle w:val="Compact"/>
              <w:jc w:val="left"/>
            </w:pPr>
            <w:r>
              <w:rPr>
                <w:rStyle w:val="VerbatimChar"/>
              </w:rPr>
              <w:t xml:space="preserve">name</w:t>
            </w:r>
          </w:p>
        </w:tc>
        <w:tc>
          <w:tcPr/>
          <w:p>
            <w:pPr>
              <w:pStyle w:val="Compact"/>
              <w:jc w:val="left"/>
            </w:pPr>
            <w:r>
              <w:rPr>
                <w:rStyle w:val="VerbatimChar"/>
              </w:rPr>
              <w:t xml:space="preserve">text</w:t>
            </w:r>
            <w:r>
              <w:t xml:space="preserve"> </w:t>
            </w:r>
            <w:r>
              <w:t xml:space="preserve">NOT NULL</w:t>
            </w:r>
          </w:p>
        </w:tc>
        <w:tc>
          <w:tcPr/>
          <w:p>
            <w:pPr>
              <w:pStyle w:val="Compact"/>
            </w:pPr>
          </w:p>
        </w:tc>
      </w:tr>
      <w:tr>
        <w:tc>
          <w:tcPr/>
          <w:p>
            <w:pPr>
              <w:pStyle w:val="Compact"/>
              <w:jc w:val="left"/>
            </w:pPr>
            <w:r>
              <w:rPr>
                <w:rStyle w:val="VerbatimChar"/>
              </w:rPr>
              <w:t xml:space="preserve">affiliation</w:t>
            </w:r>
          </w:p>
        </w:tc>
        <w:tc>
          <w:tcPr/>
          <w:p>
            <w:pPr>
              <w:pStyle w:val="Compact"/>
              <w:jc w:val="left"/>
            </w:pPr>
            <w:r>
              <w:rPr>
                <w:rStyle w:val="VerbatimChar"/>
              </w:rPr>
              <w:t xml:space="preserve">text</w:t>
            </w:r>
          </w:p>
        </w:tc>
        <w:tc>
          <w:tcPr/>
          <w:p>
            <w:pPr>
              <w:pStyle w:val="Compact"/>
              <w:jc w:val="left"/>
            </w:pPr>
            <w:r>
              <w:t xml:space="preserve">nullable</w:t>
            </w:r>
          </w:p>
        </w:tc>
      </w:tr>
      <w:tr>
        <w:tc>
          <w:tcPr/>
          <w:p>
            <w:pPr>
              <w:pStyle w:val="Compact"/>
              <w:jc w:val="left"/>
            </w:pPr>
            <w:r>
              <w:rPr>
                <w:rStyle w:val="VerbatimChar"/>
              </w:rPr>
              <w:t xml:space="preserve">orcid</w:t>
            </w:r>
          </w:p>
        </w:tc>
        <w:tc>
          <w:tcPr/>
          <w:p>
            <w:pPr>
              <w:pStyle w:val="Compact"/>
              <w:jc w:val="left"/>
            </w:pPr>
            <w:r>
              <w:rPr>
                <w:rStyle w:val="VerbatimChar"/>
              </w:rPr>
              <w:t xml:space="preserve">text</w:t>
            </w:r>
          </w:p>
        </w:tc>
        <w:tc>
          <w:tcPr/>
          <w:p>
            <w:pPr>
              <w:pStyle w:val="Compact"/>
              <w:jc w:val="left"/>
            </w:pPr>
            <w:r>
              <w:t xml:space="preserve">nullable, optional per §1.2</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t xml:space="preserve">Index:</w:t>
      </w:r>
      <w:r>
        <w:t xml:space="preserve"> </w:t>
      </w:r>
      <w:r>
        <w:rPr>
          <w:rStyle w:val="VerbatimChar"/>
        </w:rPr>
        <w:t xml:space="preserve">CREATE UNIQUE INDEX idx_users_email ON users(email);</w:t>
      </w:r>
    </w:p>
    <w:bookmarkEnd w:id="78"/>
    <w:bookmarkStart w:id="79" w:name="conferences"/>
    <w:p>
      <w:pPr>
        <w:pStyle w:val="Heading3"/>
      </w:pPr>
      <w:r>
        <w:rPr>
          <w:rStyle w:val="VerbatimChar"/>
        </w:rPr>
        <w:t xml:space="preserve">conferences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organizer_id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p>
        </w:tc>
        <w:tc>
          <w:tcPr/>
          <w:p>
            <w:pPr>
              <w:pStyle w:val="Compact"/>
            </w:pPr>
          </w:p>
        </w:tc>
      </w:tr>
      <w:tr>
        <w:tc>
          <w:tcPr/>
          <w:p>
            <w:pPr>
              <w:pStyle w:val="Compact"/>
              <w:jc w:val="left"/>
            </w:pPr>
            <w:r>
              <w:rPr>
                <w:rStyle w:val="VerbatimChar"/>
              </w:rPr>
              <w:t xml:space="preserve">name</w:t>
            </w:r>
          </w:p>
        </w:tc>
        <w:tc>
          <w:tcPr/>
          <w:p>
            <w:pPr>
              <w:pStyle w:val="Compact"/>
              <w:jc w:val="left"/>
            </w:pPr>
            <w:r>
              <w:rPr>
                <w:rStyle w:val="VerbatimChar"/>
              </w:rPr>
              <w:t xml:space="preserve">text</w:t>
            </w:r>
            <w:r>
              <w:t xml:space="preserve"> </w:t>
            </w:r>
            <w:r>
              <w:t xml:space="preserve">NOT NULL</w:t>
            </w:r>
          </w:p>
        </w:tc>
        <w:tc>
          <w:tcPr/>
          <w:p>
            <w:pPr>
              <w:pStyle w:val="Compact"/>
            </w:pPr>
          </w:p>
        </w:tc>
      </w:tr>
      <w:tr>
        <w:tc>
          <w:tcPr/>
          <w:p>
            <w:pPr>
              <w:pStyle w:val="Compact"/>
              <w:jc w:val="left"/>
            </w:pPr>
            <w:r>
              <w:rPr>
                <w:rStyle w:val="VerbatimChar"/>
              </w:rPr>
              <w:t xml:space="preserve">theme</w:t>
            </w:r>
          </w:p>
        </w:tc>
        <w:tc>
          <w:tcPr/>
          <w:p>
            <w:pPr>
              <w:pStyle w:val="Compact"/>
              <w:jc w:val="left"/>
            </w:pPr>
            <w:r>
              <w:rPr>
                <w:rStyle w:val="VerbatimChar"/>
              </w:rPr>
              <w:t xml:space="preserve">text</w:t>
            </w:r>
          </w:p>
        </w:tc>
        <w:tc>
          <w:tcPr/>
          <w:p>
            <w:pPr>
              <w:pStyle w:val="Compact"/>
            </w:pPr>
          </w:p>
        </w:tc>
      </w:tr>
      <w:tr>
        <w:tc>
          <w:tcPr/>
          <w:p>
            <w:pPr>
              <w:pStyle w:val="Compact"/>
              <w:jc w:val="left"/>
            </w:pPr>
            <w:r>
              <w:rPr>
                <w:rStyle w:val="VerbatimChar"/>
              </w:rPr>
              <w:t xml:space="preserve">start_date</w:t>
            </w:r>
            <w:r>
              <w:t xml:space="preserve"> </w:t>
            </w:r>
            <w:r>
              <w:t xml:space="preserve">/</w:t>
            </w:r>
            <w:r>
              <w:t xml:space="preserve"> </w:t>
            </w:r>
            <w:r>
              <w:rPr>
                <w:rStyle w:val="VerbatimChar"/>
              </w:rPr>
              <w:t xml:space="preserve">end_date</w:t>
            </w:r>
          </w:p>
        </w:tc>
        <w:tc>
          <w:tcPr/>
          <w:p>
            <w:pPr>
              <w:pStyle w:val="Compact"/>
              <w:jc w:val="left"/>
            </w:pPr>
            <w:r>
              <w:rPr>
                <w:rStyle w:val="VerbatimChar"/>
              </w:rPr>
              <w:t xml:space="preserve">date</w:t>
            </w:r>
          </w:p>
        </w:tc>
        <w:tc>
          <w:tcPr/>
          <w:p>
            <w:pPr>
              <w:pStyle w:val="Compact"/>
            </w:pPr>
          </w:p>
        </w:tc>
      </w:tr>
      <w:tr>
        <w:tc>
          <w:tcPr/>
          <w:p>
            <w:pPr>
              <w:pStyle w:val="Compact"/>
              <w:jc w:val="left"/>
            </w:pPr>
            <w:r>
              <w:rPr>
                <w:rStyle w:val="VerbatimChar"/>
              </w:rPr>
              <w:t xml:space="preserve">tracks</w:t>
            </w:r>
          </w:p>
        </w:tc>
        <w:tc>
          <w:tcPr/>
          <w:p>
            <w:pPr>
              <w:pStyle w:val="Compact"/>
              <w:jc w:val="left"/>
            </w:pPr>
            <w:r>
              <w:rPr>
                <w:rStyle w:val="VerbatimChar"/>
              </w:rPr>
              <w:t xml:space="preserve">jsonb</w:t>
            </w:r>
          </w:p>
        </w:tc>
        <w:tc>
          <w:tcPr/>
          <w:p>
            <w:pPr>
              <w:pStyle w:val="Compact"/>
              <w:jc w:val="left"/>
            </w:pPr>
            <w:r>
              <w:t xml:space="preserve">array of track names/descriptions</w:t>
            </w:r>
          </w:p>
        </w:tc>
      </w:tr>
      <w:tr>
        <w:tc>
          <w:tcPr/>
          <w:p>
            <w:pPr>
              <w:pStyle w:val="Compact"/>
              <w:jc w:val="left"/>
            </w:pPr>
            <w:r>
              <w:rPr>
                <w:rStyle w:val="VerbatimChar"/>
              </w:rPr>
              <w:t xml:space="preserve">publisher_format</w:t>
            </w:r>
          </w:p>
        </w:tc>
        <w:tc>
          <w:tcPr/>
          <w:p>
            <w:pPr>
              <w:pStyle w:val="Compact"/>
              <w:jc w:val="left"/>
            </w:pPr>
            <w:r>
              <w:rPr>
                <w:rStyle w:val="VerbatimChar"/>
              </w:rPr>
              <w:t xml:space="preserve">text</w:t>
            </w:r>
          </w:p>
        </w:tc>
        <w:tc>
          <w:tcPr/>
          <w:p>
            <w:pPr>
              <w:pStyle w:val="Compact"/>
              <w:jc w:val="left"/>
            </w:pPr>
            <w:r>
              <w:rPr>
                <w:rStyle w:val="VerbatimChar"/>
              </w:rPr>
              <w:t xml:space="preserve">'ieee' \| 'custom' \| null</w:t>
            </w:r>
            <w:r>
              <w:t xml:space="preserve"> </w:t>
            </w:r>
            <w:r>
              <w:t xml:space="preserve">— prototype only implements</w:t>
            </w:r>
            <w:r>
              <w:t xml:space="preserve"> </w:t>
            </w:r>
            <w:r>
              <w:rPr>
                <w:rStyle w:val="VerbatimChar"/>
              </w:rPr>
              <w:t xml:space="preserve">'ieee'</w:t>
            </w:r>
            <w:r>
              <w:t xml:space="preserve"> </w:t>
            </w:r>
            <w:r>
              <w:t xml:space="preserve">(§3.7)</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t xml:space="preserve">Index:</w:t>
      </w:r>
      <w:r>
        <w:t xml:space="preserve"> </w:t>
      </w:r>
      <w:r>
        <w:rPr>
          <w:rStyle w:val="VerbatimChar"/>
        </w:rPr>
        <w:t xml:space="preserve">CREATE INDEX idx_conferences_organizer ON conferences(organizer_id);</w:t>
      </w:r>
    </w:p>
    <w:bookmarkEnd w:id="79"/>
    <w:bookmarkStart w:id="80" w:name="gate_rules"/>
    <w:p>
      <w:pPr>
        <w:pStyle w:val="Heading3"/>
      </w:pPr>
      <w:r>
        <w:rPr>
          <w:rStyle w:val="VerbatimChar"/>
        </w:rPr>
        <w:t xml:space="preserve">gate_rules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conference_id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conferences(id)</w:t>
            </w:r>
            <w:r>
              <w:t xml:space="preserve"> </w:t>
            </w:r>
            <w:r>
              <w:t xml:space="preserve">ON DELETE CASCADE</w:t>
            </w:r>
          </w:p>
        </w:tc>
        <w:tc>
          <w:tcPr/>
          <w:p>
            <w:pPr>
              <w:pStyle w:val="Compact"/>
            </w:pPr>
          </w:p>
        </w:tc>
      </w:tr>
      <w:tr>
        <w:tc>
          <w:tcPr/>
          <w:p>
            <w:pPr>
              <w:pStyle w:val="Compact"/>
              <w:jc w:val="left"/>
            </w:pPr>
            <w:r>
              <w:rPr>
                <w:rStyle w:val="VerbatimChar"/>
              </w:rPr>
              <w:t xml:space="preserve">rule_type</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e.g. </w:t>
            </w:r>
            <w:r>
              <w:rPr>
                <w:rStyle w:val="VerbatimChar"/>
              </w:rPr>
              <w:t xml:space="preserve">'ai_content_pct' \| 'plagiarism_pct' \| 'format_compliance' \| 'citation_completeness' \| 'table_figure_consistency' \| 'page_limit'</w:t>
            </w:r>
          </w:p>
        </w:tc>
      </w:tr>
      <w:tr>
        <w:tc>
          <w:tcPr/>
          <w:p>
            <w:pPr>
              <w:pStyle w:val="Compact"/>
              <w:jc w:val="left"/>
            </w:pPr>
            <w:r>
              <w:rPr>
                <w:rStyle w:val="VerbatimChar"/>
              </w:rPr>
              <w:t xml:space="preserve">threshold_soft</w:t>
            </w:r>
          </w:p>
        </w:tc>
        <w:tc>
          <w:tcPr/>
          <w:p>
            <w:pPr>
              <w:pStyle w:val="Compact"/>
              <w:jc w:val="left"/>
            </w:pPr>
            <w:r>
              <w:rPr>
                <w:rStyle w:val="VerbatimChar"/>
              </w:rPr>
              <w:t xml:space="preserve">numeric</w:t>
            </w:r>
          </w:p>
        </w:tc>
        <w:tc>
          <w:tcPr/>
          <w:p>
            <w:pPr>
              <w:pStyle w:val="Compact"/>
              <w:jc w:val="left"/>
            </w:pPr>
            <w:r>
              <w:t xml:space="preserve">nullable — meaning depends on</w:t>
            </w:r>
            <w:r>
              <w:t xml:space="preserve"> </w:t>
            </w:r>
            <w:r>
              <w:rPr>
                <w:rStyle w:val="VerbatimChar"/>
              </w:rPr>
              <w:t xml:space="preserve">rule_type</w:t>
            </w:r>
            <w:r>
              <w:t xml:space="preserve"> </w:t>
            </w:r>
            <w:r>
              <w:t xml:space="preserve">(e.g. percentage, page count)</w:t>
            </w:r>
          </w:p>
        </w:tc>
      </w:tr>
      <w:tr>
        <w:tc>
          <w:tcPr/>
          <w:p>
            <w:pPr>
              <w:pStyle w:val="Compact"/>
              <w:jc w:val="left"/>
            </w:pPr>
            <w:r>
              <w:rPr>
                <w:rStyle w:val="VerbatimChar"/>
              </w:rPr>
              <w:t xml:space="preserve">threshold_hard</w:t>
            </w:r>
          </w:p>
        </w:tc>
        <w:tc>
          <w:tcPr/>
          <w:p>
            <w:pPr>
              <w:pStyle w:val="Compact"/>
              <w:jc w:val="left"/>
            </w:pPr>
            <w:r>
              <w:rPr>
                <w:rStyle w:val="VerbatimChar"/>
              </w:rPr>
              <w:t xml:space="preserve">numeric</w:t>
            </w:r>
          </w:p>
        </w:tc>
        <w:tc>
          <w:tcPr/>
          <w:p>
            <w:pPr>
              <w:pStyle w:val="Compact"/>
              <w:jc w:val="left"/>
            </w:pPr>
            <w:r>
              <w:t xml:space="preserve">nullable</w:t>
            </w:r>
          </w:p>
        </w:tc>
      </w:tr>
      <w:tr>
        <w:tc>
          <w:tcPr/>
          <w:p>
            <w:pPr>
              <w:pStyle w:val="Compact"/>
              <w:jc w:val="left"/>
            </w:pPr>
            <w:r>
              <w:rPr>
                <w:rStyle w:val="VerbatimChar"/>
              </w:rPr>
              <w:t xml:space="preserve">is_hard_gate</w:t>
            </w:r>
          </w:p>
        </w:tc>
        <w:tc>
          <w:tcPr/>
          <w:p>
            <w:pPr>
              <w:pStyle w:val="Compact"/>
              <w:jc w:val="left"/>
            </w:pPr>
            <w:r>
              <w:rPr>
                <w:rStyle w:val="VerbatimChar"/>
              </w:rPr>
              <w:t xml:space="preserve">boolean</w:t>
            </w:r>
            <w:r>
              <w:t xml:space="preserve"> </w:t>
            </w:r>
            <w:r>
              <w:t xml:space="preserve">NOT NULL</w:t>
            </w:r>
          </w:p>
        </w:tc>
        <w:tc>
          <w:tcPr/>
          <w:p>
            <w:pPr>
              <w:pStyle w:val="Compact"/>
              <w:jc w:val="left"/>
            </w:pPr>
            <w:r>
              <w:rPr>
                <w:rStyle w:val="VerbatimChar"/>
              </w:rPr>
              <w:t xml:space="preserve">default false</w:t>
            </w:r>
          </w:p>
        </w:tc>
      </w:tr>
    </w:tbl>
    <w:p>
      <w:pPr>
        <w:pStyle w:val="BodyText"/>
      </w:pPr>
      <w:r>
        <w:rPr>
          <w:bCs/>
          <w:b/>
        </w:rPr>
        <w:t xml:space="preserve">Application-level constraint (enforce in the Gate Rule Engine, not just the DB):</w:t>
      </w:r>
      <w:r>
        <w:t xml:space="preserve"> </w:t>
      </w:r>
      <w:r>
        <w:t xml:space="preserve">rows where</w:t>
      </w:r>
      <w:r>
        <w:t xml:space="preserve"> </w:t>
      </w:r>
      <w:r>
        <w:rPr>
          <w:rStyle w:val="VerbatimChar"/>
        </w:rPr>
        <w:t xml:space="preserve">rule_type IN ('ai_content_pct', 'plagiarism_pct')</w:t>
      </w:r>
      <w:r>
        <w:t xml:space="preserve"> </w:t>
      </w:r>
      <w:r>
        <w:t xml:space="preserve">must never have</w:t>
      </w:r>
      <w:r>
        <w:t xml:space="preserve"> </w:t>
      </w:r>
      <w:r>
        <w:rPr>
          <w:rStyle w:val="VerbatimChar"/>
        </w:rPr>
        <w:t xml:space="preserve">is_hard_gate = true</w:t>
      </w:r>
      <w:r>
        <w:t xml:space="preserve"> </w:t>
      </w:r>
      <w:r>
        <w:t xml:space="preserve">for the semantic/statistical similarity signal — this is the §1.1/§1.4 hard product constraint. A</w:t>
      </w:r>
      <w:r>
        <w:t xml:space="preserve"> </w:t>
      </w:r>
      <w:r>
        <w:rPr>
          <w:rStyle w:val="VerbatimChar"/>
        </w:rPr>
        <w:t xml:space="preserve">CHECK</w:t>
      </w:r>
      <w:r>
        <w:t xml:space="preserve"> </w:t>
      </w:r>
      <w:r>
        <w:t xml:space="preserve">constraint can enforce this at the DB level too if</w:t>
      </w:r>
      <w:r>
        <w:t xml:space="preserve"> </w:t>
      </w:r>
      <w:r>
        <w:rPr>
          <w:rStyle w:val="VerbatimChar"/>
        </w:rPr>
        <w:t xml:space="preserve">rule_type</w:t>
      </w:r>
      <w:r>
        <w:t xml:space="preserve"> </w:t>
      </w:r>
      <w:r>
        <w:t xml:space="preserve">values are kept to a fixed, known set: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gate_rules </w:t>
      </w:r>
      <w:r>
        <w:rPr>
          <w:rStyle w:val="KeywordTok"/>
        </w:rPr>
        <w:t xml:space="preserve">ADD</w:t>
      </w:r>
      <w:r>
        <w:rPr>
          <w:rStyle w:val="NormalTok"/>
        </w:rPr>
        <w:t xml:space="preserve"> </w:t>
      </w:r>
      <w:r>
        <w:rPr>
          <w:rStyle w:val="KeywordTok"/>
        </w:rPr>
        <w:t xml:space="preserve">CONSTRAINT</w:t>
      </w:r>
      <w:r>
        <w:rPr>
          <w:rStyle w:val="NormalTok"/>
        </w:rPr>
        <w:t xml:space="preserve"> no_hard_ai_content_gate</w:t>
      </w:r>
      <w:r>
        <w:br/>
      </w:r>
      <w:r>
        <w:rPr>
          <w:rStyle w:val="NormalTok"/>
        </w:rPr>
        <w:t xml:space="preserve">  </w:t>
      </w:r>
      <w:r>
        <w:rPr>
          <w:rStyle w:val="KeywordTok"/>
        </w:rPr>
        <w:t xml:space="preserve">CHECK</w:t>
      </w:r>
      <w:r>
        <w:rPr>
          <w:rStyle w:val="NormalTok"/>
        </w:rPr>
        <w:t xml:space="preserve"> (</w:t>
      </w:r>
      <w:r>
        <w:rPr>
          <w:rStyle w:val="KeywordTok"/>
        </w:rPr>
        <w:t xml:space="preserve">NOT</w:t>
      </w:r>
      <w:r>
        <w:rPr>
          <w:rStyle w:val="NormalTok"/>
        </w:rPr>
        <w:t xml:space="preserve"> (rule_type </w:t>
      </w:r>
      <w:r>
        <w:rPr>
          <w:rStyle w:val="OperatorTok"/>
        </w:rPr>
        <w:t xml:space="preserve">=</w:t>
      </w:r>
      <w:r>
        <w:rPr>
          <w:rStyle w:val="NormalTok"/>
        </w:rPr>
        <w:t xml:space="preserve"> </w:t>
      </w:r>
      <w:r>
        <w:rPr>
          <w:rStyle w:val="StringTok"/>
        </w:rPr>
        <w:t xml:space="preserve">'ai_content_pct'</w:t>
      </w:r>
      <w:r>
        <w:rPr>
          <w:rStyle w:val="NormalTok"/>
        </w:rPr>
        <w:t xml:space="preserve"> </w:t>
      </w:r>
      <w:r>
        <w:rPr>
          <w:rStyle w:val="KeywordTok"/>
        </w:rPr>
        <w:t xml:space="preserve">AND</w:t>
      </w:r>
      <w:r>
        <w:rPr>
          <w:rStyle w:val="NormalTok"/>
        </w:rPr>
        <w:t xml:space="preserve"> is_hard_gate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t xml:space="preserve">Index:</w:t>
      </w:r>
      <w:r>
        <w:t xml:space="preserve"> </w:t>
      </w:r>
      <w:r>
        <w:rPr>
          <w:rStyle w:val="VerbatimChar"/>
        </w:rPr>
        <w:t xml:space="preserve">CREATE INDEX idx_gate_rules_conference ON gate_rules(conference_id);</w:t>
      </w:r>
    </w:p>
    <w:bookmarkEnd w:id="80"/>
    <w:bookmarkStart w:id="81" w:name="conference_reviewers"/>
    <w:p>
      <w:pPr>
        <w:pStyle w:val="Heading3"/>
      </w:pPr>
      <w:r>
        <w:rPr>
          <w:rStyle w:val="VerbatimChar"/>
        </w:rPr>
        <w:t xml:space="preserve">conference_reviewers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conference_id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conferences(id)</w:t>
            </w:r>
            <w:r>
              <w:t xml:space="preserve"> </w:t>
            </w:r>
            <w:r>
              <w:t xml:space="preserve">ON DELETE CASCADE</w:t>
            </w:r>
          </w:p>
        </w:tc>
        <w:tc>
          <w:tcPr/>
          <w:p>
            <w:pPr>
              <w:pStyle w:val="Compact"/>
            </w:pPr>
          </w:p>
        </w:tc>
      </w:tr>
      <w:tr>
        <w:tc>
          <w:tcPr/>
          <w:p>
            <w:pPr>
              <w:pStyle w:val="Compact"/>
              <w:jc w:val="left"/>
            </w:pPr>
            <w:r>
              <w:rPr>
                <w:rStyle w:val="VerbatimChar"/>
              </w:rPr>
              <w:t xml:space="preserve">user_id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p>
        </w:tc>
        <w:tc>
          <w:tcPr/>
          <w:p>
            <w:pPr>
              <w:pStyle w:val="Compact"/>
            </w:pPr>
          </w:p>
        </w:tc>
      </w:tr>
      <w:tr>
        <w:tc>
          <w:tcPr/>
          <w:p>
            <w:pPr>
              <w:pStyle w:val="Compact"/>
              <w:jc w:val="left"/>
            </w:pPr>
            <w:r>
              <w:rPr>
                <w:rStyle w:val="VerbatimChar"/>
              </w:rPr>
              <w:t xml:space="preserve">topic_tags</w:t>
            </w:r>
          </w:p>
        </w:tc>
        <w:tc>
          <w:tcPr/>
          <w:p>
            <w:pPr>
              <w:pStyle w:val="Compact"/>
              <w:jc w:val="left"/>
            </w:pPr>
            <w:r>
              <w:rPr>
                <w:rStyle w:val="VerbatimChar"/>
              </w:rPr>
              <w:t xml:space="preserve">text[]</w:t>
            </w:r>
          </w:p>
        </w:tc>
        <w:tc>
          <w:tcPr/>
          <w:p>
            <w:pPr>
              <w:pStyle w:val="Compact"/>
              <w:jc w:val="left"/>
            </w:pPr>
            <w:r>
              <w:t xml:space="preserve">for manual-assignment matching (§7 descopes auto-match)</w:t>
            </w:r>
          </w:p>
        </w:tc>
      </w:tr>
      <w:tr>
        <w:tc>
          <w:tcPr/>
          <w:p>
            <w:pPr>
              <w:pStyle w:val="Compact"/>
              <w:jc w:val="left"/>
            </w:pPr>
            <w:r>
              <w:rPr>
                <w:rStyle w:val="VerbatimChar"/>
              </w:rPr>
              <w:t xml:space="preserve">invited_status</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'invited' \| 'accepted' \| 'declined'</w:t>
            </w:r>
          </w:p>
        </w:tc>
      </w:tr>
    </w:tbl>
    <w:p>
      <w:pPr>
        <w:pStyle w:val="BodyText"/>
      </w:pPr>
      <w:r>
        <w:t xml:space="preserve">Index:</w:t>
      </w:r>
      <w:r>
        <w:t xml:space="preserve"> </w:t>
      </w:r>
      <w:r>
        <w:rPr>
          <w:rStyle w:val="VerbatimChar"/>
        </w:rPr>
        <w:t xml:space="preserve">CREATE UNIQUE INDEX idx_conf_reviewer_unique ON conference_reviewers(conference_id, user_id);</w:t>
      </w:r>
    </w:p>
    <w:bookmarkEnd w:id="81"/>
    <w:bookmarkStart w:id="82" w:name="conference_coadmins"/>
    <w:p>
      <w:pPr>
        <w:pStyle w:val="Heading3"/>
      </w:pPr>
      <w:r>
        <w:rPr>
          <w:rStyle w:val="VerbatimChar"/>
        </w:rPr>
        <w:t xml:space="preserve">conference_coadmins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conference_id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conferences(id)</w:t>
            </w:r>
            <w:r>
              <w:t xml:space="preserve"> </w:t>
            </w:r>
            <w:r>
              <w:t xml:space="preserve">ON DELETE CASCADE</w:t>
            </w:r>
          </w:p>
        </w:tc>
        <w:tc>
          <w:tcPr/>
          <w:p>
            <w:pPr>
              <w:pStyle w:val="Compact"/>
            </w:pPr>
          </w:p>
        </w:tc>
      </w:tr>
      <w:tr>
        <w:tc>
          <w:tcPr/>
          <w:p>
            <w:pPr>
              <w:pStyle w:val="Compact"/>
              <w:jc w:val="left"/>
            </w:pPr>
            <w:r>
              <w:rPr>
                <w:rStyle w:val="VerbatimChar"/>
              </w:rPr>
              <w:t xml:space="preserve">user_id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p>
        </w:tc>
        <w:tc>
          <w:tcPr/>
          <w:p>
            <w:pPr>
              <w:pStyle w:val="Compact"/>
            </w:pPr>
          </w:p>
        </w:tc>
      </w:tr>
      <w:tr>
        <w:tc>
          <w:tcPr/>
          <w:p>
            <w:pPr>
              <w:pStyle w:val="Compact"/>
              <w:jc w:val="left"/>
            </w:pPr>
            <w:r>
              <w:rPr>
                <w:rStyle w:val="VerbatimChar"/>
              </w:rPr>
              <w:t xml:space="preserve">permission_level</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'full' \| 'track_scoped'</w:t>
            </w:r>
            <w:r>
              <w:t xml:space="preserve"> </w:t>
            </w:r>
            <w:r>
              <w:t xml:space="preserve">— see §1.10 for the [ASSUMPTION] on why this stays two-tier in the prototype</w:t>
            </w:r>
          </w:p>
        </w:tc>
      </w:tr>
    </w:tbl>
    <w:bookmarkEnd w:id="82"/>
    <w:bookmarkStart w:id="83" w:name="submissions"/>
    <w:p>
      <w:pPr>
        <w:pStyle w:val="Heading3"/>
      </w:pPr>
      <w:r>
        <w:rPr>
          <w:rStyle w:val="VerbatimChar"/>
        </w:rPr>
        <w:t xml:space="preserve">submissions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researcher_id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p>
        </w:tc>
        <w:tc>
          <w:tcPr/>
          <w:p>
            <w:pPr>
              <w:pStyle w:val="Compact"/>
            </w:pPr>
          </w:p>
        </w:tc>
      </w:tr>
      <w:tr>
        <w:tc>
          <w:tcPr/>
          <w:p>
            <w:pPr>
              <w:pStyle w:val="Compact"/>
              <w:jc w:val="left"/>
            </w:pPr>
            <w:r>
              <w:rPr>
                <w:rStyle w:val="VerbatimChar"/>
              </w:rPr>
              <w:t xml:space="preserve">conference_id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conferences(id)</w:t>
            </w:r>
          </w:p>
        </w:tc>
        <w:tc>
          <w:tcPr/>
          <w:p>
            <w:pPr>
              <w:pStyle w:val="Compact"/>
            </w:pPr>
          </w:p>
        </w:tc>
      </w:tr>
      <w:tr>
        <w:tc>
          <w:tcPr/>
          <w:p>
            <w:pPr>
              <w:pStyle w:val="Compact"/>
              <w:jc w:val="left"/>
            </w:pPr>
            <w:r>
              <w:rPr>
                <w:rStyle w:val="VerbatimChar"/>
              </w:rPr>
              <w:t xml:space="preserve">title</w:t>
            </w:r>
          </w:p>
        </w:tc>
        <w:tc>
          <w:tcPr/>
          <w:p>
            <w:pPr>
              <w:pStyle w:val="Compact"/>
              <w:jc w:val="left"/>
            </w:pPr>
            <w:r>
              <w:rPr>
                <w:rStyle w:val="VerbatimChar"/>
              </w:rPr>
              <w:t xml:space="preserve">text</w:t>
            </w:r>
            <w:r>
              <w:t xml:space="preserve"> </w:t>
            </w:r>
            <w:r>
              <w:t xml:space="preserve">NOT NULL</w:t>
            </w:r>
          </w:p>
        </w:tc>
        <w:tc>
          <w:tcPr/>
          <w:p>
            <w:pPr>
              <w:pStyle w:val="Compact"/>
            </w:pPr>
          </w:p>
        </w:tc>
      </w:tr>
      <w:tr>
        <w:tc>
          <w:tcPr/>
          <w:p>
            <w:pPr>
              <w:pStyle w:val="Compact"/>
              <w:jc w:val="left"/>
            </w:pPr>
            <w:r>
              <w:rPr>
                <w:rStyle w:val="VerbatimChar"/>
              </w:rPr>
              <w:t xml:space="preserve">abstract</w:t>
            </w:r>
          </w:p>
        </w:tc>
        <w:tc>
          <w:tcPr/>
          <w:p>
            <w:pPr>
              <w:pStyle w:val="Compact"/>
              <w:jc w:val="left"/>
            </w:pPr>
            <w:r>
              <w:rPr>
                <w:rStyle w:val="VerbatimChar"/>
              </w:rPr>
              <w:t xml:space="preserve">text</w:t>
            </w:r>
          </w:p>
        </w:tc>
        <w:tc>
          <w:tcPr/>
          <w:p>
            <w:pPr>
              <w:pStyle w:val="Compact"/>
            </w:pPr>
          </w:p>
        </w:tc>
      </w:tr>
      <w:tr>
        <w:tc>
          <w:tcPr/>
          <w:p>
            <w:pPr>
              <w:pStyle w:val="Compact"/>
              <w:jc w:val="left"/>
            </w:pPr>
            <w:r>
              <w:rPr>
                <w:rStyle w:val="VerbatimChar"/>
              </w:rPr>
              <w:t xml:space="preserve">track</w:t>
            </w:r>
          </w:p>
        </w:tc>
        <w:tc>
          <w:tcPr/>
          <w:p>
            <w:pPr>
              <w:pStyle w:val="Compact"/>
              <w:jc w:val="left"/>
            </w:pPr>
            <w:r>
              <w:rPr>
                <w:rStyle w:val="VerbatimChar"/>
              </w:rPr>
              <w:t xml:space="preserve">text</w:t>
            </w:r>
          </w:p>
        </w:tc>
        <w:tc>
          <w:tcPr/>
          <w:p>
            <w:pPr>
              <w:pStyle w:val="Compact"/>
            </w:pPr>
          </w:p>
        </w:tc>
      </w:tr>
      <w:tr>
        <w:tc>
          <w:tcPr/>
          <w:p>
            <w:pPr>
              <w:pStyle w:val="Compact"/>
              <w:jc w:val="left"/>
            </w:pPr>
            <w:r>
              <w:rPr>
                <w:rStyle w:val="VerbatimChar"/>
              </w:rPr>
              <w:t xml:space="preserve">status</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'processing' \| 'ai_review_passed' \| 'ai_review_hard_failed' \| 'in_human_review' \| 'accepted' \| 'rejected' \| 'revise_resubmit'</w:t>
            </w:r>
          </w:p>
        </w:tc>
      </w:tr>
      <w:tr>
        <w:tc>
          <w:tcPr/>
          <w:p>
            <w:pPr>
              <w:pStyle w:val="Compact"/>
              <w:jc w:val="left"/>
            </w:pPr>
            <w:r>
              <w:rPr>
                <w:rStyle w:val="VerbatimChar"/>
              </w:rPr>
              <w:t xml:space="preserve">current_version_id</w:t>
            </w:r>
          </w:p>
        </w:tc>
        <w:tc>
          <w:tcPr/>
          <w:p>
            <w:pPr>
              <w:pStyle w:val="Compact"/>
              <w:jc w:val="left"/>
            </w:pPr>
            <w:r>
              <w:rPr>
                <w:rStyle w:val="VerbatimChar"/>
              </w:rPr>
              <w:t xml:space="preserve">uuid</w:t>
            </w:r>
          </w:p>
        </w:tc>
        <w:tc>
          <w:tcPr/>
          <w:p>
            <w:pPr>
              <w:pStyle w:val="Compact"/>
              <w:jc w:val="left"/>
            </w:pPr>
            <w:r>
              <w:t xml:space="preserve">REFERENCES</w:t>
            </w:r>
            <w:r>
              <w:t xml:space="preserve"> </w:t>
            </w:r>
            <w:r>
              <w:rPr>
                <w:rStyle w:val="VerbatimChar"/>
              </w:rPr>
              <w:t xml:space="preserve">submission_versions(id)</w:t>
            </w:r>
            <w:r>
              <w:t xml:space="preserve">, nullable until first version exists — see note below on circular reference</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rPr>
          <w:bCs/>
          <w:b/>
        </w:rPr>
        <w:t xml:space="preserve">Note on the</w:t>
      </w:r>
      <w:r>
        <w:rPr>
          <w:bCs/>
          <w:b/>
        </w:rPr>
        <w:t xml:space="preserve"> </w:t>
      </w:r>
      <w:r>
        <w:rPr>
          <w:rStyle w:val="VerbatimChar"/>
          <w:bCs/>
          <w:b/>
        </w:rPr>
        <w:t xml:space="preserve">submissions</w:t>
      </w:r>
      <w:r>
        <w:rPr>
          <w:bCs/>
          <w:b/>
        </w:rPr>
        <w:t xml:space="preserve"> </w:t>
      </w:r>
      <w:r>
        <w:rPr>
          <w:bCs/>
          <w:b/>
        </w:rPr>
        <w:t xml:space="preserve">↔</w:t>
      </w:r>
      <w:r>
        <w:rPr>
          <w:bCs/>
          <w:b/>
        </w:rPr>
        <w:t xml:space="preserve"> </w:t>
      </w:r>
      <w:r>
        <w:rPr>
          <w:rStyle w:val="VerbatimChar"/>
          <w:bCs/>
          <w:b/>
        </w:rPr>
        <w:t xml:space="preserve">submission_versions</w:t>
      </w:r>
      <w:r>
        <w:rPr>
          <w:bCs/>
          <w:b/>
        </w:rPr>
        <w:t xml:space="preserve"> </w:t>
      </w:r>
      <w:r>
        <w:rPr>
          <w:bCs/>
          <w:b/>
        </w:rPr>
        <w:t xml:space="preserve">circular reference:</w:t>
      </w:r>
      <w:r>
        <w:t xml:space="preserve"> </w:t>
      </w:r>
      <w:r>
        <w:rPr>
          <w:rStyle w:val="VerbatimChar"/>
        </w:rPr>
        <w:t xml:space="preserve">submissions.current_version_id</w:t>
      </w:r>
      <w:r>
        <w:t xml:space="preserve"> </w:t>
      </w:r>
      <w:r>
        <w:t xml:space="preserve">points to a row in</w:t>
      </w:r>
      <w:r>
        <w:t xml:space="preserve"> </w:t>
      </w:r>
      <w:r>
        <w:rPr>
          <w:rStyle w:val="VerbatimChar"/>
        </w:rPr>
        <w:t xml:space="preserve">submission_versions</w:t>
      </w:r>
      <w:r>
        <w:t xml:space="preserve">, which itself has a</w:t>
      </w:r>
      <w:r>
        <w:t xml:space="preserve"> </w:t>
      </w:r>
      <w:r>
        <w:rPr>
          <w:rStyle w:val="VerbatimChar"/>
        </w:rPr>
        <w:t xml:space="preserve">submission_id</w:t>
      </w:r>
      <w:r>
        <w:t xml:space="preserve"> </w:t>
      </w:r>
      <w:r>
        <w:t xml:space="preserve">foreign key back to</w:t>
      </w:r>
      <w:r>
        <w:t xml:space="preserve"> </w:t>
      </w:r>
      <w:r>
        <w:rPr>
          <w:rStyle w:val="VerbatimChar"/>
        </w:rPr>
        <w:t xml:space="preserve">submissions</w:t>
      </w:r>
      <w:r>
        <w:t xml:space="preserve">. Create</w:t>
      </w:r>
      <w:r>
        <w:t xml:space="preserve"> </w:t>
      </w:r>
      <w:r>
        <w:rPr>
          <w:rStyle w:val="VerbatimChar"/>
        </w:rPr>
        <w:t xml:space="preserve">submissions</w:t>
      </w:r>
      <w:r>
        <w:t xml:space="preserve"> </w:t>
      </w:r>
      <w:r>
        <w:t xml:space="preserve">first without the FK constraint enforced immediately (or defer it), insert the first</w:t>
      </w:r>
      <w:r>
        <w:t xml:space="preserve"> </w:t>
      </w:r>
      <w:r>
        <w:rPr>
          <w:rStyle w:val="VerbatimChar"/>
        </w:rPr>
        <w:t xml:space="preserve">submission_versions</w:t>
      </w:r>
      <w:r>
        <w:t xml:space="preserve"> </w:t>
      </w:r>
      <w:r>
        <w:t xml:space="preserve">row, then</w:t>
      </w:r>
      <w:r>
        <w:t xml:space="preserve"> </w:t>
      </w:r>
      <w:r>
        <w:rPr>
          <w:rStyle w:val="VerbatimChar"/>
        </w:rPr>
        <w:t xml:space="preserve">UPDATE submissions SET current_version_id = ...</w:t>
      </w:r>
      <w:r>
        <w:t xml:space="preserve">. In Postgres this is handled cleanly with</w:t>
      </w:r>
      <w:r>
        <w:t xml:space="preserve"> </w:t>
      </w:r>
      <w:r>
        <w:rPr>
          <w:rStyle w:val="VerbatimChar"/>
        </w:rPr>
        <w:t xml:space="preserve">DEFERRABLE INITIALLY DEFERRED</w:t>
      </w:r>
      <w:r>
        <w:t xml:space="preserve"> </w:t>
      </w:r>
      <w:r>
        <w:t xml:space="preserve">on the FK, or simply by not adding a FK constraint on</w:t>
      </w:r>
      <w:r>
        <w:t xml:space="preserve"> </w:t>
      </w:r>
      <w:r>
        <w:rPr>
          <w:rStyle w:val="VerbatimChar"/>
        </w:rPr>
        <w:t xml:space="preserve">current_version_id</w:t>
      </w:r>
      <w:r>
        <w:t xml:space="preserve"> </w:t>
      </w:r>
      <w:r>
        <w:t xml:space="preserve">at all and enforcing the relationship at the application layer — the simpler, recommended prototype approach given the 25-day timeline.</w:t>
      </w:r>
    </w:p>
    <w:p>
      <w:pPr>
        <w:pStyle w:val="BodyText"/>
      </w:pPr>
      <w:r>
        <w:t xml:space="preserve">Indexes:</w:t>
      </w:r>
      <w:r>
        <w:t xml:space="preserve"> </w:t>
      </w:r>
      <w:r>
        <w:rPr>
          <w:rStyle w:val="VerbatimChar"/>
        </w:rPr>
        <w:t xml:space="preserve">CREATE INDEX idx_submissions_researcher ON submissions(researcher_id);</w:t>
      </w:r>
      <w:r>
        <w:t xml:space="preserve"> </w:t>
      </w:r>
      <w:r>
        <w:t xml:space="preserve">and</w:t>
      </w:r>
      <w:r>
        <w:t xml:space="preserve"> </w:t>
      </w:r>
      <w:r>
        <w:rPr>
          <w:rStyle w:val="VerbatimChar"/>
        </w:rPr>
        <w:t xml:space="preserve">CREATE INDEX idx_submissions_conference ON submissions(conference_id);</w:t>
      </w:r>
    </w:p>
    <w:bookmarkEnd w:id="83"/>
    <w:bookmarkStart w:id="84" w:name="submission_versions"/>
    <w:p>
      <w:pPr>
        <w:pStyle w:val="Heading3"/>
      </w:pPr>
      <w:r>
        <w:rPr>
          <w:rStyle w:val="VerbatimChar"/>
        </w:rPr>
        <w:t xml:space="preserve">submission_versions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submission_id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submissions(id)</w:t>
            </w:r>
            <w:r>
              <w:t xml:space="preserve"> </w:t>
            </w:r>
            <w:r>
              <w:t xml:space="preserve">ON DELETE CASCADE</w:t>
            </w:r>
          </w:p>
        </w:tc>
        <w:tc>
          <w:tcPr/>
          <w:p>
            <w:pPr>
              <w:pStyle w:val="Compact"/>
            </w:pPr>
          </w:p>
        </w:tc>
      </w:tr>
      <w:tr>
        <w:tc>
          <w:tcPr/>
          <w:p>
            <w:pPr>
              <w:pStyle w:val="Compact"/>
              <w:jc w:val="left"/>
            </w:pPr>
            <w:r>
              <w:rPr>
                <w:rStyle w:val="VerbatimChar"/>
              </w:rPr>
              <w:t xml:space="preserve">version_number</w:t>
            </w:r>
          </w:p>
        </w:tc>
        <w:tc>
          <w:tcPr/>
          <w:p>
            <w:pPr>
              <w:pStyle w:val="Compact"/>
              <w:jc w:val="left"/>
            </w:pPr>
            <w:r>
              <w:rPr>
                <w:rStyle w:val="VerbatimChar"/>
              </w:rPr>
              <w:t xml:space="preserve">integer</w:t>
            </w:r>
            <w:r>
              <w:t xml:space="preserve"> </w:t>
            </w:r>
            <w:r>
              <w:t xml:space="preserve">NOT NULL</w:t>
            </w:r>
          </w:p>
        </w:tc>
        <w:tc>
          <w:tcPr/>
          <w:p>
            <w:pPr>
              <w:pStyle w:val="Compact"/>
              <w:jc w:val="left"/>
            </w:pPr>
            <w:r>
              <w:t xml:space="preserve">starts at 1, increments on revise-and-resubmit</w:t>
            </w:r>
          </w:p>
        </w:tc>
      </w:tr>
      <w:tr>
        <w:tc>
          <w:tcPr/>
          <w:p>
            <w:pPr>
              <w:pStyle w:val="Compact"/>
              <w:jc w:val="left"/>
            </w:pPr>
            <w:r>
              <w:rPr>
                <w:rStyle w:val="VerbatimChar"/>
              </w:rPr>
              <w:t xml:space="preserve">file_url</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points into object storage (§2.2.5)</w:t>
            </w:r>
          </w:p>
        </w:tc>
      </w:tr>
      <w:tr>
        <w:tc>
          <w:tcPr/>
          <w:p>
            <w:pPr>
              <w:pStyle w:val="Compact"/>
              <w:jc w:val="left"/>
            </w:pPr>
            <w:r>
              <w:rPr>
                <w:rStyle w:val="VerbatimChar"/>
              </w:rPr>
              <w:t xml:space="preserve">file_hash</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SHA-256 of the uploaded file — useful for detecting a researcher re-uploading an unchanged file after a hard-gate rejection (a UX nudge:</w:t>
            </w:r>
            <w:r>
              <w:t xml:space="preserve"> </w:t>
            </w:r>
            <w:r>
              <w:t xml:space="preserve">“</w:t>
            </w:r>
            <w:r>
              <w:t xml:space="preserve">this file is identical to the version that was rejected</w:t>
            </w:r>
            <w:r>
              <w:t xml:space="preserve">”</w:t>
            </w:r>
            <w:r>
              <w:t xml:space="preserve">)</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t xml:space="preserve">Index:</w:t>
      </w:r>
      <w:r>
        <w:t xml:space="preserve"> </w:t>
      </w:r>
      <w:r>
        <w:rPr>
          <w:rStyle w:val="VerbatimChar"/>
        </w:rPr>
        <w:t xml:space="preserve">CREATE INDEX idx_subm_versions_submission ON submission_versions(submission_id);</w:t>
      </w:r>
    </w:p>
    <w:bookmarkEnd w:id="84"/>
    <w:bookmarkStart w:id="85" w:name="ai_reports"/>
    <w:p>
      <w:pPr>
        <w:pStyle w:val="Heading3"/>
      </w:pPr>
      <w:r>
        <w:rPr>
          <w:rStyle w:val="VerbatimChar"/>
        </w:rPr>
        <w:t xml:space="preserve">ai_reports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submission_version_id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submission_versions(id)</w:t>
            </w:r>
            <w:r>
              <w:t xml:space="preserve"> </w:t>
            </w:r>
            <w:r>
              <w:t xml:space="preserve">ON DELETE CASCADE</w:t>
            </w:r>
          </w:p>
        </w:tc>
        <w:tc>
          <w:tcPr/>
          <w:p>
            <w:pPr>
              <w:pStyle w:val="Compact"/>
            </w:pPr>
          </w:p>
        </w:tc>
      </w:tr>
      <w:tr>
        <w:tc>
          <w:tcPr/>
          <w:p>
            <w:pPr>
              <w:pStyle w:val="Compact"/>
              <w:jc w:val="left"/>
            </w:pPr>
            <w:r>
              <w:rPr>
                <w:rStyle w:val="VerbatimChar"/>
              </w:rPr>
              <w:t xml:space="preserve">check_type</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'grammar' \| 'citation' \| 'format' \| 'plagiarism' \| 'ai_text' \| 'table_figure' \| 'logical_consistency'</w:t>
            </w:r>
          </w:p>
        </w:tc>
      </w:tr>
      <w:tr>
        <w:tc>
          <w:tcPr/>
          <w:p>
            <w:pPr>
              <w:pStyle w:val="Compact"/>
              <w:jc w:val="left"/>
            </w:pPr>
            <w:r>
              <w:rPr>
                <w:rStyle w:val="VerbatimChar"/>
              </w:rPr>
              <w:t xml:space="preserve">result_json</w:t>
            </w:r>
          </w:p>
        </w:tc>
        <w:tc>
          <w:tcPr/>
          <w:p>
            <w:pPr>
              <w:pStyle w:val="Compact"/>
              <w:jc w:val="left"/>
            </w:pPr>
            <w:r>
              <w:rPr>
                <w:rStyle w:val="VerbatimChar"/>
              </w:rPr>
              <w:t xml:space="preserve">jsonb</w:t>
            </w:r>
            <w:r>
              <w:t xml:space="preserve"> </w:t>
            </w:r>
            <w:r>
              <w:t xml:space="preserve">NOT NULL</w:t>
            </w:r>
          </w:p>
        </w:tc>
        <w:tc>
          <w:tcPr/>
          <w:p>
            <w:pPr>
              <w:pStyle w:val="Compact"/>
              <w:jc w:val="left"/>
            </w:pPr>
            <w:r>
              <w:t xml:space="preserve">raw structured output of the check (line-item feedback, matched spans reference, etc.)</w:t>
            </w:r>
          </w:p>
        </w:tc>
      </w:tr>
      <w:tr>
        <w:tc>
          <w:tcPr/>
          <w:p>
            <w:pPr>
              <w:pStyle w:val="Compact"/>
              <w:jc w:val="left"/>
            </w:pPr>
            <w:r>
              <w:rPr>
                <w:rStyle w:val="VerbatimChar"/>
              </w:rPr>
              <w:t xml:space="preserve">score</w:t>
            </w:r>
          </w:p>
        </w:tc>
        <w:tc>
          <w:tcPr/>
          <w:p>
            <w:pPr>
              <w:pStyle w:val="Compact"/>
              <w:jc w:val="left"/>
            </w:pPr>
            <w:r>
              <w:rPr>
                <w:rStyle w:val="VerbatimChar"/>
              </w:rPr>
              <w:t xml:space="preserve">numeric</w:t>
            </w:r>
          </w:p>
        </w:tc>
        <w:tc>
          <w:tcPr/>
          <w:p>
            <w:pPr>
              <w:pStyle w:val="Compact"/>
              <w:jc w:val="left"/>
            </w:pPr>
            <w:r>
              <w:t xml:space="preserve">nullable — normalized 0–100 or check-specific unit; used by the Gate Rule Engine against</w:t>
            </w:r>
            <w:r>
              <w:t xml:space="preserve"> </w:t>
            </w:r>
            <w:r>
              <w:rPr>
                <w:rStyle w:val="VerbatimChar"/>
              </w:rPr>
              <w:t xml:space="preserve">gate_rules.threshold_*</w:t>
            </w:r>
          </w:p>
        </w:tc>
      </w:tr>
      <w:tr>
        <w:tc>
          <w:tcPr/>
          <w:p>
            <w:pPr>
              <w:pStyle w:val="Compact"/>
              <w:jc w:val="left"/>
            </w:pPr>
            <w:r>
              <w:rPr>
                <w:rStyle w:val="VerbatimChar"/>
              </w:rPr>
              <w:t xml:space="preserve">pass_fail</w:t>
            </w:r>
          </w:p>
        </w:tc>
        <w:tc>
          <w:tcPr/>
          <w:p>
            <w:pPr>
              <w:pStyle w:val="Compact"/>
              <w:jc w:val="left"/>
            </w:pPr>
            <w:r>
              <w:rPr>
                <w:rStyle w:val="VerbatimChar"/>
              </w:rPr>
              <w:t xml:space="preserve">boolean</w:t>
            </w:r>
          </w:p>
        </w:tc>
        <w:tc>
          <w:tcPr/>
          <w:p>
            <w:pPr>
              <w:pStyle w:val="Compact"/>
              <w:jc w:val="left"/>
            </w:pPr>
            <w:r>
              <w:t xml:space="preserve">nullable — for hard-gate-eligible checks only</w:t>
            </w:r>
          </w:p>
        </w:tc>
      </w:tr>
      <w:tr>
        <w:tc>
          <w:tcPr/>
          <w:p>
            <w:pPr>
              <w:pStyle w:val="Compact"/>
              <w:jc w:val="left"/>
            </w:pPr>
            <w:r>
              <w:rPr>
                <w:rStyle w:val="VerbatimChar"/>
              </w:rPr>
              <w:t xml:space="preserve">flagged</w:t>
            </w:r>
          </w:p>
        </w:tc>
        <w:tc>
          <w:tcPr/>
          <w:p>
            <w:pPr>
              <w:pStyle w:val="Compact"/>
              <w:jc w:val="left"/>
            </w:pPr>
            <w:r>
              <w:rPr>
                <w:rStyle w:val="VerbatimChar"/>
              </w:rPr>
              <w:t xml:space="preserve">boolean</w:t>
            </w:r>
            <w:r>
              <w:t xml:space="preserve"> </w:t>
            </w:r>
            <w:r>
              <w:t xml:space="preserve">NOT NULL</w:t>
            </w:r>
          </w:p>
        </w:tc>
        <w:tc>
          <w:tcPr/>
          <w:p>
            <w:pPr>
              <w:pStyle w:val="Compact"/>
              <w:jc w:val="left"/>
            </w:pPr>
            <w:r>
              <w:rPr>
                <w:rStyle w:val="VerbatimChar"/>
              </w:rPr>
              <w:t xml:space="preserve">default false</w:t>
            </w:r>
            <w:r>
              <w:t xml:space="preserve"> </w:t>
            </w:r>
            <w:r>
              <w:t xml:space="preserve">— soft-flag indicator</w:t>
            </w:r>
          </w:p>
        </w:tc>
      </w:tr>
      <w:tr>
        <w:tc>
          <w:tcPr/>
          <w:p>
            <w:pPr>
              <w:pStyle w:val="Compact"/>
              <w:jc w:val="left"/>
            </w:pPr>
            <w:r>
              <w:rPr>
                <w:rStyle w:val="VerbatimChar"/>
              </w:rPr>
              <w:t xml:space="preserve">model_version</w:t>
            </w:r>
          </w:p>
        </w:tc>
        <w:tc>
          <w:tcPr/>
          <w:p>
            <w:pPr>
              <w:pStyle w:val="Compact"/>
              <w:jc w:val="left"/>
            </w:pPr>
            <w:r>
              <w:rPr>
                <w:rStyle w:val="VerbatimChar"/>
              </w:rPr>
              <w:t xml:space="preserve">text</w:t>
            </w:r>
          </w:p>
        </w:tc>
        <w:tc>
          <w:tcPr/>
          <w:p>
            <w:pPr>
              <w:pStyle w:val="Compact"/>
              <w:jc w:val="left"/>
            </w:pPr>
            <w:r>
              <w:t xml:space="preserve">e.g. </w:t>
            </w:r>
            <w:r>
              <w:rPr>
                <w:rStyle w:val="VerbatimChar"/>
              </w:rPr>
              <w:t xml:space="preserve">'binoculars+fastdetectgpt-v1'</w:t>
            </w:r>
            <w:r>
              <w:t xml:space="preserve">,</w:t>
            </w:r>
            <w:r>
              <w:t xml:space="preserve"> </w:t>
            </w:r>
            <w:r>
              <w:rPr>
                <w:rStyle w:val="VerbatimChar"/>
              </w:rPr>
              <w:t xml:space="preserve">'grobid-0.9.0'</w:t>
            </w:r>
            <w:r>
              <w:t xml:space="preserve"> </w:t>
            </w:r>
            <w:r>
              <w:t xml:space="preserve">—</w:t>
            </w:r>
            <w:r>
              <w:t xml:space="preserve"> </w:t>
            </w:r>
            <w:r>
              <w:rPr>
                <w:bCs/>
                <w:b/>
              </w:rPr>
              <w:t xml:space="preserve">important for reproducibility and for explaining a flag months later when the underlying model has been updated</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t xml:space="preserve">Indexes:</w:t>
      </w:r>
      <w:r>
        <w:t xml:space="preserve"> </w:t>
      </w:r>
      <w:r>
        <w:rPr>
          <w:rStyle w:val="VerbatimChar"/>
        </w:rPr>
        <w:t xml:space="preserve">CREATE INDEX idx_ai_reports_version ON ai_reports(submission_version_id);</w:t>
      </w:r>
      <w:r>
        <w:t xml:space="preserve"> </w:t>
      </w:r>
      <w:r>
        <w:t xml:space="preserve">and</w:t>
      </w:r>
      <w:r>
        <w:t xml:space="preserve"> </w:t>
      </w:r>
      <w:r>
        <w:rPr>
          <w:rStyle w:val="VerbatimChar"/>
        </w:rPr>
        <w:t xml:space="preserve">CREATE INDEX idx_ai_reports_check_type ON ai_reports(check_type);</w:t>
      </w:r>
    </w:p>
    <w:bookmarkEnd w:id="85"/>
    <w:bookmarkStart w:id="86" w:name="plagiarism_matches-new-see-4.2"/>
    <w:p>
      <w:pPr>
        <w:pStyle w:val="Heading3"/>
      </w:pPr>
      <w:r>
        <w:rPr>
          <w:rStyle w:val="VerbatimChar"/>
        </w:rPr>
        <w:t xml:space="preserve">plagiarism_matches</w:t>
      </w:r>
      <w:r>
        <w:t xml:space="preserve"> </w:t>
      </w:r>
      <w:r>
        <w:rPr>
          <w:iCs/>
          <w:i/>
        </w:rPr>
        <w:t xml:space="preserve">(new — see §4.2)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ai_report_id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ai_reports(id)</w:t>
            </w:r>
            <w:r>
              <w:t xml:space="preserve"> </w:t>
            </w:r>
            <w:r>
              <w:t xml:space="preserve">ON DELETE CASCADE</w:t>
            </w:r>
          </w:p>
        </w:tc>
        <w:tc>
          <w:tcPr/>
          <w:p>
            <w:pPr>
              <w:pStyle w:val="Compact"/>
              <w:jc w:val="left"/>
            </w:pPr>
            <w:r>
              <w:t xml:space="preserve">must reference an</w:t>
            </w:r>
            <w:r>
              <w:t xml:space="preserve"> </w:t>
            </w:r>
            <w:r>
              <w:rPr>
                <w:rStyle w:val="VerbatimChar"/>
              </w:rPr>
              <w:t xml:space="preserve">ai_reports</w:t>
            </w:r>
            <w:r>
              <w:t xml:space="preserve"> </w:t>
            </w:r>
            <w:r>
              <w:t xml:space="preserve">row where</w:t>
            </w:r>
            <w:r>
              <w:t xml:space="preserve"> </w:t>
            </w:r>
            <w:r>
              <w:rPr>
                <w:rStyle w:val="VerbatimChar"/>
              </w:rPr>
              <w:t xml:space="preserve">check_type = 'plagiarism'</w:t>
            </w:r>
            <w:r>
              <w:t xml:space="preserve"> </w:t>
            </w:r>
            <w:r>
              <w:t xml:space="preserve">(enforce at application layer)</w:t>
            </w:r>
          </w:p>
        </w:tc>
      </w:tr>
      <w:tr>
        <w:tc>
          <w:tcPr/>
          <w:p>
            <w:pPr>
              <w:pStyle w:val="Compact"/>
              <w:jc w:val="left"/>
            </w:pPr>
            <w:r>
              <w:rPr>
                <w:rStyle w:val="VerbatimChar"/>
              </w:rPr>
              <w:t xml:space="preserve">matched_paper_ext_id</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external ID (DOI / arXiv ID / S2 corpus ID) of the matched reference-corpus paper</w:t>
            </w:r>
          </w:p>
        </w:tc>
      </w:tr>
      <w:tr>
        <w:tc>
          <w:tcPr/>
          <w:p>
            <w:pPr>
              <w:pStyle w:val="Compact"/>
              <w:jc w:val="left"/>
            </w:pPr>
            <w:r>
              <w:rPr>
                <w:rStyle w:val="VerbatimChar"/>
              </w:rPr>
              <w:t xml:space="preserve">matched_span</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the specific span of the</w:t>
            </w:r>
            <w:r>
              <w:t xml:space="preserve"> </w:t>
            </w:r>
            <w:r>
              <w:rPr>
                <w:iCs/>
                <w:i/>
              </w:rPr>
              <w:t xml:space="preserve">submitted</w:t>
            </w:r>
            <w:r>
              <w:t xml:space="preserve"> </w:t>
            </w:r>
            <w:r>
              <w:t xml:space="preserve">paper’s text that matched, for source-highlighting transparency (§1.7)</w:t>
            </w:r>
          </w:p>
        </w:tc>
      </w:tr>
      <w:tr>
        <w:tc>
          <w:tcPr/>
          <w:p>
            <w:pPr>
              <w:pStyle w:val="Compact"/>
              <w:jc w:val="left"/>
            </w:pPr>
            <w:r>
              <w:rPr>
                <w:rStyle w:val="VerbatimChar"/>
              </w:rPr>
              <w:t xml:space="preserve">similarity_score</w:t>
            </w:r>
          </w:p>
        </w:tc>
        <w:tc>
          <w:tcPr/>
          <w:p>
            <w:pPr>
              <w:pStyle w:val="Compact"/>
              <w:jc w:val="left"/>
            </w:pPr>
            <w:r>
              <w:rPr>
                <w:rStyle w:val="VerbatimChar"/>
              </w:rPr>
              <w:t xml:space="preserve">numeric</w:t>
            </w:r>
            <w:r>
              <w:t xml:space="preserve"> </w:t>
            </w:r>
            <w:r>
              <w:t xml:space="preserve">NOT NULL</w:t>
            </w:r>
          </w:p>
        </w:tc>
        <w:tc>
          <w:tcPr/>
          <w:p>
            <w:pPr>
              <w:pStyle w:val="Compact"/>
            </w:pPr>
          </w:p>
        </w:tc>
      </w:tr>
      <w:tr>
        <w:tc>
          <w:tcPr/>
          <w:p>
            <w:pPr>
              <w:pStyle w:val="Compact"/>
              <w:jc w:val="left"/>
            </w:pPr>
            <w:r>
              <w:rPr>
                <w:rStyle w:val="VerbatimChar"/>
              </w:rPr>
              <w:t xml:space="preserve">source</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'corpus_embedding' \| 'corpus_minhash' \| 'live'</w:t>
            </w:r>
            <w:r>
              <w:t xml:space="preserve"> </w:t>
            </w:r>
            <w:r>
              <w:t xml:space="preserve">—</w:t>
            </w:r>
            <w:r>
              <w:t xml:space="preserve"> </w:t>
            </w:r>
            <w:r>
              <w:rPr>
                <w:rStyle w:val="VerbatimChar"/>
              </w:rPr>
              <w:t xml:space="preserve">'live'</w:t>
            </w:r>
            <w:r>
              <w:t xml:space="preserve"> </w:t>
            </w:r>
            <w:r>
              <w:t xml:space="preserve">reserved for a possible future live-comparison path; the prototype only ever writes</w:t>
            </w:r>
            <w:r>
              <w:t xml:space="preserve"> </w:t>
            </w:r>
            <w:r>
              <w:rPr>
                <w:rStyle w:val="VerbatimChar"/>
              </w:rPr>
              <w:t xml:space="preserve">'corpus_embedding'</w:t>
            </w:r>
            <w:r>
              <w:t xml:space="preserve"> </w:t>
            </w:r>
            <w:r>
              <w:t xml:space="preserve">or</w:t>
            </w:r>
            <w:r>
              <w:t xml:space="preserve"> </w:t>
            </w:r>
            <w:r>
              <w:rPr>
                <w:rStyle w:val="VerbatimChar"/>
              </w:rPr>
              <w:t xml:space="preserve">'corpus_minhash'</w:t>
            </w:r>
            <w:r>
              <w:t xml:space="preserve"> </w:t>
            </w:r>
            <w:r>
              <w:t xml:space="preserve">per §2.2.6’s local-corpus-only design</w:t>
            </w:r>
          </w:p>
        </w:tc>
      </w:tr>
    </w:tbl>
    <w:p>
      <w:pPr>
        <w:pStyle w:val="BodyText"/>
      </w:pPr>
      <w:r>
        <w:t xml:space="preserve">Index:</w:t>
      </w:r>
      <w:r>
        <w:t xml:space="preserve"> </w:t>
      </w:r>
      <w:r>
        <w:rPr>
          <w:rStyle w:val="VerbatimChar"/>
        </w:rPr>
        <w:t xml:space="preserve">CREATE INDEX idx_plag_matches_report ON plagiarism_matches(ai_report_id);</w:t>
      </w:r>
    </w:p>
    <w:bookmarkEnd w:id="86"/>
    <w:bookmarkStart w:id="87" w:name="reviewer_assignments"/>
    <w:p>
      <w:pPr>
        <w:pStyle w:val="Heading3"/>
      </w:pPr>
      <w:r>
        <w:rPr>
          <w:rStyle w:val="VerbatimChar"/>
        </w:rPr>
        <w:t xml:space="preserve">reviewer_assignments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submission_id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submissions(id)</w:t>
            </w:r>
            <w:r>
              <w:t xml:space="preserve"> </w:t>
            </w:r>
            <w:r>
              <w:t xml:space="preserve">ON DELETE CASCADE</w:t>
            </w:r>
          </w:p>
        </w:tc>
        <w:tc>
          <w:tcPr/>
          <w:p>
            <w:pPr>
              <w:pStyle w:val="Compact"/>
            </w:pPr>
          </w:p>
        </w:tc>
      </w:tr>
      <w:tr>
        <w:tc>
          <w:tcPr/>
          <w:p>
            <w:pPr>
              <w:pStyle w:val="Compact"/>
              <w:jc w:val="left"/>
            </w:pPr>
            <w:r>
              <w:rPr>
                <w:rStyle w:val="VerbatimChar"/>
              </w:rPr>
              <w:t xml:space="preserve">reviewer_id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p>
        </w:tc>
        <w:tc>
          <w:tcPr/>
          <w:p>
            <w:pPr>
              <w:pStyle w:val="Compact"/>
            </w:pPr>
          </w:p>
        </w:tc>
      </w:tr>
      <w:tr>
        <w:tc>
          <w:tcPr/>
          <w:p>
            <w:pPr>
              <w:pStyle w:val="Compact"/>
              <w:jc w:val="left"/>
            </w:pPr>
            <w:r>
              <w:rPr>
                <w:rStyle w:val="VerbatimChar"/>
              </w:rPr>
              <w:t xml:space="preserve">assigned_at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r>
        <w:tc>
          <w:tcPr/>
          <w:p>
            <w:pPr>
              <w:pStyle w:val="Compact"/>
              <w:jc w:val="left"/>
            </w:pPr>
            <w:r>
              <w:rPr>
                <w:rStyle w:val="VerbatimChar"/>
              </w:rPr>
              <w:t xml:space="preserve">status</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'assigned' \| 'in_progress' \| 'submitted'</w:t>
            </w:r>
          </w:p>
        </w:tc>
      </w:tr>
    </w:tbl>
    <w:p>
      <w:pPr>
        <w:pStyle w:val="BodyText"/>
      </w:pPr>
      <w:r>
        <w:t xml:space="preserve">Index:</w:t>
      </w:r>
      <w:r>
        <w:t xml:space="preserve"> </w:t>
      </w:r>
      <w:r>
        <w:rPr>
          <w:rStyle w:val="VerbatimChar"/>
        </w:rPr>
        <w:t xml:space="preserve">CREATE UNIQUE INDEX idx_reviewer_assign_unique ON reviewer_assignments(submission_id, reviewer_id);</w:t>
      </w:r>
    </w:p>
    <w:bookmarkEnd w:id="87"/>
    <w:bookmarkStart w:id="88" w:name="reviews"/>
    <w:p>
      <w:pPr>
        <w:pStyle w:val="Heading3"/>
      </w:pPr>
      <w:r>
        <w:rPr>
          <w:rStyle w:val="VerbatimChar"/>
        </w:rPr>
        <w:t xml:space="preserve">reviews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reviewer_assignment_id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reviewer_assignments(id)</w:t>
            </w:r>
            <w:r>
              <w:t xml:space="preserve"> </w:t>
            </w:r>
            <w:r>
              <w:t xml:space="preserve">ON DELETE CASCADE</w:t>
            </w:r>
          </w:p>
        </w:tc>
        <w:tc>
          <w:tcPr/>
          <w:p>
            <w:pPr>
              <w:pStyle w:val="Compact"/>
            </w:pPr>
          </w:p>
        </w:tc>
      </w:tr>
      <w:tr>
        <w:tc>
          <w:tcPr/>
          <w:p>
            <w:pPr>
              <w:pStyle w:val="Compact"/>
              <w:jc w:val="left"/>
            </w:pPr>
            <w:r>
              <w:rPr>
                <w:rStyle w:val="VerbatimChar"/>
              </w:rPr>
              <w:t xml:space="preserve">score</w:t>
            </w:r>
          </w:p>
        </w:tc>
        <w:tc>
          <w:tcPr/>
          <w:p>
            <w:pPr>
              <w:pStyle w:val="Compact"/>
              <w:jc w:val="left"/>
            </w:pPr>
            <w:r>
              <w:rPr>
                <w:rStyle w:val="VerbatimChar"/>
              </w:rPr>
              <w:t xml:space="preserve">numeric</w:t>
            </w:r>
          </w:p>
        </w:tc>
        <w:tc>
          <w:tcPr/>
          <w:p>
            <w:pPr>
              <w:pStyle w:val="Compact"/>
              <w:jc w:val="left"/>
            </w:pPr>
            <w:r>
              <w:t xml:space="preserve">nullable, organizer-defined scale —</w:t>
            </w:r>
            <w:r>
              <w:t xml:space="preserve"> </w:t>
            </w:r>
            <w:r>
              <w:rPr>
                <w:bCs/>
                <w:b/>
              </w:rPr>
              <w:t xml:space="preserve">[ASSUMPTION]</w:t>
            </w:r>
            <w:r>
              <w:t xml:space="preserve"> </w:t>
            </w:r>
            <w:r>
              <w:t xml:space="preserve">1–5 integer scale as the prototype default, since the original spec does not specify a scale</w:t>
            </w:r>
          </w:p>
        </w:tc>
      </w:tr>
      <w:tr>
        <w:tc>
          <w:tcPr/>
          <w:p>
            <w:pPr>
              <w:pStyle w:val="Compact"/>
              <w:jc w:val="left"/>
            </w:pPr>
            <w:r>
              <w:rPr>
                <w:rStyle w:val="VerbatimChar"/>
              </w:rPr>
              <w:t xml:space="preserve">comments</w:t>
            </w:r>
          </w:p>
        </w:tc>
        <w:tc>
          <w:tcPr/>
          <w:p>
            <w:pPr>
              <w:pStyle w:val="Compact"/>
              <w:jc w:val="left"/>
            </w:pPr>
            <w:r>
              <w:rPr>
                <w:rStyle w:val="VerbatimChar"/>
              </w:rPr>
              <w:t xml:space="preserve">text</w:t>
            </w:r>
          </w:p>
        </w:tc>
        <w:tc>
          <w:tcPr/>
          <w:p>
            <w:pPr>
              <w:pStyle w:val="Compact"/>
            </w:pPr>
          </w:p>
        </w:tc>
      </w:tr>
      <w:tr>
        <w:tc>
          <w:tcPr/>
          <w:p>
            <w:pPr>
              <w:pStyle w:val="Compact"/>
              <w:jc w:val="left"/>
            </w:pPr>
            <w:r>
              <w:rPr>
                <w:rStyle w:val="VerbatimChar"/>
              </w:rPr>
              <w:t xml:space="preserve">recommendation</w:t>
            </w:r>
          </w:p>
        </w:tc>
        <w:tc>
          <w:tcPr/>
          <w:p>
            <w:pPr>
              <w:pStyle w:val="Compact"/>
              <w:jc w:val="left"/>
            </w:pPr>
            <w:r>
              <w:rPr>
                <w:rStyle w:val="VerbatimChar"/>
              </w:rPr>
              <w:t xml:space="preserve">text</w:t>
            </w:r>
          </w:p>
        </w:tc>
        <w:tc>
          <w:tcPr/>
          <w:p>
            <w:pPr>
              <w:pStyle w:val="Compact"/>
              <w:jc w:val="left"/>
            </w:pPr>
            <w:r>
              <w:rPr>
                <w:rStyle w:val="VerbatimChar"/>
              </w:rPr>
              <w:t xml:space="preserve">'accept' \| 'reject' \| 'revise'</w:t>
            </w:r>
          </w:p>
        </w:tc>
      </w:tr>
      <w:tr>
        <w:tc>
          <w:tcPr/>
          <w:p>
            <w:pPr>
              <w:pStyle w:val="Compact"/>
              <w:jc w:val="left"/>
            </w:pPr>
            <w:r>
              <w:rPr>
                <w:rStyle w:val="VerbatimChar"/>
              </w:rPr>
              <w:t xml:space="preserve">submitted_at</w:t>
            </w:r>
          </w:p>
        </w:tc>
        <w:tc>
          <w:tcPr/>
          <w:p>
            <w:pPr>
              <w:pStyle w:val="Compact"/>
              <w:jc w:val="left"/>
            </w:pPr>
            <w:r>
              <w:rPr>
                <w:rStyle w:val="VerbatimChar"/>
              </w:rPr>
              <w:t xml:space="preserve">timestamptz</w:t>
            </w:r>
          </w:p>
        </w:tc>
        <w:tc>
          <w:tcPr/>
          <w:p>
            <w:pPr>
              <w:pStyle w:val="Compact"/>
              <w:jc w:val="left"/>
            </w:pPr>
            <w:r>
              <w:t xml:space="preserve">nullable until submitted</w:t>
            </w:r>
          </w:p>
        </w:tc>
      </w:tr>
    </w:tbl>
    <w:bookmarkEnd w:id="88"/>
    <w:bookmarkStart w:id="89" w:name="cross_conference_links"/>
    <w:p>
      <w:pPr>
        <w:pStyle w:val="Heading3"/>
      </w:pPr>
      <w:r>
        <w:rPr>
          <w:rStyle w:val="VerbatimChar"/>
        </w:rPr>
        <w:t xml:space="preserve">cross_conference_links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submission_id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submissions(id)</w:t>
            </w:r>
            <w:r>
              <w:t xml:space="preserve"> </w:t>
            </w:r>
            <w:r>
              <w:t xml:space="preserve">ON DELETE CASCADE</w:t>
            </w:r>
          </w:p>
        </w:tc>
        <w:tc>
          <w:tcPr/>
          <w:p>
            <w:pPr>
              <w:pStyle w:val="Compact"/>
              <w:jc w:val="left"/>
            </w:pPr>
            <w:r>
              <w:t xml:space="preserve">the</w:t>
            </w:r>
            <w:r>
              <w:t xml:space="preserve"> </w:t>
            </w:r>
            <w:r>
              <w:rPr>
                <w:iCs/>
                <w:i/>
              </w:rPr>
              <w:t xml:space="preserve">new</w:t>
            </w:r>
            <w:r>
              <w:t xml:space="preserve"> </w:t>
            </w:r>
            <w:r>
              <w:t xml:space="preserve">submission</w:t>
            </w:r>
          </w:p>
        </w:tc>
      </w:tr>
      <w:tr>
        <w:tc>
          <w:tcPr/>
          <w:p>
            <w:pPr>
              <w:pStyle w:val="Compact"/>
              <w:jc w:val="left"/>
            </w:pPr>
            <w:r>
              <w:rPr>
                <w:rStyle w:val="VerbatimChar"/>
              </w:rPr>
              <w:t xml:space="preserve">related_submission_id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submissions(id)</w:t>
            </w:r>
          </w:p>
        </w:tc>
        <w:tc>
          <w:tcPr/>
          <w:p>
            <w:pPr>
              <w:pStyle w:val="Compact"/>
              <w:jc w:val="left"/>
            </w:pPr>
            <w:r>
              <w:t xml:space="preserve">the prior, possibly-related submission at a different conference</w:t>
            </w:r>
          </w:p>
        </w:tc>
      </w:tr>
      <w:tr>
        <w:tc>
          <w:tcPr/>
          <w:p>
            <w:pPr>
              <w:pStyle w:val="Compact"/>
              <w:jc w:val="left"/>
            </w:pPr>
            <w:r>
              <w:rPr>
                <w:rStyle w:val="VerbatimChar"/>
              </w:rPr>
              <w:t xml:space="preserve">summary_text</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the ~200-word LLM-generated summary (§1.5, §3.5)</w:t>
            </w:r>
          </w:p>
        </w:tc>
      </w:tr>
      <w:tr>
        <w:tc>
          <w:tcPr/>
          <w:p>
            <w:pPr>
              <w:pStyle w:val="Compact"/>
              <w:jc w:val="left"/>
            </w:pPr>
            <w:r>
              <w:rPr>
                <w:rStyle w:val="VerbatimChar"/>
              </w:rPr>
              <w:t xml:space="preserve">generated_at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r>
        <w:tc>
          <w:tcPr/>
          <w:p>
            <w:pPr>
              <w:pStyle w:val="Compact"/>
              <w:jc w:val="left"/>
            </w:pPr>
            <w:r>
              <w:rPr>
                <w:rStyle w:val="VerbatimChar"/>
              </w:rPr>
              <w:t xml:space="preserve">model_version</w:t>
            </w:r>
          </w:p>
        </w:tc>
        <w:tc>
          <w:tcPr/>
          <w:p>
            <w:pPr>
              <w:pStyle w:val="Compact"/>
              <w:jc w:val="left"/>
            </w:pPr>
            <w:r>
              <w:rPr>
                <w:rStyle w:val="VerbatimChar"/>
              </w:rPr>
              <w:t xml:space="preserve">text</w:t>
            </w:r>
          </w:p>
        </w:tc>
        <w:tc>
          <w:tcPr/>
          <w:p>
            <w:pPr>
              <w:pStyle w:val="Compact"/>
              <w:jc w:val="left"/>
            </w:pPr>
            <w:r>
              <w:t xml:space="preserve">e.g. </w:t>
            </w:r>
            <w:r>
              <w:rPr>
                <w:rStyle w:val="VerbatimChar"/>
              </w:rPr>
              <w:t xml:space="preserve">'qwen2.5-7b-instruct-q4'</w:t>
            </w:r>
          </w:p>
        </w:tc>
      </w:tr>
      <w:tr>
        <w:tc>
          <w:tcPr/>
          <w:p>
            <w:pPr>
              <w:pStyle w:val="Compact"/>
              <w:jc w:val="left"/>
            </w:pPr>
            <w:r>
              <w:rPr>
                <w:rStyle w:val="VerbatimChar"/>
              </w:rPr>
              <w:t xml:space="preserve">match_confidence</w:t>
            </w:r>
          </w:p>
        </w:tc>
        <w:tc>
          <w:tcPr/>
          <w:p>
            <w:pPr>
              <w:pStyle w:val="Compact"/>
              <w:jc w:val="left"/>
            </w:pPr>
            <w:r>
              <w:rPr>
                <w:rStyle w:val="VerbatimChar"/>
              </w:rPr>
              <w:t xml:space="preserve">text</w:t>
            </w:r>
          </w:p>
        </w:tc>
        <w:tc>
          <w:tcPr/>
          <w:p>
            <w:pPr>
              <w:pStyle w:val="Compact"/>
              <w:jc w:val="left"/>
            </w:pPr>
            <w:r>
              <w:rPr>
                <w:bCs/>
                <w:b/>
              </w:rPr>
              <w:t xml:space="preserve">[ASSUMPTION, new field not in original schema]</w:t>
            </w:r>
            <w:r>
              <w:t xml:space="preserve"> </w:t>
            </w:r>
            <w:r>
              <w:rPr>
                <w:rStyle w:val="VerbatimChar"/>
              </w:rPr>
              <w:t xml:space="preserve">'possible' \| 'likely'</w:t>
            </w:r>
            <w:r>
              <w:t xml:space="preserve"> </w:t>
            </w:r>
            <w:r>
              <w:t xml:space="preserve">— surfaces the fuzzy-match caveat from §1.5 directly in the data model rather than leaving it implicit</w:t>
            </w:r>
          </w:p>
        </w:tc>
      </w:tr>
    </w:tbl>
    <w:p>
      <w:pPr>
        <w:pStyle w:val="BodyText"/>
      </w:pPr>
      <w:r>
        <w:t xml:space="preserve">Index:</w:t>
      </w:r>
      <w:r>
        <w:t xml:space="preserve"> </w:t>
      </w:r>
      <w:r>
        <w:rPr>
          <w:rStyle w:val="VerbatimChar"/>
        </w:rPr>
        <w:t xml:space="preserve">CREATE INDEX idx_cc_links_submission ON cross_conference_links(submission_id);</w:t>
      </w:r>
    </w:p>
    <w:bookmarkEnd w:id="89"/>
    <w:bookmarkStart w:id="90" w:name="notifications"/>
    <w:p>
      <w:pPr>
        <w:pStyle w:val="Heading3"/>
      </w:pPr>
      <w:r>
        <w:rPr>
          <w:rStyle w:val="VerbatimChar"/>
        </w:rPr>
        <w:t xml:space="preserve">notifications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user_id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r>
              <w:t xml:space="preserve"> </w:t>
            </w:r>
            <w:r>
              <w:t xml:space="preserve">ON DELETE CASCADE</w:t>
            </w:r>
          </w:p>
        </w:tc>
        <w:tc>
          <w:tcPr/>
          <w:p>
            <w:pPr>
              <w:pStyle w:val="Compact"/>
            </w:pPr>
          </w:p>
        </w:tc>
      </w:tr>
      <w:tr>
        <w:tc>
          <w:tcPr/>
          <w:p>
            <w:pPr>
              <w:pStyle w:val="Compact"/>
              <w:jc w:val="left"/>
            </w:pPr>
            <w:r>
              <w:rPr>
                <w:rStyle w:val="VerbatimChar"/>
              </w:rPr>
              <w:t xml:space="preserve">type</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e.g. </w:t>
            </w:r>
            <w:r>
              <w:rPr>
                <w:rStyle w:val="VerbatimChar"/>
              </w:rPr>
              <w:t xml:space="preserve">'submission_received' \| 'ai_report_ready' \| 'hard_gate_rejected' \| 'review_assigned' \| 'decision_made'</w:t>
            </w:r>
          </w:p>
        </w:tc>
      </w:tr>
      <w:tr>
        <w:tc>
          <w:tcPr/>
          <w:p>
            <w:pPr>
              <w:pStyle w:val="Compact"/>
              <w:jc w:val="left"/>
            </w:pPr>
            <w:r>
              <w:rPr>
                <w:rStyle w:val="VerbatimChar"/>
              </w:rPr>
              <w:t xml:space="preserve">message</w:t>
            </w:r>
          </w:p>
        </w:tc>
        <w:tc>
          <w:tcPr/>
          <w:p>
            <w:pPr>
              <w:pStyle w:val="Compact"/>
              <w:jc w:val="left"/>
            </w:pPr>
            <w:r>
              <w:rPr>
                <w:rStyle w:val="VerbatimChar"/>
              </w:rPr>
              <w:t xml:space="preserve">text</w:t>
            </w:r>
            <w:r>
              <w:t xml:space="preserve"> </w:t>
            </w:r>
            <w:r>
              <w:t xml:space="preserve">NOT NULL</w:t>
            </w:r>
          </w:p>
        </w:tc>
        <w:tc>
          <w:tcPr/>
          <w:p>
            <w:pPr>
              <w:pStyle w:val="Compact"/>
            </w:pPr>
          </w:p>
        </w:tc>
      </w:tr>
      <w:tr>
        <w:tc>
          <w:tcPr/>
          <w:p>
            <w:pPr>
              <w:pStyle w:val="Compact"/>
              <w:jc w:val="left"/>
            </w:pPr>
            <w:r>
              <w:rPr>
                <w:rStyle w:val="VerbatimChar"/>
              </w:rPr>
              <w:t xml:space="preserve">read_status</w:t>
            </w:r>
          </w:p>
        </w:tc>
        <w:tc>
          <w:tcPr/>
          <w:p>
            <w:pPr>
              <w:pStyle w:val="Compact"/>
              <w:jc w:val="left"/>
            </w:pPr>
            <w:r>
              <w:rPr>
                <w:rStyle w:val="VerbatimChar"/>
              </w:rPr>
              <w:t xml:space="preserve">boolean</w:t>
            </w:r>
            <w:r>
              <w:t xml:space="preserve"> </w:t>
            </w:r>
            <w:r>
              <w:t xml:space="preserve">NOT NULL</w:t>
            </w:r>
          </w:p>
        </w:tc>
        <w:tc>
          <w:tcPr/>
          <w:p>
            <w:pPr>
              <w:pStyle w:val="Compact"/>
              <w:jc w:val="left"/>
            </w:pPr>
            <w:r>
              <w:rPr>
                <w:rStyle w:val="VerbatimChar"/>
              </w:rPr>
              <w:t xml:space="preserve">default false</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t xml:space="preserve">Index:</w:t>
      </w:r>
      <w:r>
        <w:t xml:space="preserve"> </w:t>
      </w:r>
      <w:r>
        <w:rPr>
          <w:rStyle w:val="VerbatimChar"/>
        </w:rPr>
        <w:t xml:space="preserve">CREATE INDEX idx_notifications_user ON notifications(user_id, read_status);</w:t>
      </w:r>
    </w:p>
    <w:bookmarkEnd w:id="90"/>
    <w:bookmarkStart w:id="91" w:name="reference_corpus_papers-new-see-4.2-3.4"/>
    <w:p>
      <w:pPr>
        <w:pStyle w:val="Heading3"/>
      </w:pPr>
      <w:r>
        <w:rPr>
          <w:rStyle w:val="VerbatimChar"/>
        </w:rPr>
        <w:t xml:space="preserve">reference_corpus_papers</w:t>
      </w:r>
      <w:r>
        <w:t xml:space="preserve"> </w:t>
      </w:r>
      <w:r>
        <w:rPr>
          <w:iCs/>
          <w:i/>
        </w:rPr>
        <w:t xml:space="preserve">(new — see §4.2, §3.4)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source</w:t>
            </w:r>
          </w:p>
        </w:tc>
        <w:tc>
          <w:tcPr/>
          <w:p>
            <w:pPr>
              <w:pStyle w:val="Compact"/>
              <w:jc w:val="left"/>
            </w:pPr>
            <w:r>
              <w:rPr>
                <w:rStyle w:val="VerbatimChar"/>
              </w:rPr>
              <w:t xml:space="preserve">text</w:t>
            </w:r>
            <w:r>
              <w:t xml:space="preserve"> </w:t>
            </w:r>
            <w:r>
              <w:t xml:space="preserve">NOT NULL</w:t>
            </w:r>
          </w:p>
        </w:tc>
        <w:tc>
          <w:tcPr/>
          <w:p>
            <w:pPr>
              <w:pStyle w:val="Compact"/>
              <w:jc w:val="left"/>
            </w:pPr>
            <w:r>
              <w:rPr>
                <w:rStyle w:val="VerbatimChar"/>
              </w:rPr>
              <w:t xml:space="preserve">'s2ag' \| 'arxiv' \| 'core'</w:t>
            </w:r>
          </w:p>
        </w:tc>
      </w:tr>
      <w:tr>
        <w:tc>
          <w:tcPr/>
          <w:p>
            <w:pPr>
              <w:pStyle w:val="Compact"/>
              <w:jc w:val="left"/>
            </w:pPr>
            <w:r>
              <w:rPr>
                <w:rStyle w:val="VerbatimChar"/>
              </w:rPr>
              <w:t xml:space="preserve">external_id</w:t>
            </w:r>
          </w:p>
        </w:tc>
        <w:tc>
          <w:tcPr/>
          <w:p>
            <w:pPr>
              <w:pStyle w:val="Compact"/>
              <w:jc w:val="left"/>
            </w:pPr>
            <w:r>
              <w:rPr>
                <w:rStyle w:val="VerbatimChar"/>
              </w:rPr>
              <w:t xml:space="preserve">text</w:t>
            </w:r>
            <w:r>
              <w:t xml:space="preserve"> </w:t>
            </w:r>
            <w:r>
              <w:t xml:space="preserve">NOT NULL</w:t>
            </w:r>
          </w:p>
        </w:tc>
        <w:tc>
          <w:tcPr/>
          <w:p>
            <w:pPr>
              <w:pStyle w:val="Compact"/>
              <w:jc w:val="left"/>
            </w:pPr>
            <w:r>
              <w:t xml:space="preserve">DOI / arXiv ID / S2 corpus ID</w:t>
            </w:r>
          </w:p>
        </w:tc>
      </w:tr>
      <w:tr>
        <w:tc>
          <w:tcPr/>
          <w:p>
            <w:pPr>
              <w:pStyle w:val="Compact"/>
              <w:jc w:val="left"/>
            </w:pPr>
            <w:r>
              <w:rPr>
                <w:rStyle w:val="VerbatimChar"/>
              </w:rPr>
              <w:t xml:space="preserve">title</w:t>
            </w:r>
          </w:p>
        </w:tc>
        <w:tc>
          <w:tcPr/>
          <w:p>
            <w:pPr>
              <w:pStyle w:val="Compact"/>
              <w:jc w:val="left"/>
            </w:pPr>
            <w:r>
              <w:rPr>
                <w:rStyle w:val="VerbatimChar"/>
              </w:rPr>
              <w:t xml:space="preserve">text</w:t>
            </w:r>
            <w:r>
              <w:t xml:space="preserve"> </w:t>
            </w:r>
            <w:r>
              <w:t xml:space="preserve">NOT NULL</w:t>
            </w:r>
          </w:p>
        </w:tc>
        <w:tc>
          <w:tcPr/>
          <w:p>
            <w:pPr>
              <w:pStyle w:val="Compact"/>
            </w:pPr>
          </w:p>
        </w:tc>
      </w:tr>
      <w:tr>
        <w:tc>
          <w:tcPr/>
          <w:p>
            <w:pPr>
              <w:pStyle w:val="Compact"/>
              <w:jc w:val="left"/>
            </w:pPr>
            <w:r>
              <w:rPr>
                <w:rStyle w:val="VerbatimChar"/>
              </w:rPr>
              <w:t xml:space="preserve">abstract</w:t>
            </w:r>
          </w:p>
        </w:tc>
        <w:tc>
          <w:tcPr/>
          <w:p>
            <w:pPr>
              <w:pStyle w:val="Compact"/>
              <w:jc w:val="left"/>
            </w:pPr>
            <w:r>
              <w:rPr>
                <w:rStyle w:val="VerbatimChar"/>
              </w:rPr>
              <w:t xml:space="preserve">text</w:t>
            </w:r>
          </w:p>
        </w:tc>
        <w:tc>
          <w:tcPr/>
          <w:p>
            <w:pPr>
              <w:pStyle w:val="Compact"/>
            </w:pPr>
          </w:p>
        </w:tc>
      </w:tr>
      <w:tr>
        <w:tc>
          <w:tcPr/>
          <w:p>
            <w:pPr>
              <w:pStyle w:val="Compact"/>
              <w:jc w:val="left"/>
            </w:pPr>
            <w:r>
              <w:rPr>
                <w:rStyle w:val="VerbatimChar"/>
              </w:rPr>
              <w:t xml:space="preserve">field_of_study</w:t>
            </w:r>
          </w:p>
        </w:tc>
        <w:tc>
          <w:tcPr/>
          <w:p>
            <w:pPr>
              <w:pStyle w:val="Compact"/>
              <w:jc w:val="left"/>
            </w:pPr>
            <w:r>
              <w:rPr>
                <w:rStyle w:val="VerbatimChar"/>
              </w:rPr>
              <w:t xml:space="preserve">text</w:t>
            </w:r>
          </w:p>
        </w:tc>
        <w:tc>
          <w:tcPr/>
          <w:p>
            <w:pPr>
              <w:pStyle w:val="Compact"/>
            </w:pPr>
          </w:p>
        </w:tc>
      </w:tr>
      <w:tr>
        <w:tc>
          <w:tcPr/>
          <w:p>
            <w:pPr>
              <w:pStyle w:val="Compact"/>
              <w:jc w:val="left"/>
            </w:pPr>
            <w:r>
              <w:rPr>
                <w:rStyle w:val="VerbatimChar"/>
              </w:rPr>
              <w:t xml:space="preserve">embedding_vector_id</w:t>
            </w:r>
          </w:p>
        </w:tc>
        <w:tc>
          <w:tcPr/>
          <w:p>
            <w:pPr>
              <w:pStyle w:val="Compact"/>
              <w:jc w:val="left"/>
            </w:pPr>
            <w:r>
              <w:rPr>
                <w:rStyle w:val="VerbatimChar"/>
              </w:rPr>
              <w:t xml:space="preserve">integer</w:t>
            </w:r>
          </w:p>
        </w:tc>
        <w:tc>
          <w:tcPr/>
          <w:p>
            <w:pPr>
              <w:pStyle w:val="Compact"/>
              <w:jc w:val="left"/>
            </w:pPr>
            <w:r>
              <w:t xml:space="preserve">position in the FAISS index (§3.3, §3.4) — the FAISS index itself lives outside Postgres</w:t>
            </w:r>
          </w:p>
        </w:tc>
      </w:tr>
      <w:tr>
        <w:tc>
          <w:tcPr/>
          <w:p>
            <w:pPr>
              <w:pStyle w:val="Compact"/>
              <w:jc w:val="left"/>
            </w:pPr>
            <w:r>
              <w:rPr>
                <w:rStyle w:val="VerbatimChar"/>
              </w:rPr>
              <w:t xml:space="preserve">ingested_at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t xml:space="preserve">Index:</w:t>
      </w:r>
      <w:r>
        <w:t xml:space="preserve"> </w:t>
      </w:r>
      <w:r>
        <w:rPr>
          <w:rStyle w:val="VerbatimChar"/>
        </w:rPr>
        <w:t xml:space="preserve">CREATE UNIQUE INDEX idx_corpus_papers_ext_id ON reference_corpus_papers(source, external_id);</w:t>
      </w:r>
    </w:p>
    <w:bookmarkEnd w:id="91"/>
    <w:bookmarkStart w:id="92" w:name="publisher_format_rules-new-see-4.2-3.7"/>
    <w:p>
      <w:pPr>
        <w:pStyle w:val="Heading3"/>
      </w:pPr>
      <w:r>
        <w:rPr>
          <w:rStyle w:val="VerbatimChar"/>
        </w:rPr>
        <w:t xml:space="preserve">publisher_format_rules</w:t>
      </w:r>
      <w:r>
        <w:t xml:space="preserve"> </w:t>
      </w:r>
      <w:r>
        <w:rPr>
          <w:iCs/>
          <w:i/>
        </w:rPr>
        <w:t xml:space="preserve">(new — see §4.2, §3.7)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format_name</w:t>
            </w:r>
          </w:p>
        </w:tc>
        <w:tc>
          <w:tcPr/>
          <w:p>
            <w:pPr>
              <w:pStyle w:val="Compact"/>
              <w:jc w:val="left"/>
            </w:pPr>
            <w:r>
              <w:rPr>
                <w:rStyle w:val="VerbatimChar"/>
              </w:rPr>
              <w:t xml:space="preserve">text</w:t>
            </w:r>
            <w:r>
              <w:t xml:space="preserve"> </w:t>
            </w:r>
            <w:r>
              <w:t xml:space="preserve">NOT NULL UNIQUE</w:t>
            </w:r>
          </w:p>
        </w:tc>
        <w:tc>
          <w:tcPr/>
          <w:p>
            <w:pPr>
              <w:pStyle w:val="Compact"/>
              <w:jc w:val="left"/>
            </w:pPr>
            <w:r>
              <w:rPr>
                <w:rStyle w:val="VerbatimChar"/>
              </w:rPr>
              <w:t xml:space="preserve">'ieee'</w:t>
            </w:r>
            <w:r>
              <w:t xml:space="preserve"> </w:t>
            </w:r>
            <w:r>
              <w:t xml:space="preserve">in the prototype; schema supports adding more post-prototype</w:t>
            </w:r>
          </w:p>
        </w:tc>
      </w:tr>
      <w:tr>
        <w:tc>
          <w:tcPr/>
          <w:p>
            <w:pPr>
              <w:pStyle w:val="Compact"/>
              <w:jc w:val="left"/>
            </w:pPr>
            <w:r>
              <w:rPr>
                <w:rStyle w:val="VerbatimChar"/>
              </w:rPr>
              <w:t xml:space="preserve">rule_set</w:t>
            </w:r>
          </w:p>
        </w:tc>
        <w:tc>
          <w:tcPr/>
          <w:p>
            <w:pPr>
              <w:pStyle w:val="Compact"/>
              <w:jc w:val="left"/>
            </w:pPr>
            <w:r>
              <w:rPr>
                <w:rStyle w:val="VerbatimChar"/>
              </w:rPr>
              <w:t xml:space="preserve">jsonb</w:t>
            </w:r>
            <w:r>
              <w:t xml:space="preserve"> </w:t>
            </w:r>
            <w:r>
              <w:t xml:space="preserve">NOT NULL</w:t>
            </w:r>
          </w:p>
        </w:tc>
        <w:tc>
          <w:tcPr/>
          <w:p>
            <w:pPr>
              <w:pStyle w:val="Compact"/>
              <w:jc w:val="left"/>
            </w:pPr>
            <w:r>
              <w:t xml:space="preserve">structured version of the §3.7 rule set (margins, fonts, structure order, page limits) —</w:t>
            </w:r>
            <w:r>
              <w:t xml:space="preserve"> </w:t>
            </w:r>
            <w:r>
              <w:rPr>
                <w:bCs/>
                <w:b/>
              </w:rPr>
              <w:t xml:space="preserve">kept as data, not code, per the risk register’s explicit requirement that format rules be updatable config</w:t>
            </w:r>
          </w:p>
        </w:tc>
      </w:tr>
      <w:tr>
        <w:tc>
          <w:tcPr/>
          <w:p>
            <w:pPr>
              <w:pStyle w:val="Compact"/>
              <w:jc w:val="left"/>
            </w:pPr>
            <w:r>
              <w:rPr>
                <w:rStyle w:val="VerbatimChar"/>
              </w:rPr>
              <w:t xml:space="preserve">version</w:t>
            </w:r>
          </w:p>
        </w:tc>
        <w:tc>
          <w:tcPr/>
          <w:p>
            <w:pPr>
              <w:pStyle w:val="Compact"/>
              <w:jc w:val="left"/>
            </w:pPr>
            <w:r>
              <w:rPr>
                <w:rStyle w:val="VerbatimChar"/>
              </w:rPr>
              <w:t xml:space="preserve">integer</w:t>
            </w:r>
            <w:r>
              <w:t xml:space="preserve"> </w:t>
            </w:r>
            <w:r>
              <w:t xml:space="preserve">NOT NULL</w:t>
            </w:r>
          </w:p>
        </w:tc>
        <w:tc>
          <w:tcPr/>
          <w:p>
            <w:pPr>
              <w:pStyle w:val="Compact"/>
              <w:jc w:val="left"/>
            </w:pPr>
            <w:r>
              <w:rPr>
                <w:rStyle w:val="VerbatimChar"/>
              </w:rPr>
              <w:t xml:space="preserve">default 1</w:t>
            </w:r>
            <w:r>
              <w:t xml:space="preserve"> </w:t>
            </w:r>
            <w:r>
              <w:t xml:space="preserve">— increment on any rule change, referenced from</w:t>
            </w:r>
            <w:r>
              <w:t xml:space="preserve"> </w:t>
            </w:r>
            <w:r>
              <w:rPr>
                <w:rStyle w:val="VerbatimChar"/>
              </w:rPr>
              <w:t xml:space="preserve">ai_reports.model_version</w:t>
            </w:r>
            <w:r>
              <w:t xml:space="preserve"> </w:t>
            </w:r>
            <w:r>
              <w:t xml:space="preserve">equivalent for reproducibility</w:t>
            </w:r>
          </w:p>
        </w:tc>
      </w:tr>
      <w:tr>
        <w:tc>
          <w:tcPr/>
          <w:p>
            <w:pPr>
              <w:pStyle w:val="Compact"/>
              <w:jc w:val="left"/>
            </w:pPr>
            <w:r>
              <w:rPr>
                <w:rStyle w:val="VerbatimChar"/>
              </w:rPr>
              <w:t xml:space="preserve">updated_at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bookmarkEnd w:id="92"/>
    <w:bookmarkStart w:id="93" w:name="Xb24b4daaf7e8390b1d097e00e3a210f183aebfc"/>
    <w:p>
      <w:pPr>
        <w:pStyle w:val="Heading3"/>
      </w:pPr>
      <w:r>
        <w:rPr>
          <w:rStyle w:val="VerbatimChar"/>
        </w:rPr>
        <w:t xml:space="preserve">audit_log</w:t>
      </w:r>
      <w:r>
        <w:t xml:space="preserve"> </w:t>
      </w:r>
      <w:r>
        <w:rPr>
          <w:iCs/>
          <w:i/>
        </w:rPr>
        <w:t xml:space="preserve">(post-prototype — schema included now to avoid a later migration)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rPr>
                <w:rStyle w:val="VerbatimChar"/>
              </w:rPr>
              <w:t xml:space="preserve">uuid</w:t>
            </w:r>
            <w:r>
              <w:t xml:space="preserve"> </w:t>
            </w:r>
            <w:r>
              <w:t xml:space="preserve">PK</w:t>
            </w:r>
          </w:p>
        </w:tc>
        <w:tc>
          <w:tcPr/>
          <w:p>
            <w:pPr>
              <w:pStyle w:val="Compact"/>
            </w:pPr>
          </w:p>
        </w:tc>
      </w:tr>
      <w:tr>
        <w:tc>
          <w:tcPr/>
          <w:p>
            <w:pPr>
              <w:pStyle w:val="Compact"/>
              <w:jc w:val="left"/>
            </w:pPr>
            <w:r>
              <w:rPr>
                <w:rStyle w:val="VerbatimChar"/>
              </w:rPr>
              <w:t xml:space="preserve">actor_id</w:t>
            </w:r>
          </w:p>
        </w:tc>
        <w:tc>
          <w:tcPr/>
          <w:p>
            <w:pPr>
              <w:pStyle w:val="Compact"/>
              <w:jc w:val="left"/>
            </w:pPr>
            <w:r>
              <w:rPr>
                <w:rStyle w:val="VerbatimChar"/>
              </w:rPr>
              <w:t xml:space="preserve">uuid</w:t>
            </w:r>
            <w:r>
              <w:t xml:space="preserve"> </w:t>
            </w:r>
            <w:r>
              <w:t xml:space="preserve">NOT NULL REFERENCES</w:t>
            </w:r>
            <w:r>
              <w:t xml:space="preserve"> </w:t>
            </w:r>
            <w:r>
              <w:rPr>
                <w:rStyle w:val="VerbatimChar"/>
              </w:rPr>
              <w:t xml:space="preserve">users(id)</w:t>
            </w:r>
          </w:p>
        </w:tc>
        <w:tc>
          <w:tcPr/>
          <w:p>
            <w:pPr>
              <w:pStyle w:val="Compact"/>
            </w:pPr>
          </w:p>
        </w:tc>
      </w:tr>
      <w:tr>
        <w:tc>
          <w:tcPr/>
          <w:p>
            <w:pPr>
              <w:pStyle w:val="Compact"/>
              <w:jc w:val="left"/>
            </w:pPr>
            <w:r>
              <w:rPr>
                <w:rStyle w:val="VerbatimChar"/>
              </w:rPr>
              <w:t xml:space="preserve">action</w:t>
            </w:r>
          </w:p>
        </w:tc>
        <w:tc>
          <w:tcPr/>
          <w:p>
            <w:pPr>
              <w:pStyle w:val="Compact"/>
              <w:jc w:val="left"/>
            </w:pPr>
            <w:r>
              <w:rPr>
                <w:rStyle w:val="VerbatimChar"/>
              </w:rPr>
              <w:t xml:space="preserve">text</w:t>
            </w:r>
            <w:r>
              <w:t xml:space="preserve"> </w:t>
            </w:r>
            <w:r>
              <w:t xml:space="preserve">NOT NULL</w:t>
            </w:r>
          </w:p>
        </w:tc>
        <w:tc>
          <w:tcPr/>
          <w:p>
            <w:pPr>
              <w:pStyle w:val="Compact"/>
            </w:pPr>
          </w:p>
        </w:tc>
      </w:tr>
      <w:tr>
        <w:tc>
          <w:tcPr/>
          <w:p>
            <w:pPr>
              <w:pStyle w:val="Compact"/>
              <w:jc w:val="left"/>
            </w:pPr>
            <w:r>
              <w:rPr>
                <w:rStyle w:val="VerbatimChar"/>
              </w:rPr>
              <w:t xml:space="preserve">target_type</w:t>
            </w:r>
            <w:r>
              <w:t xml:space="preserve"> </w:t>
            </w:r>
            <w:r>
              <w:t xml:space="preserve">/</w:t>
            </w:r>
            <w:r>
              <w:t xml:space="preserve"> </w:t>
            </w:r>
            <w:r>
              <w:rPr>
                <w:rStyle w:val="VerbatimChar"/>
              </w:rPr>
              <w:t xml:space="preserve">target_id</w:t>
            </w:r>
          </w:p>
        </w:tc>
        <w:tc>
          <w:tcPr/>
          <w:p>
            <w:pPr>
              <w:pStyle w:val="Compact"/>
              <w:jc w:val="left"/>
            </w:pPr>
            <w:r>
              <w:rPr>
                <w:rStyle w:val="VerbatimChar"/>
              </w:rPr>
              <w:t xml:space="preserve">text</w:t>
            </w:r>
            <w:r>
              <w:t xml:space="preserve"> </w:t>
            </w:r>
            <w:r>
              <w:t xml:space="preserve">/</w:t>
            </w:r>
            <w:r>
              <w:t xml:space="preserve"> </w:t>
            </w:r>
            <w:r>
              <w:rPr>
                <w:rStyle w:val="VerbatimChar"/>
              </w:rPr>
              <w:t xml:space="preserve">uuid</w:t>
            </w:r>
          </w:p>
        </w:tc>
        <w:tc>
          <w:tcPr/>
          <w:p>
            <w:pPr>
              <w:pStyle w:val="Compact"/>
              <w:jc w:val="left"/>
            </w:pPr>
            <w:r>
              <w:t xml:space="preserve">polymorphic reference to the affected record</w:t>
            </w:r>
          </w:p>
        </w:tc>
      </w:tr>
      <w:tr>
        <w:tc>
          <w:tcPr/>
          <w:p>
            <w:pPr>
              <w:pStyle w:val="Compact"/>
              <w:jc w:val="left"/>
            </w:pPr>
            <w:r>
              <w:rPr>
                <w:rStyle w:val="VerbatimChar"/>
              </w:rPr>
              <w:t xml:space="preserve">created_at</w:t>
            </w:r>
          </w:p>
        </w:tc>
        <w:tc>
          <w:tcPr/>
          <w:p>
            <w:pPr>
              <w:pStyle w:val="Compact"/>
              <w:jc w:val="left"/>
            </w:pPr>
            <w:r>
              <w:rPr>
                <w:rStyle w:val="VerbatimChar"/>
              </w:rPr>
              <w:t xml:space="preserve">timestamptz</w:t>
            </w:r>
            <w:r>
              <w:t xml:space="preserve"> </w:t>
            </w:r>
            <w:r>
              <w:t xml:space="preserve">NOT NULL</w:t>
            </w:r>
          </w:p>
        </w:tc>
        <w:tc>
          <w:tcPr/>
          <w:p>
            <w:pPr>
              <w:pStyle w:val="Compact"/>
              <w:jc w:val="left"/>
            </w:pPr>
            <w:r>
              <w:rPr>
                <w:rStyle w:val="VerbatimChar"/>
              </w:rPr>
              <w:t xml:space="preserve">default now()</w:t>
            </w:r>
          </w:p>
        </w:tc>
      </w:tr>
    </w:tbl>
    <w:p>
      <w:pPr>
        <w:pStyle w:val="BodyText"/>
      </w:pPr>
      <w:r>
        <w:rPr>
          <w:bCs/>
          <w:b/>
        </w:rPr>
        <w:t xml:space="preserve">Not built in the 25-day prototype</w:t>
      </w:r>
      <w:r>
        <w:t xml:space="preserve"> </w:t>
      </w:r>
      <w:r>
        <w:t xml:space="preserve">(original roadmap correctly deferred full audit trails); the table is specified here purely so that adding it later is additive, not a breaking migration against the rest of the schema.</w:t>
      </w:r>
    </w:p>
    <w:bookmarkEnd w:id="93"/>
    <w:bookmarkEnd w:id="94"/>
    <w:bookmarkStart w:id="95" w:name="X8bf20cdeb0436097db1c1e06b1755f35f66858a"/>
    <w:p>
      <w:pPr>
        <w:pStyle w:val="Heading2"/>
      </w:pPr>
      <w:r>
        <w:t xml:space="preserve">4.4 Enum values summary (for application-layer validation)</w:t>
      </w:r>
    </w:p>
    <w:p>
      <w:pPr>
        <w:pStyle w:val="FirstParagraph"/>
      </w:pPr>
      <w:r>
        <w:t xml:space="preserve">Rather than Postgres native</w:t>
      </w:r>
      <w:r>
        <w:t xml:space="preserve"> </w:t>
      </w:r>
      <w:r>
        <w:rPr>
          <w:rStyle w:val="VerbatimChar"/>
        </w:rPr>
        <w:t xml:space="preserve">ENUM</w:t>
      </w:r>
      <w:r>
        <w:t xml:space="preserve"> </w:t>
      </w:r>
      <w:r>
        <w:t xml:space="preserve">types (which are painful to alter mid-build), the prototype uses</w:t>
      </w:r>
      <w:r>
        <w:t xml:space="preserve"> </w:t>
      </w:r>
      <w:r>
        <w:rPr>
          <w:rStyle w:val="VerbatimChar"/>
        </w:rPr>
        <w:t xml:space="preserve">text</w:t>
      </w:r>
      <w:r>
        <w:t xml:space="preserve"> </w:t>
      </w:r>
      <w:r>
        <w:t xml:space="preserve">columns with application-layer validation and optional</w:t>
      </w:r>
      <w:r>
        <w:t xml:space="preserve"> </w:t>
      </w:r>
      <w:r>
        <w:rPr>
          <w:rStyle w:val="VerbatimChar"/>
        </w:rPr>
        <w:t xml:space="preserve">CHECK</w:t>
      </w:r>
      <w:r>
        <w:t xml:space="preserve"> </w:t>
      </w:r>
      <w:r>
        <w:t xml:space="preserve">constraints — this is the pragmatic choice for a 25-day build where the check-type/status vocabulary is still likely to shift slightly during implementation. Native enums can be introduced post-prototype once the vocabulary stabilizes.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Values</w:t>
            </w:r>
          </w:p>
        </w:tc>
      </w:tr>
      <w:tr>
        <w:tc>
          <w:tcPr/>
          <w:p>
            <w:pPr>
              <w:pStyle w:val="Compact"/>
              <w:jc w:val="left"/>
            </w:pPr>
            <w:r>
              <w:rPr>
                <w:rStyle w:val="VerbatimChar"/>
              </w:rPr>
              <w:t xml:space="preserve">users.role</w:t>
            </w:r>
          </w:p>
        </w:tc>
        <w:tc>
          <w:tcPr/>
          <w:p>
            <w:pPr>
              <w:pStyle w:val="Compact"/>
              <w:jc w:val="left"/>
            </w:pPr>
            <w:r>
              <w:rPr>
                <w:rStyle w:val="VerbatimChar"/>
              </w:rPr>
              <w:t xml:space="preserve">researcher</w:t>
            </w:r>
            <w:r>
              <w:t xml:space="preserve">,</w:t>
            </w:r>
            <w:r>
              <w:t xml:space="preserve"> </w:t>
            </w:r>
            <w:r>
              <w:rPr>
                <w:rStyle w:val="VerbatimChar"/>
              </w:rPr>
              <w:t xml:space="preserve">reviewer</w:t>
            </w:r>
            <w:r>
              <w:t xml:space="preserve">,</w:t>
            </w:r>
            <w:r>
              <w:t xml:space="preserve"> </w:t>
            </w:r>
            <w:r>
              <w:rPr>
                <w:rStyle w:val="VerbatimChar"/>
              </w:rPr>
              <w:t xml:space="preserve">organizer</w:t>
            </w:r>
          </w:p>
        </w:tc>
      </w:tr>
      <w:tr>
        <w:tc>
          <w:tcPr/>
          <w:p>
            <w:pPr>
              <w:pStyle w:val="Compact"/>
              <w:jc w:val="left"/>
            </w:pPr>
            <w:r>
              <w:rPr>
                <w:rStyle w:val="VerbatimChar"/>
              </w:rPr>
              <w:t xml:space="preserve">submissions.status</w:t>
            </w:r>
          </w:p>
        </w:tc>
        <w:tc>
          <w:tcPr/>
          <w:p>
            <w:pPr>
              <w:pStyle w:val="Compact"/>
              <w:jc w:val="left"/>
            </w:pPr>
            <w:r>
              <w:rPr>
                <w:rStyle w:val="VerbatimChar"/>
              </w:rPr>
              <w:t xml:space="preserve">processing</w:t>
            </w:r>
            <w:r>
              <w:t xml:space="preserve">,</w:t>
            </w:r>
            <w:r>
              <w:t xml:space="preserve"> </w:t>
            </w:r>
            <w:r>
              <w:rPr>
                <w:rStyle w:val="VerbatimChar"/>
              </w:rPr>
              <w:t xml:space="preserve">ai_review_passed</w:t>
            </w:r>
            <w:r>
              <w:t xml:space="preserve">,</w:t>
            </w:r>
            <w:r>
              <w:t xml:space="preserve"> </w:t>
            </w:r>
            <w:r>
              <w:rPr>
                <w:rStyle w:val="VerbatimChar"/>
              </w:rPr>
              <w:t xml:space="preserve">ai_review_hard_failed</w:t>
            </w:r>
            <w:r>
              <w:t xml:space="preserve">,</w:t>
            </w:r>
            <w:r>
              <w:t xml:space="preserve"> </w:t>
            </w:r>
            <w:r>
              <w:rPr>
                <w:rStyle w:val="VerbatimChar"/>
              </w:rPr>
              <w:t xml:space="preserve">in_human_review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revise_resubmit</w:t>
            </w:r>
          </w:p>
        </w:tc>
      </w:tr>
      <w:tr>
        <w:tc>
          <w:tcPr/>
          <w:p>
            <w:pPr>
              <w:pStyle w:val="Compact"/>
              <w:jc w:val="left"/>
            </w:pPr>
            <w:r>
              <w:rPr>
                <w:rStyle w:val="VerbatimChar"/>
              </w:rPr>
              <w:t xml:space="preserve">ai_reports.check_type</w:t>
            </w:r>
          </w:p>
        </w:tc>
        <w:tc>
          <w:tcPr/>
          <w:p>
            <w:pPr>
              <w:pStyle w:val="Compact"/>
              <w:jc w:val="left"/>
            </w:pPr>
            <w:r>
              <w:rPr>
                <w:rStyle w:val="VerbatimChar"/>
              </w:rPr>
              <w:t xml:space="preserve">grammar</w:t>
            </w:r>
            <w:r>
              <w:t xml:space="preserve">,</w:t>
            </w:r>
            <w:r>
              <w:t xml:space="preserve"> </w:t>
            </w:r>
            <w:r>
              <w:rPr>
                <w:rStyle w:val="VerbatimChar"/>
              </w:rPr>
              <w:t xml:space="preserve">citation</w:t>
            </w:r>
            <w:r>
              <w:t xml:space="preserve">,</w:t>
            </w:r>
            <w:r>
              <w:t xml:space="preserve"> </w:t>
            </w:r>
            <w:r>
              <w:rPr>
                <w:rStyle w:val="VerbatimChar"/>
              </w:rPr>
              <w:t xml:space="preserve">format</w:t>
            </w:r>
            <w:r>
              <w:t xml:space="preserve">,</w:t>
            </w:r>
            <w:r>
              <w:t xml:space="preserve"> </w:t>
            </w:r>
            <w:r>
              <w:rPr>
                <w:rStyle w:val="VerbatimChar"/>
              </w:rPr>
              <w:t xml:space="preserve">plagiarism</w:t>
            </w:r>
            <w:r>
              <w:t xml:space="preserve">,</w:t>
            </w:r>
            <w:r>
              <w:t xml:space="preserve"> </w:t>
            </w:r>
            <w:r>
              <w:rPr>
                <w:rStyle w:val="VerbatimChar"/>
              </w:rPr>
              <w:t xml:space="preserve">ai_text</w:t>
            </w:r>
            <w:r>
              <w:t xml:space="preserve">,</w:t>
            </w:r>
            <w:r>
              <w:t xml:space="preserve"> </w:t>
            </w:r>
            <w:r>
              <w:rPr>
                <w:rStyle w:val="VerbatimChar"/>
              </w:rPr>
              <w:t xml:space="preserve">table_figure</w:t>
            </w:r>
            <w:r>
              <w:t xml:space="preserve">,</w:t>
            </w:r>
            <w:r>
              <w:t xml:space="preserve"> </w:t>
            </w:r>
            <w:r>
              <w:rPr>
                <w:rStyle w:val="VerbatimChar"/>
              </w:rPr>
              <w:t xml:space="preserve">logical_consistency</w:t>
            </w:r>
          </w:p>
        </w:tc>
      </w:tr>
      <w:tr>
        <w:tc>
          <w:tcPr/>
          <w:p>
            <w:pPr>
              <w:pStyle w:val="Compact"/>
              <w:jc w:val="left"/>
            </w:pPr>
            <w:r>
              <w:rPr>
                <w:rStyle w:val="VerbatimChar"/>
              </w:rPr>
              <w:t xml:space="preserve">reviewer_assignments.status</w:t>
            </w:r>
          </w:p>
        </w:tc>
        <w:tc>
          <w:tcPr/>
          <w:p>
            <w:pPr>
              <w:pStyle w:val="Compact"/>
              <w:jc w:val="left"/>
            </w:pPr>
            <w:r>
              <w:rPr>
                <w:rStyle w:val="VerbatimChar"/>
              </w:rPr>
              <w:t xml:space="preserve">assigned</w:t>
            </w:r>
            <w:r>
              <w:t xml:space="preserve">,</w:t>
            </w:r>
            <w:r>
              <w:t xml:space="preserve"> </w:t>
            </w:r>
            <w:r>
              <w:rPr>
                <w:rStyle w:val="VerbatimChar"/>
              </w:rPr>
              <w:t xml:space="preserve">in_progress</w:t>
            </w:r>
            <w:r>
              <w:t xml:space="preserve">,</w:t>
            </w:r>
            <w:r>
              <w:t xml:space="preserve"> </w:t>
            </w:r>
            <w:r>
              <w:rPr>
                <w:rStyle w:val="VerbatimChar"/>
              </w:rPr>
              <w:t xml:space="preserve">submitted</w:t>
            </w:r>
          </w:p>
        </w:tc>
      </w:tr>
      <w:tr>
        <w:tc>
          <w:tcPr/>
          <w:p>
            <w:pPr>
              <w:pStyle w:val="Compact"/>
              <w:jc w:val="left"/>
            </w:pPr>
            <w:r>
              <w:rPr>
                <w:rStyle w:val="VerbatimChar"/>
              </w:rPr>
              <w:t xml:space="preserve">reviews.recommendation</w:t>
            </w:r>
          </w:p>
        </w:tc>
        <w:tc>
          <w:tcPr/>
          <w:p>
            <w:pPr>
              <w:pStyle w:val="Compact"/>
              <w:jc w:val="left"/>
            </w:pPr>
            <w:r>
              <w:rPr>
                <w:rStyle w:val="VerbatimChar"/>
              </w:rPr>
              <w:t xml:space="preserve">accept</w:t>
            </w:r>
            <w:r>
              <w:t xml:space="preserve">,</w:t>
            </w:r>
            <w:r>
              <w:t xml:space="preserve"> </w:t>
            </w:r>
            <w:r>
              <w:rPr>
                <w:rStyle w:val="VerbatimChar"/>
              </w:rPr>
              <w:t xml:space="preserve">reject</w:t>
            </w:r>
            <w:r>
              <w:t xml:space="preserve">,</w:t>
            </w:r>
            <w:r>
              <w:t xml:space="preserve"> </w:t>
            </w:r>
            <w:r>
              <w:rPr>
                <w:rStyle w:val="VerbatimChar"/>
              </w:rPr>
              <w:t xml:space="preserve">revise</w:t>
            </w:r>
          </w:p>
        </w:tc>
      </w:tr>
      <w:tr>
        <w:tc>
          <w:tcPr/>
          <w:p>
            <w:pPr>
              <w:pStyle w:val="Compact"/>
              <w:jc w:val="left"/>
            </w:pPr>
            <w:r>
              <w:rPr>
                <w:rStyle w:val="VerbatimChar"/>
              </w:rPr>
              <w:t xml:space="preserve">conference_coadmins.permission_level</w:t>
            </w:r>
          </w:p>
        </w:tc>
        <w:tc>
          <w:tcPr/>
          <w:p>
            <w:pPr>
              <w:pStyle w:val="Compact"/>
              <w:jc w:val="left"/>
            </w:pPr>
            <w:r>
              <w:rPr>
                <w:rStyle w:val="VerbatimChar"/>
              </w:rPr>
              <w:t xml:space="preserve">full</w:t>
            </w:r>
            <w:r>
              <w:t xml:space="preserve">,</w:t>
            </w:r>
            <w:r>
              <w:t xml:space="preserve"> </w:t>
            </w:r>
            <w:r>
              <w:rPr>
                <w:rStyle w:val="VerbatimChar"/>
              </w:rPr>
              <w:t xml:space="preserve">track_scoped</w:t>
            </w:r>
          </w:p>
        </w:tc>
      </w:tr>
      <w:tr>
        <w:tc>
          <w:tcPr/>
          <w:p>
            <w:pPr>
              <w:pStyle w:val="Compact"/>
              <w:jc w:val="left"/>
            </w:pPr>
            <w:r>
              <w:rPr>
                <w:rStyle w:val="VerbatimChar"/>
              </w:rPr>
              <w:t xml:space="preserve">cross_conference_links.match_confidence</w:t>
            </w:r>
          </w:p>
        </w:tc>
        <w:tc>
          <w:tcPr/>
          <w:p>
            <w:pPr>
              <w:pStyle w:val="Compact"/>
              <w:jc w:val="left"/>
            </w:pPr>
            <w:r>
              <w:rPr>
                <w:rStyle w:val="VerbatimChar"/>
              </w:rPr>
              <w:t xml:space="preserve">possible</w:t>
            </w:r>
            <w:r>
              <w:t xml:space="preserve">,</w:t>
            </w:r>
            <w:r>
              <w:t xml:space="preserve"> </w:t>
            </w:r>
            <w:r>
              <w:rPr>
                <w:rStyle w:val="VerbatimChar"/>
              </w:rPr>
              <w:t xml:space="preserve">likely</w:t>
            </w:r>
          </w:p>
        </w:tc>
      </w:tr>
    </w:tbl>
    <w:p>
      <w:r>
        <w:br w:type="page"/>
      </w:r>
    </w:p>
    <w:bookmarkEnd w:id="95"/>
    <w:bookmarkEnd w:id="96"/>
    <w:bookmarkStart w:id="135" w:name="api-specification"/>
    <w:p>
      <w:pPr>
        <w:pStyle w:val="Heading1"/>
      </w:pPr>
      <w:r>
        <w:t xml:space="preserve">5. API Specification</w:t>
      </w:r>
    </w:p>
    <w:p>
      <w:pPr>
        <w:pStyle w:val="FirstParagraph"/>
      </w:pPr>
      <w:r>
        <w:rPr>
          <w:bCs/>
          <w:b/>
        </w:rPr>
        <w:t xml:space="preserve">Base URL (dev):</w:t>
      </w:r>
      <w:r>
        <w:t xml:space="preserve"> </w:t>
      </w:r>
      <w:r>
        <w:rPr>
          <w:rStyle w:val="VerbatimChar"/>
        </w:rPr>
        <w:t xml:space="preserve">http://localhost:8000/api</w:t>
      </w:r>
      <w:r>
        <w:t xml:space="preserve">.</w:t>
      </w:r>
      <w:r>
        <w:t xml:space="preserve"> </w:t>
      </w:r>
      <w:r>
        <w:rPr>
          <w:bCs/>
          <w:b/>
        </w:rPr>
        <w:t xml:space="preserve">Auth:</w:t>
      </w:r>
      <w:r>
        <w:t xml:space="preserve"> </w:t>
      </w:r>
      <w:r>
        <w:t xml:space="preserve">JWT bearer token in the</w:t>
      </w:r>
      <w:r>
        <w:t xml:space="preserve"> </w:t>
      </w:r>
      <w:r>
        <w:rPr>
          <w:rStyle w:val="VerbatimChar"/>
        </w:rPr>
        <w:t xml:space="preserve">Authorization: Bearer &lt;token&gt;</w:t>
      </w:r>
      <w:r>
        <w:t xml:space="preserve"> </w:t>
      </w:r>
      <w:r>
        <w:t xml:space="preserve">header on every endpoint except</w:t>
      </w:r>
      <w:r>
        <w:t xml:space="preserve"> </w:t>
      </w:r>
      <w:r>
        <w:rPr>
          <w:rStyle w:val="VerbatimChar"/>
        </w:rPr>
        <w:t xml:space="preserve">/auth/signup</w:t>
      </w:r>
      <w:r>
        <w:t xml:space="preserve">,</w:t>
      </w:r>
      <w:r>
        <w:t xml:space="preserve"> </w:t>
      </w:r>
      <w:r>
        <w:rPr>
          <w:rStyle w:val="VerbatimChar"/>
        </w:rPr>
        <w:t xml:space="preserve">/auth/login</w:t>
      </w:r>
      <w:r>
        <w:t xml:space="preserve">, and</w:t>
      </w:r>
      <w:r>
        <w:t xml:space="preserve"> </w:t>
      </w:r>
      <w:r>
        <w:rPr>
          <w:rStyle w:val="VerbatimChar"/>
        </w:rPr>
        <w:t xml:space="preserve">/auth/refresh</w:t>
      </w:r>
      <w:r>
        <w:t xml:space="preserve">. Access tokens are short-lived (15–30 minutes); refresh tokens are longer-lived, standard access/refresh pattern (§1, product spec §</w:t>
      </w:r>
      <w:r>
        <w:t xml:space="preserve">“</w:t>
      </w:r>
      <w:r>
        <w:t xml:space="preserve">User Management &amp; Authentication</w:t>
      </w:r>
      <w:r>
        <w:t xml:space="preserve">”</w:t>
      </w:r>
      <w:r>
        <w:t xml:space="preserve">). Role-based access control is enforced by backend middleware reading the</w:t>
      </w:r>
      <w:r>
        <w:t xml:space="preserve"> </w:t>
      </w:r>
      <w:r>
        <w:rPr>
          <w:rStyle w:val="VerbatimChar"/>
        </w:rPr>
        <w:t xml:space="preserve">role</w:t>
      </w:r>
      <w:r>
        <w:t xml:space="preserve"> </w:t>
      </w:r>
      <w:r>
        <w:t xml:space="preserve">claim from the decoded JWT plus, for conference-scoped actions, a lookup against</w:t>
      </w:r>
      <w:r>
        <w:t xml:space="preserve"> </w:t>
      </w:r>
      <w:r>
        <w:rPr>
          <w:rStyle w:val="VerbatimChar"/>
        </w:rPr>
        <w:t xml:space="preserve">conference_coadmins</w:t>
      </w:r>
      <w:r>
        <w:t xml:space="preserve">/</w:t>
      </w:r>
      <w:r>
        <w:rPr>
          <w:rStyle w:val="VerbatimChar"/>
        </w:rPr>
        <w:t xml:space="preserve">conference_reviewers</w:t>
      </w:r>
      <w:r>
        <w:t xml:space="preserve"> </w:t>
      </w:r>
      <w:r>
        <w:t xml:space="preserve">to confirm the acting user actually has standing for that specific conference — a user with role</w:t>
      </w:r>
      <w:r>
        <w:t xml:space="preserve"> </w:t>
      </w:r>
      <w:r>
        <w:rPr>
          <w:rStyle w:val="VerbatimChar"/>
        </w:rPr>
        <w:t xml:space="preserve">organizer</w:t>
      </w:r>
      <w:r>
        <w:t xml:space="preserve"> </w:t>
      </w:r>
      <w:r>
        <w:t xml:space="preserve">for one conference has no special access to a</w:t>
      </w:r>
      <w:r>
        <w:t xml:space="preserve"> </w:t>
      </w:r>
      <w:r>
        <w:rPr>
          <w:iCs/>
          <w:i/>
        </w:rPr>
        <w:t xml:space="preserve">different</w:t>
      </w:r>
      <w:r>
        <w:t xml:space="preserve"> </w:t>
      </w:r>
      <w:r>
        <w:t xml:space="preserve">conference’s data.</w:t>
      </w:r>
    </w:p>
    <w:p>
      <w:pPr>
        <w:pStyle w:val="BodyText"/>
      </w:pPr>
      <w:r>
        <w:t xml:space="preserve">All request/response bodies are JSON. All list endpoints support</w:t>
      </w:r>
      <w:r>
        <w:t xml:space="preserve"> </w:t>
      </w:r>
      <w:r>
        <w:rPr>
          <w:rStyle w:val="VerbatimChar"/>
        </w:rPr>
        <w:t xml:space="preserve">?page=</w:t>
      </w:r>
      <w:r>
        <w:t xml:space="preserve"> </w:t>
      </w:r>
      <w:r>
        <w:t xml:space="preserve">and</w:t>
      </w:r>
      <w:r>
        <w:t xml:space="preserve"> </w:t>
      </w:r>
      <w:r>
        <w:rPr>
          <w:rStyle w:val="VerbatimChar"/>
        </w:rPr>
        <w:t xml:space="preserve">?page_size=</w:t>
      </w:r>
      <w:r>
        <w:t xml:space="preserve"> </w:t>
      </w:r>
      <w:r>
        <w:t xml:space="preserve">query parameters (default</w:t>
      </w:r>
      <w:r>
        <w:t xml:space="preserve"> </w:t>
      </w:r>
      <w:r>
        <w:rPr>
          <w:rStyle w:val="VerbatimChar"/>
        </w:rPr>
        <w:t xml:space="preserve">page_size=20</w:t>
      </w:r>
      <w:r>
        <w:t xml:space="preserve">, max</w:t>
      </w:r>
      <w:r>
        <w:t xml:space="preserve"> </w:t>
      </w:r>
      <w:r>
        <w:rPr>
          <w:rStyle w:val="VerbatimChar"/>
        </w:rPr>
        <w:t xml:space="preserve">100</w:t>
      </w:r>
      <w:r>
        <w:t xml:space="preserve">).</w:t>
      </w:r>
    </w:p>
    <w:bookmarkStart w:id="102" w:name="auth"/>
    <w:p>
      <w:pPr>
        <w:pStyle w:val="Heading2"/>
      </w:pPr>
      <w:r>
        <w:t xml:space="preserve">5.1 Auth</w:t>
      </w:r>
    </w:p>
    <w:bookmarkStart w:id="97" w:name="post-authsignup"/>
    <w:p>
      <w:pPr>
        <w:pStyle w:val="Heading3"/>
      </w:pPr>
      <w:r>
        <w:rPr>
          <w:rStyle w:val="VerbatimChar"/>
        </w:rPr>
        <w:t xml:space="preserve">POST /auth/signup</w:t>
      </w:r>
    </w:p>
    <w:p>
      <w:pPr>
        <w:pStyle w:val="FirstParagraph"/>
      </w:pPr>
      <w:r>
        <w:rPr>
          <w:bCs/>
          <w:b/>
        </w:rPr>
        <w:t xml:space="preserve">Auth:</w:t>
      </w:r>
      <w:r>
        <w:t xml:space="preserve"> </w:t>
      </w:r>
      <w:r>
        <w:t xml:space="preserve">none.</w:t>
      </w:r>
      <w:r>
        <w:t xml:space="preserve"> </w:t>
      </w:r>
      <w:r>
        <w:rPr>
          <w:bCs/>
          <w:b/>
        </w:rPr>
        <w:t xml:space="preserve">Purpose:</w:t>
      </w:r>
      <w:r>
        <w:t xml:space="preserve"> </w:t>
      </w:r>
      <w:r>
        <w:t xml:space="preserve">create a new user account.</w:t>
      </w:r>
    </w:p>
    <w:p>
      <w:pPr>
        <w:pStyle w:val="BodyText"/>
      </w:pPr>
      <w:r>
        <w:t xml:space="preserve">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"researcher@university.edu"</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"researcher"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"Ada Lovelace"</w:t>
      </w:r>
      <w:r>
        <w:rPr>
          <w:rStyle w:val="FunctionTok"/>
        </w:rPr>
        <w:t xml:space="preserve">,</w:t>
      </w:r>
      <w:r>
        <w:br/>
      </w:r>
      <w:r>
        <w:rPr>
          <w:rStyle w:val="NormalTok"/>
        </w:rPr>
        <w:t xml:space="preserve">  </w:t>
      </w:r>
      <w:r>
        <w:rPr>
          <w:rStyle w:val="DataTypeTok"/>
        </w:rPr>
        <w:t xml:space="preserve">"affiliation"</w:t>
      </w:r>
      <w:r>
        <w:rPr>
          <w:rStyle w:val="FunctionTok"/>
        </w:rPr>
        <w:t xml:space="preserve">:</w:t>
      </w:r>
      <w:r>
        <w:rPr>
          <w:rStyle w:val="NormalTok"/>
        </w:rPr>
        <w:t xml:space="preserve"> </w:t>
      </w:r>
      <w:r>
        <w:rPr>
          <w:rStyle w:val="StringTok"/>
        </w:rPr>
        <w:t xml:space="preserve">"University of Somewhere"</w:t>
      </w:r>
      <w:r>
        <w:br/>
      </w:r>
      <w:r>
        <w:rPr>
          <w:rStyle w:val="FunctionTok"/>
        </w:rPr>
        <w:t xml:space="preserve">}</w:t>
      </w:r>
    </w:p>
    <w:p>
      <w:pPr>
        <w:pStyle w:val="FirstParagraph"/>
      </w:pPr>
      <w:r>
        <w:t xml:space="preserve">Response</w:t>
      </w:r>
      <w:r>
        <w:t xml:space="preserve"> </w:t>
      </w:r>
      <w:r>
        <w:rPr>
          <w:rStyle w:val="VerbatimChar"/>
        </w:rPr>
        <w:t xml:space="preserve">201</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"b3f1..."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"researcher@university.edu"</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"researcher"</w:t>
      </w:r>
      <w:r>
        <w:rPr>
          <w:rStyle w:val="FunctionTok"/>
        </w:rPr>
        <w:t xml:space="preserve">,</w:t>
      </w:r>
      <w:r>
        <w:br/>
      </w:r>
      <w:r>
        <w:rPr>
          <w:rStyle w:val="NormalTok"/>
        </w:rPr>
        <w:t xml:space="preserve">  </w:t>
      </w:r>
      <w:r>
        <w:rPr>
          <w:rStyle w:val="DataTypeTok"/>
        </w:rPr>
        <w:t xml:space="preserve">"email_verified"</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97"/>
    <w:bookmarkStart w:id="98" w:name="post-authlogin"/>
    <w:p>
      <w:pPr>
        <w:pStyle w:val="Heading3"/>
      </w:pPr>
      <w:r>
        <w:rPr>
          <w:rStyle w:val="VerbatimChar"/>
        </w:rPr>
        <w:t xml:space="preserve">POST /auth/login</w:t>
      </w:r>
    </w:p>
    <w:p>
      <w:pPr>
        <w:pStyle w:val="FirstParagraph"/>
      </w:pPr>
      <w:r>
        <w:rPr>
          <w:bCs/>
          <w:b/>
        </w:rPr>
        <w:t xml:space="preserve">Auth:</w:t>
      </w:r>
      <w:r>
        <w:t xml:space="preserve"> </w:t>
      </w:r>
      <w:r>
        <w:t xml:space="preserve">none. Request:</w:t>
      </w:r>
      <w:r>
        <w:t xml:space="preserve"> </w:t>
      </w:r>
      <w:r>
        <w:rPr>
          <w:rStyle w:val="VerbatimChar"/>
        </w:rPr>
        <w:t xml:space="preserve">{"email": "...", "password": "..."}</w:t>
      </w:r>
      <w:r>
        <w:t xml:space="preserve">. Response</w:t>
      </w:r>
      <w:r>
        <w:t xml:space="preserve"> </w:t>
      </w:r>
      <w:r>
        <w:rPr>
          <w:rStyle w:val="VerbatimChar"/>
        </w:rPr>
        <w:t xml:space="preserve">200</w:t>
      </w:r>
      <w:r>
        <w:t xml:space="preserve">:</w:t>
      </w:r>
      <w:r>
        <w:t xml:space="preserve"> </w:t>
      </w:r>
      <w:r>
        <w:rPr>
          <w:rStyle w:val="VerbatimChar"/>
        </w:rPr>
        <w:t xml:space="preserve">{"access_token": "...", "refresh_token": "...", "expires_in": 1800}</w:t>
      </w:r>
      <w:r>
        <w:t xml:space="preserve">.</w:t>
      </w:r>
    </w:p>
    <w:bookmarkEnd w:id="98"/>
    <w:bookmarkStart w:id="99" w:name="post-authrefresh"/>
    <w:p>
      <w:pPr>
        <w:pStyle w:val="Heading3"/>
      </w:pPr>
      <w:r>
        <w:rPr>
          <w:rStyle w:val="VerbatimChar"/>
        </w:rPr>
        <w:t xml:space="preserve">POST /auth/refresh</w:t>
      </w:r>
    </w:p>
    <w:p>
      <w:pPr>
        <w:pStyle w:val="FirstParagraph"/>
      </w:pPr>
      <w:r>
        <w:rPr>
          <w:bCs/>
          <w:b/>
        </w:rPr>
        <w:t xml:space="preserve">Auth:</w:t>
      </w:r>
      <w:r>
        <w:t xml:space="preserve"> </w:t>
      </w:r>
      <w:r>
        <w:t xml:space="preserve">none (refresh token in body). Response</w:t>
      </w:r>
      <w:r>
        <w:t xml:space="preserve"> </w:t>
      </w:r>
      <w:r>
        <w:rPr>
          <w:rStyle w:val="VerbatimChar"/>
        </w:rPr>
        <w:t xml:space="preserve">200</w:t>
      </w:r>
      <w:r>
        <w:t xml:space="preserve">: new</w:t>
      </w:r>
      <w:r>
        <w:t xml:space="preserve"> </w:t>
      </w:r>
      <w:r>
        <w:rPr>
          <w:rStyle w:val="VerbatimChar"/>
        </w:rPr>
        <w:t xml:space="preserve">access_token</w:t>
      </w:r>
      <w:r>
        <w:t xml:space="preserve">.</w:t>
      </w:r>
    </w:p>
    <w:bookmarkEnd w:id="99"/>
    <w:bookmarkStart w:id="100" w:name="post-authverify-email"/>
    <w:p>
      <w:pPr>
        <w:pStyle w:val="Heading3"/>
      </w:pPr>
      <w:r>
        <w:rPr>
          <w:rStyle w:val="VerbatimChar"/>
        </w:rPr>
        <w:t xml:space="preserve">POST /auth/verify-email</w:t>
      </w:r>
    </w:p>
    <w:p>
      <w:pPr>
        <w:pStyle w:val="FirstParagraph"/>
      </w:pPr>
      <w:r>
        <w:rPr>
          <w:bCs/>
          <w:b/>
        </w:rPr>
        <w:t xml:space="preserve">Auth:</w:t>
      </w:r>
      <w:r>
        <w:t xml:space="preserve"> </w:t>
      </w:r>
      <w:r>
        <w:t xml:space="preserve">none (verification token in body, emailed on signup). Response</w:t>
      </w:r>
      <w:r>
        <w:t xml:space="preserve"> </w:t>
      </w:r>
      <w:r>
        <w:rPr>
          <w:rStyle w:val="VerbatimChar"/>
        </w:rPr>
        <w:t xml:space="preserve">200</w:t>
      </w:r>
      <w:r>
        <w:t xml:space="preserve">:</w:t>
      </w:r>
      <w:r>
        <w:t xml:space="preserve"> </w:t>
      </w:r>
      <w:r>
        <w:rPr>
          <w:rStyle w:val="VerbatimChar"/>
        </w:rPr>
        <w:t xml:space="preserve">{"email_verified": true}</w:t>
      </w:r>
      <w:r>
        <w:t xml:space="preserve">.</w:t>
      </w:r>
    </w:p>
    <w:bookmarkEnd w:id="100"/>
    <w:bookmarkStart w:id="101" w:name="Xdbfe294aef60535aad86972870fc3d705fed802"/>
    <w:p>
      <w:pPr>
        <w:pStyle w:val="Heading3"/>
      </w:pPr>
      <w:r>
        <w:rPr>
          <w:rStyle w:val="VerbatimChar"/>
        </w:rPr>
        <w:t xml:space="preserve">POST /auth/forgot-password</w:t>
      </w:r>
      <w:r>
        <w:t xml:space="preserve"> </w:t>
      </w:r>
      <w:r>
        <w:t xml:space="preserve">/</w:t>
      </w:r>
      <w:r>
        <w:t xml:space="preserve"> </w:t>
      </w:r>
      <w:r>
        <w:rPr>
          <w:rStyle w:val="VerbatimChar"/>
        </w:rPr>
        <w:t xml:space="preserve">POST /auth/reset-password</w:t>
      </w:r>
    </w:p>
    <w:p>
      <w:pPr>
        <w:pStyle w:val="FirstParagraph"/>
      </w:pPr>
      <w:r>
        <w:t xml:space="preserve">Standard email-based reset flow; request/response shapes mirror</w:t>
      </w:r>
      <w:r>
        <w:t xml:space="preserve"> </w:t>
      </w:r>
      <w:r>
        <w:rPr>
          <w:rStyle w:val="VerbatimChar"/>
        </w:rPr>
        <w:t xml:space="preserve">login</w:t>
      </w:r>
      <w:r>
        <w:t xml:space="preserve">/</w:t>
      </w:r>
      <w:r>
        <w:rPr>
          <w:rStyle w:val="VerbatimChar"/>
        </w:rPr>
        <w:t xml:space="preserve">signup</w:t>
      </w:r>
      <w:r>
        <w:t xml:space="preserve"> </w:t>
      </w:r>
      <w:r>
        <w:t xml:space="preserve">conventions above.</w:t>
      </w:r>
    </w:p>
    <w:bookmarkEnd w:id="101"/>
    <w:bookmarkEnd w:id="102"/>
    <w:bookmarkStart w:id="108" w:name="conferences-1"/>
    <w:p>
      <w:pPr>
        <w:pStyle w:val="Heading2"/>
      </w:pPr>
      <w:r>
        <w:t xml:space="preserve">5.2 Conferences</w:t>
      </w:r>
    </w:p>
    <w:bookmarkStart w:id="103" w:name="get-conferences"/>
    <w:p>
      <w:pPr>
        <w:pStyle w:val="Heading3"/>
      </w:pPr>
      <w:r>
        <w:rPr>
          <w:rStyle w:val="VerbatimChar"/>
        </w:rPr>
        <w:t xml:space="preserve">GET /conferences</w:t>
      </w:r>
    </w:p>
    <w:p>
      <w:pPr>
        <w:pStyle w:val="FirstParagraph"/>
      </w:pPr>
      <w:r>
        <w:rPr>
          <w:bCs/>
          <w:b/>
        </w:rPr>
        <w:t xml:space="preserve">Auth:</w:t>
      </w:r>
      <w:r>
        <w:t xml:space="preserve"> </w:t>
      </w:r>
      <w:r>
        <w:t xml:space="preserve">any authenticated role (public browsing could be opened up further, but the prototype requires login).</w:t>
      </w:r>
      <w:r>
        <w:t xml:space="preserve"> </w:t>
      </w:r>
      <w:r>
        <w:rPr>
          <w:bCs/>
          <w:b/>
        </w:rPr>
        <w:t xml:space="preserve">Purpose:</w:t>
      </w:r>
      <w:r>
        <w:t xml:space="preserve"> </w:t>
      </w:r>
      <w:r>
        <w:t xml:space="preserve">list/filter open conferences. Query params:</w:t>
      </w:r>
      <w:r>
        <w:t xml:space="preserve"> </w:t>
      </w:r>
      <w:r>
        <w:rPr>
          <w:rStyle w:val="VerbatimChar"/>
        </w:rPr>
        <w:t xml:space="preserve">theme</w:t>
      </w:r>
      <w:r>
        <w:t xml:space="preserve">,</w:t>
      </w:r>
      <w:r>
        <w:t xml:space="preserve"> </w:t>
      </w:r>
      <w:r>
        <w:rPr>
          <w:rStyle w:val="VerbatimChar"/>
        </w:rPr>
        <w:t xml:space="preserve">track</w:t>
      </w:r>
      <w:r>
        <w:t xml:space="preserve">,</w:t>
      </w:r>
      <w:r>
        <w:t xml:space="preserve"> </w:t>
      </w:r>
      <w:r>
        <w:rPr>
          <w:rStyle w:val="VerbatimChar"/>
        </w:rPr>
        <w:t xml:space="preserve">deadline_before</w:t>
      </w:r>
      <w:r>
        <w:t xml:space="preserve">,</w:t>
      </w:r>
      <w:r>
        <w:t xml:space="preserve"> </w:t>
      </w:r>
      <w:r>
        <w:rPr>
          <w:rStyle w:val="VerbatimChar"/>
        </w:rPr>
        <w:t xml:space="preserve">deadline_after</w:t>
      </w:r>
      <w:r>
        <w:t xml:space="preserve">.</w:t>
      </w:r>
    </w:p>
    <w:p>
      <w:pPr>
        <w:pStyle w:val="BodyText"/>
      </w:pPr>
      <w:r>
        <w:t xml:space="preserve">Response</w:t>
      </w:r>
      <w:r>
        <w:t xml:space="preserve"> </w:t>
      </w:r>
      <w:r>
        <w:rPr>
          <w:rStyle w:val="VerbatimChar"/>
        </w:rPr>
        <w:t xml:space="preserve">200</w:t>
      </w:r>
      <w:r>
        <w:t xml:space="preserv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"c1..."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"ICML-like Demo Conf"</w:t>
      </w:r>
      <w:r>
        <w:rPr>
          <w:rStyle w:val="FunctionTok"/>
        </w:rPr>
        <w:t xml:space="preserve">,</w:t>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"Machine Learning"</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"2026-11-01"</w:t>
      </w:r>
      <w:r>
        <w:rPr>
          <w:rStyle w:val="FunctionTok"/>
        </w:rPr>
        <w:t xml:space="preserve">,</w:t>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"2026-11-03"</w:t>
      </w:r>
      <w:r>
        <w:rPr>
          <w:rStyle w:val="FunctionTok"/>
        </w:rPr>
        <w:t xml:space="preserve">,</w:t>
      </w:r>
      <w:r>
        <w:rPr>
          <w:rStyle w:val="NormalTok"/>
        </w:rPr>
        <w:t xml:space="preserve"> </w:t>
      </w:r>
      <w:r>
        <w:rPr>
          <w:rStyle w:val="DataTypeTok"/>
        </w:rPr>
        <w:t xml:space="preserve">"publisher_format"</w:t>
      </w:r>
      <w:r>
        <w:rPr>
          <w:rStyle w:val="FunctionTok"/>
        </w:rPr>
        <w:t xml:space="preserve">:</w:t>
      </w:r>
      <w:r>
        <w:rPr>
          <w:rStyle w:val="NormalTok"/>
        </w:rPr>
        <w:t xml:space="preserve"> </w:t>
      </w:r>
      <w:r>
        <w:rPr>
          <w:rStyle w:val="StringTok"/>
        </w:rPr>
        <w:t xml:space="preserve">"ieee"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03"/>
    <w:bookmarkStart w:id="104" w:name="get-conferencesid"/>
    <w:p>
      <w:pPr>
        <w:pStyle w:val="Heading3"/>
      </w:pPr>
      <w:r>
        <w:rPr>
          <w:rStyle w:val="VerbatimChar"/>
        </w:rPr>
        <w:t xml:space="preserve">GET /conferences/{id}</w:t>
      </w:r>
    </w:p>
    <w:p>
      <w:pPr>
        <w:pStyle w:val="FirstParagraph"/>
      </w:pPr>
      <w:r>
        <w:rPr>
          <w:bCs/>
          <w:b/>
        </w:rPr>
        <w:t xml:space="preserve">Auth:</w:t>
      </w:r>
      <w:r>
        <w:t xml:space="preserve"> </w:t>
      </w:r>
      <w:r>
        <w:t xml:space="preserve">any authenticated role. Returns full conference detail including</w:t>
      </w:r>
      <w:r>
        <w:t xml:space="preserve"> </w:t>
      </w:r>
      <w:r>
        <w:rPr>
          <w:rStyle w:val="VerbatimChar"/>
        </w:rPr>
        <w:t xml:space="preserve">tracks</w:t>
      </w:r>
      <w:r>
        <w:t xml:space="preserve">, and, if the caller is the researcher’s-eye view, the conference’s</w:t>
      </w:r>
      <w:r>
        <w:t xml:space="preserve"> </w:t>
      </w:r>
      <w:r>
        <w:rPr>
          <w:iCs/>
          <w:i/>
        </w:rPr>
        <w:t xml:space="preserve">soft</w:t>
      </w:r>
      <w:r>
        <w:t xml:space="preserve">-gate thresholds only (hard-gate exact values are visible to organizers; researchers see qualitative descriptions, not exact numeric thresholds, to avoid inviting threshold-gaming —</w:t>
      </w:r>
      <w:r>
        <w:t xml:space="preserve"> </w:t>
      </w:r>
      <w:r>
        <w:rPr>
          <w:bCs/>
          <w:b/>
        </w:rPr>
        <w:t xml:space="preserve">[ASSUMPTION]</w:t>
      </w:r>
      <w:r>
        <w:t xml:space="preserve">, not explicit in the product spec but a reasonable reading of the</w:t>
      </w:r>
      <w:r>
        <w:t xml:space="preserve"> </w:t>
      </w:r>
      <w:r>
        <w:t xml:space="preserve">“</w:t>
      </w:r>
      <w:r>
        <w:t xml:space="preserve">AI handles mechanical checks, not a black box, but organizer-configured</w:t>
      </w:r>
      <w:r>
        <w:t xml:space="preserve">”</w:t>
      </w:r>
      <w:r>
        <w:t xml:space="preserve"> </w:t>
      </w:r>
      <w:r>
        <w:t xml:space="preserve">framing).</w:t>
      </w:r>
    </w:p>
    <w:bookmarkEnd w:id="104"/>
    <w:bookmarkStart w:id="105" w:name="post-conferences"/>
    <w:p>
      <w:pPr>
        <w:pStyle w:val="Heading3"/>
      </w:pPr>
      <w:r>
        <w:rPr>
          <w:rStyle w:val="VerbatimChar"/>
        </w:rPr>
        <w:t xml:space="preserve">POST /conferences</w:t>
      </w:r>
    </w:p>
    <w:p>
      <w:pPr>
        <w:pStyle w:val="FirstParagraph"/>
      </w:pPr>
      <w:r>
        <w:rPr>
          <w:bCs/>
          <w:b/>
        </w:rPr>
        <w:t xml:space="preserve">Auth:</w:t>
      </w:r>
      <w:r>
        <w:t xml:space="preserve"> </w:t>
      </w:r>
      <w:r>
        <w:rPr>
          <w:rStyle w:val="VerbatimChar"/>
        </w:rPr>
        <w:t xml:space="preserve">organizer</w:t>
      </w:r>
      <w:r>
        <w:t xml:space="preserve">. Creates a conference. Request mirrors the</w:t>
      </w:r>
      <w:r>
        <w:t xml:space="preserve"> </w:t>
      </w:r>
      <w:r>
        <w:rPr>
          <w:rStyle w:val="VerbatimChar"/>
        </w:rPr>
        <w:t xml:space="preserve">conferences</w:t>
      </w:r>
      <w:r>
        <w:t xml:space="preserve"> </w:t>
      </w:r>
      <w:r>
        <w:t xml:space="preserve">table columns (§4.3).</w:t>
      </w:r>
    </w:p>
    <w:bookmarkEnd w:id="105"/>
    <w:bookmarkStart w:id="106" w:name="patch-conferencesid"/>
    <w:p>
      <w:pPr>
        <w:pStyle w:val="Heading3"/>
      </w:pPr>
      <w:r>
        <w:rPr>
          <w:rStyle w:val="VerbatimChar"/>
        </w:rPr>
        <w:t xml:space="preserve">PATCH /conferences/{id}</w:t>
      </w:r>
    </w:p>
    <w:p>
      <w:pPr>
        <w:pStyle w:val="FirstParagraph"/>
      </w:pPr>
      <w:r>
        <w:rPr>
          <w:bCs/>
          <w:b/>
        </w:rPr>
        <w:t xml:space="preserve">Auth:</w:t>
      </w:r>
      <w:r>
        <w:t xml:space="preserve"> </w:t>
      </w:r>
      <w:r>
        <w:rPr>
          <w:rStyle w:val="VerbatimChar"/>
        </w:rPr>
        <w:t xml:space="preserve">organizer</w:t>
      </w:r>
      <w:r>
        <w:t xml:space="preserve"> </w:t>
      </w:r>
      <w:r>
        <w:t xml:space="preserve">(must be the conference’s organizer or a</w:t>
      </w:r>
      <w:r>
        <w:t xml:space="preserve"> </w:t>
      </w:r>
      <w:r>
        <w:rPr>
          <w:rStyle w:val="VerbatimChar"/>
        </w:rPr>
        <w:t xml:space="preserve">full</w:t>
      </w:r>
      <w:r>
        <w:t xml:space="preserve">-permission co-admin, §4.3). Partial update.</w:t>
      </w:r>
    </w:p>
    <w:bookmarkEnd w:id="106"/>
    <w:bookmarkStart w:id="107" w:name="Xe4e056b6e70d56bab799139e27958cd9d7bdff4"/>
    <w:p>
      <w:pPr>
        <w:pStyle w:val="Heading3"/>
      </w:pPr>
      <w:r>
        <w:rPr>
          <w:rStyle w:val="VerbatimChar"/>
        </w:rPr>
        <w:t xml:space="preserve">GET /conferences/{id}/gate-rules</w:t>
      </w:r>
      <w:r>
        <w:t xml:space="preserve"> </w:t>
      </w:r>
      <w:r>
        <w:t xml:space="preserve">/</w:t>
      </w:r>
      <w:r>
        <w:t xml:space="preserve"> </w:t>
      </w:r>
      <w:r>
        <w:rPr>
          <w:rStyle w:val="VerbatimChar"/>
        </w:rPr>
        <w:t xml:space="preserve">PUT /conferences/{id}/gate-rules</w:t>
      </w:r>
    </w:p>
    <w:p>
      <w:pPr>
        <w:pStyle w:val="FirstParagraph"/>
      </w:pPr>
      <w:r>
        <w:rPr>
          <w:bCs/>
          <w:b/>
        </w:rPr>
        <w:t xml:space="preserve">Auth:</w:t>
      </w:r>
      <w:r>
        <w:t xml:space="preserve"> </w:t>
      </w:r>
      <w:r>
        <w:t xml:space="preserve">GET — organizer/co-admin of that conference. PUT — same,</w:t>
      </w:r>
      <w:r>
        <w:t xml:space="preserve"> </w:t>
      </w:r>
      <w:r>
        <w:rPr>
          <w:rStyle w:val="VerbatimChar"/>
        </w:rPr>
        <w:t xml:space="preserve">full</w:t>
      </w:r>
      <w:r>
        <w:t xml:space="preserve"> </w:t>
      </w:r>
      <w:r>
        <w:t xml:space="preserve">permission only. Request body for PUT is an array of gate-rule objects (§4.3</w:t>
      </w:r>
      <w:r>
        <w:t xml:space="preserve"> </w:t>
      </w:r>
      <w:r>
        <w:rPr>
          <w:rStyle w:val="VerbatimChar"/>
        </w:rPr>
        <w:t xml:space="preserve">gate_rules</w:t>
      </w:r>
      <w:r>
        <w:t xml:space="preserve"> </w:t>
      </w:r>
      <w:r>
        <w:t xml:space="preserve">columns); the backend validates the §1.4/§4.3 constraint that</w:t>
      </w:r>
      <w:r>
        <w:t xml:space="preserve"> </w:t>
      </w:r>
      <w:r>
        <w:rPr>
          <w:rStyle w:val="VerbatimChar"/>
        </w:rPr>
        <w:t xml:space="preserve">ai_content_pct</w:t>
      </w:r>
      <w:r>
        <w:t xml:space="preserve"> </w:t>
      </w:r>
      <w:r>
        <w:t xml:space="preserve">and</w:t>
      </w:r>
      <w:r>
        <w:t xml:space="preserve"> </w:t>
      </w:r>
      <w:r>
        <w:rPr>
          <w:rStyle w:val="VerbatimChar"/>
        </w:rPr>
        <w:t xml:space="preserve">plagiarism_pct</w:t>
      </w:r>
      <w:r>
        <w:t xml:space="preserve"> </w:t>
      </w:r>
      <w:r>
        <w:t xml:space="preserve">(semantic-similarity-derived) rules cannot be submitted with</w:t>
      </w:r>
      <w:r>
        <w:t xml:space="preserve"> </w:t>
      </w:r>
      <w:r>
        <w:rPr>
          <w:rStyle w:val="VerbatimChar"/>
        </w:rPr>
        <w:t xml:space="preserve">is_hard_gate: true</w:t>
      </w:r>
      <w:r>
        <w:t xml:space="preserve">, returning</w:t>
      </w:r>
      <w:r>
        <w:t xml:space="preserve"> </w:t>
      </w:r>
      <w:r>
        <w:rPr>
          <w:rStyle w:val="VerbatimChar"/>
        </w:rPr>
        <w:t xml:space="preserve">422</w:t>
      </w:r>
      <w:r>
        <w:t xml:space="preserve"> </w:t>
      </w:r>
      <w:r>
        <w:t xml:space="preserve">with a clear error message if violated —</w:t>
      </w:r>
      <w:r>
        <w:t xml:space="preserve"> </w:t>
      </w:r>
      <w:r>
        <w:rPr>
          <w:bCs/>
          <w:b/>
        </w:rPr>
        <w:t xml:space="preserve">this validation must exist in the API layer, not only as a UI restriction</w:t>
      </w:r>
      <w:r>
        <w:t xml:space="preserve">, since the whole point is that it cannot be bypassed.</w:t>
      </w:r>
    </w:p>
    <w:bookmarkEnd w:id="107"/>
    <w:bookmarkEnd w:id="108"/>
    <w:bookmarkStart w:id="115" w:name="submissions-1"/>
    <w:p>
      <w:pPr>
        <w:pStyle w:val="Heading2"/>
      </w:pPr>
      <w:r>
        <w:t xml:space="preserve">5.3 Submissions</w:t>
      </w:r>
    </w:p>
    <w:bookmarkStart w:id="109" w:name="post-submissions"/>
    <w:p>
      <w:pPr>
        <w:pStyle w:val="Heading3"/>
      </w:pPr>
      <w:r>
        <w:rPr>
          <w:rStyle w:val="VerbatimChar"/>
        </w:rPr>
        <w:t xml:space="preserve">POST /submissions</w:t>
      </w:r>
    </w:p>
    <w:p>
      <w:pPr>
        <w:pStyle w:val="FirstParagraph"/>
      </w:pPr>
      <w:r>
        <w:rPr>
          <w:bCs/>
          <w:b/>
        </w:rPr>
        <w:t xml:space="preserve">Auth:</w:t>
      </w:r>
      <w:r>
        <w:t xml:space="preserve"> </w:t>
      </w:r>
      <w:r>
        <w:rPr>
          <w:rStyle w:val="VerbatimChar"/>
        </w:rPr>
        <w:t xml:space="preserve">researcher</w:t>
      </w:r>
      <w:r>
        <w:t xml:space="preserve">.</w:t>
      </w:r>
      <w:r>
        <w:t xml:space="preserve"> </w:t>
      </w:r>
      <w:r>
        <w:rPr>
          <w:bCs/>
          <w:b/>
        </w:rPr>
        <w:t xml:space="preserve">Purpose:</w:t>
      </w:r>
      <w:r>
        <w:t xml:space="preserve"> </w:t>
      </w:r>
      <w:r>
        <w:t xml:space="preserve">create a new submission and upload the first version.</w:t>
      </w:r>
      <w:r>
        <w:t xml:space="preserve"> </w:t>
      </w:r>
      <w:r>
        <w:rPr>
          <w:rStyle w:val="VerbatimChar"/>
        </w:rPr>
        <w:t xml:space="preserve">multipart/form-data</w:t>
      </w:r>
      <w:r>
        <w:t xml:space="preserve">:</w:t>
      </w:r>
      <w:r>
        <w:t xml:space="preserve"> </w:t>
      </w:r>
      <w:r>
        <w:rPr>
          <w:rStyle w:val="VerbatimChar"/>
        </w:rPr>
        <w:t xml:space="preserve">conference_id</w:t>
      </w:r>
      <w:r>
        <w:t xml:space="preserve">,</w:t>
      </w:r>
      <w:r>
        <w:t xml:space="preserve"> </w:t>
      </w:r>
      <w:r>
        <w:rPr>
          <w:rStyle w:val="VerbatimChar"/>
        </w:rPr>
        <w:t xml:space="preserve">track</w:t>
      </w:r>
      <w:r>
        <w:t xml:space="preserve">,</w:t>
      </w:r>
      <w:r>
        <w:t xml:space="preserve"> </w:t>
      </w:r>
      <w:r>
        <w:rPr>
          <w:rStyle w:val="VerbatimChar"/>
        </w:rPr>
        <w:t xml:space="preserve">title</w:t>
      </w:r>
      <w:r>
        <w:t xml:space="preserve">,</w:t>
      </w:r>
      <w:r>
        <w:t xml:space="preserve"> </w:t>
      </w:r>
      <w:r>
        <w:rPr>
          <w:rStyle w:val="VerbatimChar"/>
        </w:rPr>
        <w:t xml:space="preserve">abstract</w:t>
      </w:r>
      <w:r>
        <w:t xml:space="preserve">,</w:t>
      </w:r>
      <w:r>
        <w:t xml:space="preserve"> </w:t>
      </w:r>
      <w:r>
        <w:rPr>
          <w:rStyle w:val="VerbatimChar"/>
        </w:rPr>
        <w:t xml:space="preserve">file</w:t>
      </w:r>
      <w:r>
        <w:t xml:space="preserve"> </w:t>
      </w:r>
      <w:r>
        <w:t xml:space="preserve">(PDF).</w:t>
      </w:r>
    </w:p>
    <w:p>
      <w:pPr>
        <w:pStyle w:val="BodyText"/>
      </w:pPr>
      <w:r>
        <w:t xml:space="preserve">Response</w:t>
      </w:r>
      <w:r>
        <w:t xml:space="preserve"> </w:t>
      </w:r>
      <w:r>
        <w:rPr>
          <w:rStyle w:val="VerbatimChar"/>
        </w:rPr>
        <w:t xml:space="preserve">201</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"current_version_id"</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"conference_id"</w:t>
      </w:r>
      <w:r>
        <w:rPr>
          <w:rStyle w:val="FunctionTok"/>
        </w:rPr>
        <w:t xml:space="preserve">:</w:t>
      </w:r>
      <w:r>
        <w:rPr>
          <w:rStyle w:val="NormalTok"/>
        </w:rPr>
        <w:t xml:space="preserve"> </w:t>
      </w:r>
      <w:r>
        <w:rPr>
          <w:rStyle w:val="StringTok"/>
        </w:rPr>
        <w:t xml:space="preserve">"c1..."</w:t>
      </w:r>
      <w:r>
        <w:br/>
      </w:r>
      <w:r>
        <w:rPr>
          <w:rStyle w:val="FunctionTok"/>
        </w:rPr>
        <w:t xml:space="preserve">}</w:t>
      </w:r>
    </w:p>
    <w:p>
      <w:pPr>
        <w:pStyle w:val="FirstParagraph"/>
      </w:pPr>
      <w:r>
        <w:t xml:space="preserve">This triggers the AI orchestration background tasks (§2.3) immediately on creation.</w:t>
      </w:r>
    </w:p>
    <w:bookmarkEnd w:id="109"/>
    <w:bookmarkStart w:id="110" w:name="get-submissionsid"/>
    <w:p>
      <w:pPr>
        <w:pStyle w:val="Heading3"/>
      </w:pPr>
      <w:r>
        <w:rPr>
          <w:rStyle w:val="VerbatimChar"/>
        </w:rPr>
        <w:t xml:space="preserve">GET /submissions/{id}</w:t>
      </w:r>
    </w:p>
    <w:p>
      <w:pPr>
        <w:pStyle w:val="FirstParagraph"/>
      </w:pPr>
      <w:r>
        <w:rPr>
          <w:bCs/>
          <w:b/>
        </w:rPr>
        <w:t xml:space="preserve">Auth:</w:t>
      </w:r>
      <w:r>
        <w:t xml:space="preserve"> </w:t>
      </w:r>
      <w:r>
        <w:t xml:space="preserve">the submitting researcher, an assigned reviewer, or an organizer/co-admin of that submission’s conference. Returns submission metadata + current</w:t>
      </w:r>
      <w:r>
        <w:t xml:space="preserve"> </w:t>
      </w:r>
      <w:r>
        <w:rPr>
          <w:rStyle w:val="VerbatimChar"/>
        </w:rPr>
        <w:t xml:space="preserve">status</w:t>
      </w:r>
      <w:r>
        <w:t xml:space="preserve">.</w:t>
      </w:r>
    </w:p>
    <w:bookmarkEnd w:id="110"/>
    <w:bookmarkStart w:id="111" w:name="get-submissionsidai-report"/>
    <w:p>
      <w:pPr>
        <w:pStyle w:val="Heading3"/>
      </w:pPr>
      <w:r>
        <w:rPr>
          <w:rStyle w:val="VerbatimChar"/>
        </w:rPr>
        <w:t xml:space="preserve">GET /submissions/{id}/ai-report</w:t>
      </w:r>
    </w:p>
    <w:p>
      <w:pPr>
        <w:pStyle w:val="FirstParagraph"/>
      </w:pPr>
      <w:r>
        <w:rPr>
          <w:bCs/>
          <w:b/>
        </w:rPr>
        <w:t xml:space="preserve">Auth:</w:t>
      </w:r>
      <w:r>
        <w:t xml:space="preserve"> </w:t>
      </w:r>
      <w:r>
        <w:t xml:space="preserve">same as above.</w:t>
      </w:r>
      <w:r>
        <w:t xml:space="preserve"> </w:t>
      </w:r>
      <w:r>
        <w:rPr>
          <w:bCs/>
          <w:b/>
        </w:rPr>
        <w:t xml:space="preserve">Purpose:</w:t>
      </w:r>
      <w:r>
        <w:t xml:space="preserve"> </w:t>
      </w:r>
      <w:r>
        <w:t xml:space="preserve">the core</w:t>
      </w:r>
      <w:r>
        <w:t xml:space="preserve"> </w:t>
      </w:r>
      <w:r>
        <w:t xml:space="preserve">“</w:t>
      </w:r>
      <w:r>
        <w:t xml:space="preserve">wow</w:t>
      </w:r>
      <w:r>
        <w:t xml:space="preserve">”</w:t>
      </w:r>
      <w:r>
        <w:t xml:space="preserve"> </w:t>
      </w:r>
      <w:r>
        <w:t xml:space="preserve">endpoint backing the AI Feedback Report page (§6.2.5). Response</w:t>
      </w:r>
      <w:r>
        <w:t xml:space="preserve"> </w:t>
      </w:r>
      <w:r>
        <w:rPr>
          <w:rStyle w:val="VerbatimChar"/>
        </w:rPr>
        <w:t xml:space="preserve">200</w:t>
      </w:r>
      <w:r>
        <w:t xml:space="preserve">:</w:t>
      </w:r>
    </w:p>
    <w:p>
      <w:pPr>
        <w:pStyle w:val="SourceCode"/>
      </w:pPr>
      <w:r>
        <w:rPr>
          <w:rStyle w:val="FunctionTok"/>
        </w:rPr>
        <w:t xml:space="preserve">{</w:t>
      </w:r>
      <w:r>
        <w:br/>
      </w:r>
      <w:r>
        <w:rPr>
          <w:rStyle w:val="NormalTok"/>
        </w:rPr>
        <w:t xml:space="preserve">  </w:t>
      </w:r>
      <w:r>
        <w:rPr>
          <w:rStyle w:val="DataTypeTok"/>
        </w:rPr>
        <w:t xml:space="preserve">"submission_id"</w:t>
      </w:r>
      <w:r>
        <w:rPr>
          <w:rStyle w:val="FunctionTok"/>
        </w:rPr>
        <w:t xml:space="preserve">:</w:t>
      </w:r>
      <w:r>
        <w:rPr>
          <w:rStyle w:val="NormalTok"/>
        </w:rPr>
        <w:t xml:space="preserve"> </w:t>
      </w:r>
      <w:r>
        <w:rPr>
          <w:rStyle w:val="StringTok"/>
        </w:rPr>
        <w:t xml:space="preserve">"s1..."</w:t>
      </w:r>
      <w:r>
        <w:rPr>
          <w:rStyle w:val="FunctionTok"/>
        </w:rPr>
        <w:t xml:space="preserve">,</w:t>
      </w:r>
      <w:r>
        <w:br/>
      </w:r>
      <w:r>
        <w:rPr>
          <w:rStyle w:val="NormalTok"/>
        </w:rPr>
        <w:t xml:space="preserve">  </w:t>
      </w:r>
      <w:r>
        <w:rPr>
          <w:rStyle w:val="DataTypeTok"/>
        </w:rPr>
        <w:t xml:space="preserve">"version_id"</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"overall_status"</w:t>
      </w:r>
      <w:r>
        <w:rPr>
          <w:rStyle w:val="FunctionTok"/>
        </w:rPr>
        <w:t xml:space="preserve">:</w:t>
      </w:r>
      <w:r>
        <w:rPr>
          <w:rStyle w:val="NormalTok"/>
        </w:rPr>
        <w:t xml:space="preserve"> </w:t>
      </w:r>
      <w:r>
        <w:rPr>
          <w:rStyle w:val="StringTok"/>
        </w:rPr>
        <w:t xml:space="preserve">"in_human_review"</w:t>
      </w:r>
      <w:r>
        <w:rPr>
          <w:rStyle w:val="FunctionTok"/>
        </w:rPr>
        <w:t xml:space="preserve">,</w:t>
      </w:r>
      <w:r>
        <w:br/>
      </w:r>
      <w:r>
        <w:rPr>
          <w:rStyle w:val="NormalTok"/>
        </w:rPr>
        <w:t xml:space="preserve">  </w:t>
      </w:r>
      <w:r>
        <w:rPr>
          <w:rStyle w:val="DataTypeTok"/>
        </w:rPr>
        <w:t xml:space="preserve">"checks"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"check_type"</w:t>
      </w:r>
      <w:r>
        <w:rPr>
          <w:rStyle w:val="FunctionTok"/>
        </w:rPr>
        <w:t xml:space="preserve">:</w:t>
      </w:r>
      <w:r>
        <w:rPr>
          <w:rStyle w:val="NormalTok"/>
        </w:rPr>
        <w:t xml:space="preserve"> </w:t>
      </w:r>
      <w:r>
        <w:rPr>
          <w:rStyle w:val="StringTok"/>
        </w:rPr>
        <w:t xml:space="preserve">"plagiarism"</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8.2</w:t>
      </w:r>
      <w:r>
        <w:rPr>
          <w:rStyle w:val="FunctionTok"/>
        </w:rPr>
        <w:t xml:space="preserve">,</w:t>
      </w:r>
      <w:r>
        <w:br/>
      </w:r>
      <w:r>
        <w:rPr>
          <w:rStyle w:val="NormalTok"/>
        </w:rPr>
        <w:t xml:space="preserve">      </w:t>
      </w:r>
      <w:r>
        <w:rPr>
          <w:rStyle w:val="DataTypeTok"/>
        </w:rPr>
        <w:t xml:space="preserve">"flagged"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"pass_fail"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"matched_paper_ext_id"</w:t>
      </w:r>
      <w:r>
        <w:rPr>
          <w:rStyle w:val="FunctionTok"/>
        </w:rPr>
        <w:t xml:space="preserve">:</w:t>
      </w:r>
      <w:r>
        <w:rPr>
          <w:rStyle w:val="NormalTok"/>
        </w:rPr>
        <w:t xml:space="preserve"> </w:t>
      </w:r>
      <w:r>
        <w:rPr>
          <w:rStyle w:val="StringTok"/>
        </w:rPr>
        <w:t xml:space="preserve">"arXiv:2401.01234"</w:t>
      </w:r>
      <w:r>
        <w:rPr>
          <w:rStyle w:val="FunctionTok"/>
        </w:rPr>
        <w:t xml:space="preserve">,</w:t>
      </w:r>
      <w:r>
        <w:rPr>
          <w:rStyle w:val="NormalTok"/>
        </w:rPr>
        <w:t xml:space="preserve"> </w:t>
      </w:r>
      <w:r>
        <w:rPr>
          <w:rStyle w:val="DataTypeTok"/>
        </w:rPr>
        <w:t xml:space="preserve">"matched_span"</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"similarity_score"</w:t>
      </w:r>
      <w:r>
        <w:rPr>
          <w:rStyle w:val="FunctionTok"/>
        </w:rPr>
        <w:t xml:space="preserve">:</w:t>
      </w:r>
      <w:r>
        <w:rPr>
          <w:rStyle w:val="NormalTok"/>
        </w:rPr>
        <w:t xml:space="preserve"> </w:t>
      </w:r>
      <w:r>
        <w:rPr>
          <w:rStyle w:val="FloatTok"/>
        </w:rPr>
        <w:t xml:space="preserve">0.81</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"check_type"</w:t>
      </w:r>
      <w:r>
        <w:rPr>
          <w:rStyle w:val="FunctionTok"/>
        </w:rPr>
        <w:t xml:space="preserve">:</w:t>
      </w:r>
      <w:r>
        <w:rPr>
          <w:rStyle w:val="NormalTok"/>
        </w:rPr>
        <w:t xml:space="preserve"> </w:t>
      </w:r>
      <w:r>
        <w:rPr>
          <w:rStyle w:val="StringTok"/>
        </w:rPr>
        <w:t xml:space="preserve">"ai_text"</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"flagged"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"pass_fail"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DataTypeTok"/>
        </w:rPr>
        <w:t xml:space="preserve">"binoculars_flag"</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"fastdetect_flag"</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"combined_flag"</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"check_type"</w:t>
      </w:r>
      <w:r>
        <w:rPr>
          <w:rStyle w:val="FunctionTok"/>
        </w:rPr>
        <w:t xml:space="preserve">:</w:t>
      </w:r>
      <w:r>
        <w:rPr>
          <w:rStyle w:val="NormalTok"/>
        </w:rPr>
        <w:t xml:space="preserve"> </w:t>
      </w:r>
      <w:r>
        <w:rPr>
          <w:rStyle w:val="StringTok"/>
        </w:rPr>
        <w:t xml:space="preserve">"grammar"</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92</w:t>
      </w:r>
      <w:r>
        <w:rPr>
          <w:rStyle w:val="FunctionTok"/>
        </w:rPr>
        <w:t xml:space="preserve">,</w:t>
      </w:r>
      <w:r>
        <w:rPr>
          <w:rStyle w:val="NormalTok"/>
        </w:rPr>
        <w:t xml:space="preserve"> </w:t>
      </w:r>
      <w:r>
        <w:rPr>
          <w:rStyle w:val="DataTypeTok"/>
        </w:rPr>
        <w:t xml:space="preserve">"flagged"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"pass_fail"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DataTypeTok"/>
        </w:rPr>
        <w:t xml:space="preserve">"issue_count"</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"check_type"</w:t>
      </w:r>
      <w:r>
        <w:rPr>
          <w:rStyle w:val="FunctionTok"/>
        </w:rPr>
        <w:t xml:space="preserve">:</w:t>
      </w:r>
      <w:r>
        <w:rPr>
          <w:rStyle w:val="NormalTok"/>
        </w:rPr>
        <w:t xml:space="preserve"> </w:t>
      </w:r>
      <w:r>
        <w:rPr>
          <w:rStyle w:val="StringTok"/>
        </w:rPr>
        <w:t xml:space="preserve">"citation"</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88</w:t>
      </w:r>
      <w:r>
        <w:rPr>
          <w:rStyle w:val="FunctionTok"/>
        </w:rPr>
        <w:t xml:space="preserve">,</w:t>
      </w:r>
      <w:r>
        <w:rPr>
          <w:rStyle w:val="NormalTok"/>
        </w:rPr>
        <w:t xml:space="preserve"> </w:t>
      </w:r>
      <w:r>
        <w:rPr>
          <w:rStyle w:val="DataTypeTok"/>
        </w:rPr>
        <w:t xml:space="preserve">"flagged"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"pass_fail"</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"check_type"</w:t>
      </w:r>
      <w:r>
        <w:rPr>
          <w:rStyle w:val="FunctionTok"/>
        </w:rPr>
        <w:t xml:space="preserve">:</w:t>
      </w:r>
      <w:r>
        <w:rPr>
          <w:rStyle w:val="NormalTok"/>
        </w:rPr>
        <w:t xml:space="preserve"> </w:t>
      </w:r>
      <w:r>
        <w:rPr>
          <w:rStyle w:val="StringTok"/>
        </w:rPr>
        <w:t xml:space="preserve">"format"</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"flagged"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"pass_fail"</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"check_type"</w:t>
      </w:r>
      <w:r>
        <w:rPr>
          <w:rStyle w:val="FunctionTok"/>
        </w:rPr>
        <w:t xml:space="preserve">:</w:t>
      </w:r>
      <w:r>
        <w:rPr>
          <w:rStyle w:val="NormalTok"/>
        </w:rPr>
        <w:t xml:space="preserve"> </w:t>
      </w:r>
      <w:r>
        <w:rPr>
          <w:rStyle w:val="StringTok"/>
        </w:rPr>
        <w:t xml:space="preserve">"table_figure"</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"flagged"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"pass_fail"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"gate_decision"</w:t>
      </w:r>
      <w:r>
        <w:rPr>
          <w:rStyle w:val="FunctionTok"/>
        </w:rPr>
        <w:t xml:space="preserve">:</w:t>
      </w:r>
      <w:r>
        <w:rPr>
          <w:rStyle w:val="NormalTok"/>
        </w:rPr>
        <w:t xml:space="preserve"> </w:t>
      </w:r>
      <w:r>
        <w:rPr>
          <w:rStyle w:val="FunctionTok"/>
        </w:rPr>
        <w:t xml:space="preserve">{</w:t>
      </w:r>
      <w:r>
        <w:rPr>
          <w:rStyle w:val="DataTypeTok"/>
        </w:rPr>
        <w:t xml:space="preserve">"hard_fail"</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"soft_flags"</w:t>
      </w:r>
      <w:r>
        <w:rPr>
          <w:rStyle w:val="FunctionTok"/>
        </w:rPr>
        <w:t xml:space="preserve">:</w:t>
      </w:r>
      <w:r>
        <w:rPr>
          <w:rStyle w:val="NormalTok"/>
        </w:rPr>
        <w:t xml:space="preserve"> </w:t>
      </w:r>
      <w:r>
        <w:rPr>
          <w:rStyle w:val="OtherTok"/>
        </w:rPr>
        <w:t xml:space="preserve">[</w:t>
      </w:r>
      <w:r>
        <w:rPr>
          <w:rStyle w:val="StringTok"/>
        </w:rPr>
        <w:t xml:space="preserve">"plagiarism"</w:t>
      </w:r>
      <w:r>
        <w:rPr>
          <w:rStyle w:val="OtherTok"/>
        </w:rPr>
        <w:t xml:space="preserve">]</w:t>
      </w:r>
      <w:r>
        <w:rPr>
          <w:rStyle w:val="FunctionTok"/>
        </w:rPr>
        <w:t xml:space="preserve">}</w:t>
      </w:r>
      <w:r>
        <w:br/>
      </w:r>
      <w:r>
        <w:rPr>
          <w:rStyle w:val="FunctionTok"/>
        </w:rPr>
        <w:t xml:space="preserve">}</w:t>
      </w:r>
    </w:p>
    <w:p>
      <w:pPr>
        <w:pStyle w:val="FirstParagraph"/>
      </w:pPr>
      <w:r>
        <w:t xml:space="preserve">If</w:t>
      </w:r>
      <w:r>
        <w:t xml:space="preserve"> </w:t>
      </w:r>
      <w:r>
        <w:rPr>
          <w:rStyle w:val="VerbatimChar"/>
        </w:rPr>
        <w:t xml:space="preserve">overall_status</w:t>
      </w:r>
      <w:r>
        <w:t xml:space="preserve"> </w:t>
      </w:r>
      <w:r>
        <w:t xml:space="preserve">is still</w:t>
      </w:r>
      <w:r>
        <w:t xml:space="preserve"> </w:t>
      </w:r>
      <w:r>
        <w:rPr>
          <w:rStyle w:val="VerbatimChar"/>
        </w:rPr>
        <w:t xml:space="preserve">processing</w:t>
      </w:r>
      <w:r>
        <w:t xml:space="preserve">,</w:t>
      </w:r>
      <w:r>
        <w:t xml:space="preserve"> </w:t>
      </w:r>
      <w:r>
        <w:rPr>
          <w:rStyle w:val="VerbatimChar"/>
        </w:rPr>
        <w:t xml:space="preserve">checks</w:t>
      </w:r>
      <w:r>
        <w:t xml:space="preserve"> </w:t>
      </w:r>
      <w:r>
        <w:t xml:space="preserve">may be a partial list — the frontend polls until all expected</w:t>
      </w:r>
      <w:r>
        <w:t xml:space="preserve"> </w:t>
      </w:r>
      <w:r>
        <w:rPr>
          <w:rStyle w:val="VerbatimChar"/>
        </w:rPr>
        <w:t xml:space="preserve">check_type</w:t>
      </w:r>
      <w:r>
        <w:t xml:space="preserve">s are present or the 5-minute timeout (§2.3) is hit, at which point any missing check is surfaced as</w:t>
      </w:r>
      <w:r>
        <w:t xml:space="preserve"> </w:t>
      </w:r>
      <w:r>
        <w:rPr>
          <w:rStyle w:val="VerbatimChar"/>
        </w:rPr>
        <w:t xml:space="preserve">"status": "timed_out"</w:t>
      </w:r>
      <w:r>
        <w:t xml:space="preserve"> </w:t>
      </w:r>
      <w:r>
        <w:t xml:space="preserve">rather than left silently absent.</w:t>
      </w:r>
    </w:p>
    <w:bookmarkEnd w:id="111"/>
    <w:bookmarkStart w:id="112" w:name="post-submissionsidresubmit"/>
    <w:p>
      <w:pPr>
        <w:pStyle w:val="Heading3"/>
      </w:pPr>
      <w:r>
        <w:rPr>
          <w:rStyle w:val="VerbatimChar"/>
        </w:rPr>
        <w:t xml:space="preserve">POST /submissions/{id}/resubmit</w:t>
      </w:r>
    </w:p>
    <w:p>
      <w:pPr>
        <w:pStyle w:val="FirstParagraph"/>
      </w:pPr>
      <w:r>
        <w:rPr>
          <w:bCs/>
          <w:b/>
        </w:rPr>
        <w:t xml:space="preserve">Auth:</w:t>
      </w:r>
      <w:r>
        <w:t xml:space="preserve"> </w:t>
      </w:r>
      <w:r>
        <w:t xml:space="preserve">the submitting researcher, and only when</w:t>
      </w:r>
      <w:r>
        <w:t xml:space="preserve"> </w:t>
      </w:r>
      <w:r>
        <w:rPr>
          <w:rStyle w:val="VerbatimChar"/>
        </w:rPr>
        <w:t xml:space="preserve">status = 'revise_resubmit'</w:t>
      </w:r>
      <w:r>
        <w:t xml:space="preserve"> </w:t>
      </w:r>
      <w:r>
        <w:t xml:space="preserve">or</w:t>
      </w:r>
      <w:r>
        <w:t xml:space="preserve"> </w:t>
      </w:r>
      <w:r>
        <w:rPr>
          <w:rStyle w:val="VerbatimChar"/>
        </w:rPr>
        <w:t xml:space="preserve">'ai_review_hard_failed'</w:t>
      </w:r>
      <w:r>
        <w:t xml:space="preserve">.</w:t>
      </w:r>
      <w:r>
        <w:t xml:space="preserve"> </w:t>
      </w:r>
      <w:r>
        <w:rPr>
          <w:rStyle w:val="VerbatimChar"/>
        </w:rPr>
        <w:t xml:space="preserve">multipart/form-data</w:t>
      </w:r>
      <w:r>
        <w:t xml:space="preserve">:</w:t>
      </w:r>
      <w:r>
        <w:t xml:space="preserve"> </w:t>
      </w:r>
      <w:r>
        <w:rPr>
          <w:rStyle w:val="VerbatimChar"/>
        </w:rPr>
        <w:t xml:space="preserve">file</w:t>
      </w:r>
      <w:r>
        <w:t xml:space="preserve"> </w:t>
      </w:r>
      <w:r>
        <w:t xml:space="preserve">(new PDF). Creates a new</w:t>
      </w:r>
      <w:r>
        <w:t xml:space="preserve"> </w:t>
      </w:r>
      <w:r>
        <w:rPr>
          <w:rStyle w:val="VerbatimChar"/>
        </w:rPr>
        <w:t xml:space="preserve">submission_versions</w:t>
      </w:r>
      <w:r>
        <w:t xml:space="preserve"> </w:t>
      </w:r>
      <w:r>
        <w:t xml:space="preserve">row, increments</w:t>
      </w:r>
      <w:r>
        <w:t xml:space="preserve"> </w:t>
      </w:r>
      <w:r>
        <w:rPr>
          <w:rStyle w:val="VerbatimChar"/>
        </w:rPr>
        <w:t xml:space="preserve">version_number</w:t>
      </w:r>
      <w:r>
        <w:t xml:space="preserve">, re-triggers the full AI check pipeline, and resets</w:t>
      </w:r>
      <w:r>
        <w:t xml:space="preserve"> </w:t>
      </w:r>
      <w:r>
        <w:rPr>
          <w:rStyle w:val="VerbatimChar"/>
        </w:rPr>
        <w:t xml:space="preserve">submissions.status</w:t>
      </w:r>
      <w:r>
        <w:t xml:space="preserve"> </w:t>
      </w:r>
      <w:r>
        <w:t xml:space="preserve">to</w:t>
      </w:r>
      <w:r>
        <w:t xml:space="preserve"> </w:t>
      </w:r>
      <w:r>
        <w:rPr>
          <w:rStyle w:val="VerbatimChar"/>
        </w:rPr>
        <w:t xml:space="preserve">'processing'</w:t>
      </w:r>
      <w:r>
        <w:t xml:space="preserve">. This is the</w:t>
      </w:r>
      <w:r>
        <w:t xml:space="preserve"> </w:t>
      </w:r>
      <w:r>
        <w:t xml:space="preserve">“</w:t>
      </w:r>
      <w:r>
        <w:t xml:space="preserve">revise-and-resubmit without starting a new submission from scratch</w:t>
      </w:r>
      <w:r>
        <w:t xml:space="preserve">”</w:t>
      </w:r>
      <w:r>
        <w:t xml:space="preserve"> </w:t>
      </w:r>
      <w:r>
        <w:t xml:space="preserve">flow from §1.2.</w:t>
      </w:r>
    </w:p>
    <w:bookmarkEnd w:id="112"/>
    <w:bookmarkStart w:id="113" w:name="get-submissionsidhistory"/>
    <w:p>
      <w:pPr>
        <w:pStyle w:val="Heading3"/>
      </w:pPr>
      <w:r>
        <w:rPr>
          <w:rStyle w:val="VerbatimChar"/>
        </w:rPr>
        <w:t xml:space="preserve">GET /submissions/{id}/history</w:t>
      </w:r>
    </w:p>
    <w:p>
      <w:pPr>
        <w:pStyle w:val="FirstParagraph"/>
      </w:pPr>
      <w:r>
        <w:rPr>
          <w:bCs/>
          <w:b/>
        </w:rPr>
        <w:t xml:space="preserve">Auth:</w:t>
      </w:r>
      <w:r>
        <w:t xml:space="preserve"> </w:t>
      </w:r>
      <w:r>
        <w:t xml:space="preserve">submitting researcher, or organizer/reviewer of that conference. Returns all</w:t>
      </w:r>
      <w:r>
        <w:t xml:space="preserve"> </w:t>
      </w:r>
      <w:r>
        <w:rPr>
          <w:rStyle w:val="VerbatimChar"/>
        </w:rPr>
        <w:t xml:space="preserve">submission_versions</w:t>
      </w:r>
      <w:r>
        <w:t xml:space="preserve"> </w:t>
      </w:r>
      <w:r>
        <w:t xml:space="preserve">for the submission with each version’s AI-report summary — backs the researcher’s Submission History page (§6.2.7) and, in reduced form, the reviewer’s view of prior revisions.</w:t>
      </w:r>
    </w:p>
    <w:bookmarkEnd w:id="113"/>
    <w:bookmarkStart w:id="114" w:name="get-submissions-mine"/>
    <w:p>
      <w:pPr>
        <w:pStyle w:val="Heading3"/>
      </w:pPr>
      <w:r>
        <w:rPr>
          <w:rStyle w:val="VerbatimChar"/>
        </w:rPr>
        <w:t xml:space="preserve">GET /submissions</w:t>
      </w:r>
      <w:r>
        <w:t xml:space="preserve"> </w:t>
      </w:r>
      <w:r>
        <w:t xml:space="preserve">(mine)</w:t>
      </w:r>
    </w:p>
    <w:p>
      <w:pPr>
        <w:pStyle w:val="FirstParagraph"/>
      </w:pPr>
      <w:r>
        <w:rPr>
          <w:bCs/>
          <w:b/>
        </w:rPr>
        <w:t xml:space="preserve">Auth:</w:t>
      </w:r>
      <w:r>
        <w:t xml:space="preserve"> </w:t>
      </w:r>
      <w:r>
        <w:rPr>
          <w:rStyle w:val="VerbatimChar"/>
        </w:rPr>
        <w:t xml:space="preserve">researcher</w:t>
      </w:r>
      <w:r>
        <w:t xml:space="preserve"> </w:t>
      </w:r>
      <w:r>
        <w:t xml:space="preserve">— implicitly filtered to</w:t>
      </w:r>
      <w:r>
        <w:t xml:space="preserve"> </w:t>
      </w:r>
      <w:r>
        <w:rPr>
          <w:rStyle w:val="VerbatimChar"/>
        </w:rPr>
        <w:t xml:space="preserve">researcher_id = current_user.id</w:t>
      </w:r>
      <w:r>
        <w:t xml:space="preserve">. Query params:</w:t>
      </w:r>
      <w:r>
        <w:t xml:space="preserve"> </w:t>
      </w:r>
      <w:r>
        <w:rPr>
          <w:rStyle w:val="VerbatimChar"/>
        </w:rPr>
        <w:t xml:space="preserve">status</w:t>
      </w:r>
      <w:r>
        <w:t xml:space="preserve">,</w:t>
      </w:r>
      <w:r>
        <w:t xml:space="preserve"> </w:t>
      </w:r>
      <w:r>
        <w:rPr>
          <w:rStyle w:val="VerbatimChar"/>
        </w:rPr>
        <w:t xml:space="preserve">conference_id</w:t>
      </w:r>
      <w:r>
        <w:t xml:space="preserve">.</w:t>
      </w:r>
    </w:p>
    <w:bookmarkEnd w:id="114"/>
    <w:bookmarkEnd w:id="115"/>
    <w:bookmarkStart w:id="119" w:name="reviews-1"/>
    <w:p>
      <w:pPr>
        <w:pStyle w:val="Heading2"/>
      </w:pPr>
      <w:r>
        <w:t xml:space="preserve">5.4 Reviews</w:t>
      </w:r>
    </w:p>
    <w:bookmarkStart w:id="116" w:name="get-reviewsassigned"/>
    <w:p>
      <w:pPr>
        <w:pStyle w:val="Heading3"/>
      </w:pPr>
      <w:r>
        <w:rPr>
          <w:rStyle w:val="VerbatimChar"/>
        </w:rPr>
        <w:t xml:space="preserve">GET /reviews/assigned</w:t>
      </w:r>
    </w:p>
    <w:p>
      <w:pPr>
        <w:pStyle w:val="FirstParagraph"/>
      </w:pPr>
      <w:r>
        <w:rPr>
          <w:bCs/>
          <w:b/>
        </w:rPr>
        <w:t xml:space="preserve">Auth:</w:t>
      </w:r>
      <w:r>
        <w:t xml:space="preserve"> </w:t>
      </w:r>
      <w:r>
        <w:rPr>
          <w:rStyle w:val="VerbatimChar"/>
        </w:rPr>
        <w:t xml:space="preserve">reviewer</w:t>
      </w:r>
      <w:r>
        <w:t xml:space="preserve">. Returns submissions assigned to the current reviewer, each with a summary of its AI report (flag counts) — backs the Assigned Papers List (§6.4.1).</w:t>
      </w:r>
    </w:p>
    <w:bookmarkEnd w:id="116"/>
    <w:bookmarkStart w:id="117" w:name="post-reviewsassign"/>
    <w:p>
      <w:pPr>
        <w:pStyle w:val="Heading3"/>
      </w:pPr>
      <w:r>
        <w:rPr>
          <w:rStyle w:val="VerbatimChar"/>
        </w:rPr>
        <w:t xml:space="preserve">POST /reviews/assign</w:t>
      </w:r>
    </w:p>
    <w:p>
      <w:pPr>
        <w:pStyle w:val="FirstParagraph"/>
      </w:pPr>
      <w:r>
        <w:rPr>
          <w:bCs/>
          <w:b/>
        </w:rPr>
        <w:t xml:space="preserve">Auth:</w:t>
      </w:r>
      <w:r>
        <w:t xml:space="preserve"> </w:t>
      </w:r>
      <w:r>
        <w:rPr>
          <w:rStyle w:val="VerbatimChar"/>
        </w:rPr>
        <w:t xml:space="preserve">organizer</w:t>
      </w:r>
      <w:r>
        <w:t xml:space="preserve">/co-admin. Request:</w:t>
      </w:r>
      <w:r>
        <w:t xml:space="preserve"> </w:t>
      </w:r>
      <w:r>
        <w:rPr>
          <w:rStyle w:val="VerbatimChar"/>
        </w:rPr>
        <w:t xml:space="preserve">{"submission_id": "...", "reviewer_id": "..."}</w:t>
      </w:r>
      <w:r>
        <w:t xml:space="preserve">. Manual assignment only in the prototype (§1.3, §1.9) — no auto-match endpoint exists in this API surface by design.</w:t>
      </w:r>
    </w:p>
    <w:bookmarkEnd w:id="117"/>
    <w:bookmarkStart w:id="118" w:name="post-reviewsassignment_idsubmit"/>
    <w:p>
      <w:pPr>
        <w:pStyle w:val="Heading3"/>
      </w:pPr>
      <w:r>
        <w:rPr>
          <w:rStyle w:val="VerbatimChar"/>
        </w:rPr>
        <w:t xml:space="preserve">POST /reviews/{assignment_id}/submit</w:t>
      </w:r>
    </w:p>
    <w:p>
      <w:pPr>
        <w:pStyle w:val="FirstParagraph"/>
      </w:pPr>
      <w:r>
        <w:rPr>
          <w:bCs/>
          <w:b/>
        </w:rPr>
        <w:t xml:space="preserve">Auth:</w:t>
      </w:r>
      <w:r>
        <w:t xml:space="preserve"> </w:t>
      </w:r>
      <w:r>
        <w:t xml:space="preserve">the assigned</w:t>
      </w:r>
      <w:r>
        <w:t xml:space="preserve"> </w:t>
      </w:r>
      <w:r>
        <w:rPr>
          <w:rStyle w:val="VerbatimChar"/>
        </w:rPr>
        <w:t xml:space="preserve">reviewer</w:t>
      </w:r>
      <w:r>
        <w:t xml:space="preserve">. Request:</w:t>
      </w:r>
      <w:r>
        <w:t xml:space="preserve"> </w:t>
      </w:r>
      <w:r>
        <w:rPr>
          <w:rStyle w:val="VerbatimChar"/>
        </w:rPr>
        <w:t xml:space="preserve">{"score": 4, "comments": "...", "recommendation": "accept"}</w:t>
      </w:r>
      <w:r>
        <w:t xml:space="preserve">. Writes a</w:t>
      </w:r>
      <w:r>
        <w:t xml:space="preserve"> </w:t>
      </w:r>
      <w:r>
        <w:rPr>
          <w:rStyle w:val="VerbatimChar"/>
        </w:rPr>
        <w:t xml:space="preserve">reviews</w:t>
      </w:r>
      <w:r>
        <w:t xml:space="preserve"> </w:t>
      </w:r>
      <w:r>
        <w:t xml:space="preserve">row and sets the</w:t>
      </w:r>
      <w:r>
        <w:t xml:space="preserve"> </w:t>
      </w:r>
      <w:r>
        <w:rPr>
          <w:rStyle w:val="VerbatimChar"/>
        </w:rPr>
        <w:t xml:space="preserve">reviewer_assignments.status</w:t>
      </w:r>
      <w:r>
        <w:t xml:space="preserve"> </w:t>
      </w:r>
      <w:r>
        <w:t xml:space="preserve">to</w:t>
      </w:r>
      <w:r>
        <w:t xml:space="preserve"> </w:t>
      </w:r>
      <w:r>
        <w:rPr>
          <w:rStyle w:val="VerbatimChar"/>
        </w:rPr>
        <w:t xml:space="preserve">'submitted'</w:t>
      </w:r>
      <w:r>
        <w:t xml:space="preserve">.</w:t>
      </w:r>
    </w:p>
    <w:bookmarkEnd w:id="118"/>
    <w:bookmarkEnd w:id="119"/>
    <w:bookmarkStart w:id="121" w:name="decisions"/>
    <w:p>
      <w:pPr>
        <w:pStyle w:val="Heading2"/>
      </w:pPr>
      <w:r>
        <w:t xml:space="preserve">5.5 Decisions</w:t>
      </w:r>
    </w:p>
    <w:bookmarkStart w:id="120" w:name="post-submissionsiddecision"/>
    <w:p>
      <w:pPr>
        <w:pStyle w:val="Heading3"/>
      </w:pPr>
      <w:r>
        <w:rPr>
          <w:rStyle w:val="VerbatimChar"/>
        </w:rPr>
        <w:t xml:space="preserve">POST /submissions/{id}/decision</w:t>
      </w:r>
    </w:p>
    <w:p>
      <w:pPr>
        <w:pStyle w:val="FirstParagraph"/>
      </w:pPr>
      <w:r>
        <w:rPr>
          <w:bCs/>
          <w:b/>
        </w:rPr>
        <w:t xml:space="preserve">Auth:</w:t>
      </w:r>
      <w:r>
        <w:t xml:space="preserve"> </w:t>
      </w:r>
      <w:r>
        <w:rPr>
          <w:rStyle w:val="VerbatimChar"/>
        </w:rPr>
        <w:t xml:space="preserve">organizer</w:t>
      </w:r>
      <w:r>
        <w:t xml:space="preserve">/co-admin of that conference. Request:</w:t>
      </w:r>
      <w:r>
        <w:t xml:space="preserve"> </w:t>
      </w:r>
      <w:r>
        <w:rPr>
          <w:rStyle w:val="VerbatimChar"/>
        </w:rPr>
        <w:t xml:space="preserve">{"decision": "accepted" | "rejected" | "revise_resubmit", "notes": "..."}</w:t>
      </w:r>
      <w:r>
        <w:t xml:space="preserve">. Updates</w:t>
      </w:r>
      <w:r>
        <w:t xml:space="preserve"> </w:t>
      </w:r>
      <w:r>
        <w:rPr>
          <w:rStyle w:val="VerbatimChar"/>
        </w:rPr>
        <w:t xml:space="preserve">submissions.status</w:t>
      </w:r>
      <w:r>
        <w:t xml:space="preserve">, triggers a</w:t>
      </w:r>
      <w:r>
        <w:t xml:space="preserve"> </w:t>
      </w:r>
      <w:r>
        <w:rPr>
          <w:rStyle w:val="VerbatimChar"/>
        </w:rPr>
        <w:t xml:space="preserve">notifications</w:t>
      </w:r>
      <w:r>
        <w:t xml:space="preserve"> </w:t>
      </w:r>
      <w:r>
        <w:t xml:space="preserve">row for the researcher, and — on</w:t>
      </w:r>
      <w:r>
        <w:t xml:space="preserve"> </w:t>
      </w:r>
      <w:r>
        <w:rPr>
          <w:rStyle w:val="VerbatimChar"/>
        </w:rPr>
        <w:t xml:space="preserve">rejected</w:t>
      </w:r>
      <w:r>
        <w:t xml:space="preserve"> </w:t>
      </w:r>
      <w:r>
        <w:t xml:space="preserve">— releases the full unfiltered reviewer comments to the researcher per §1.2 item 9 (this is the specific point where</w:t>
      </w:r>
      <w:r>
        <w:t xml:space="preserve"> </w:t>
      </w:r>
      <w:r>
        <w:rPr>
          <w:rStyle w:val="VerbatimChar"/>
        </w:rPr>
        <w:t xml:space="preserve">reviews.comments</w:t>
      </w:r>
      <w:r>
        <w:t xml:space="preserve"> </w:t>
      </w:r>
      <w:r>
        <w:t xml:space="preserve">becomes visible on the researcher-facing</w:t>
      </w:r>
      <w:r>
        <w:t xml:space="preserve"> </w:t>
      </w:r>
      <w:r>
        <w:rPr>
          <w:rStyle w:val="VerbatimChar"/>
        </w:rPr>
        <w:t xml:space="preserve">GET /submissions/{id}</w:t>
      </w:r>
      <w:r>
        <w:t xml:space="preserve"> </w:t>
      </w:r>
      <w:r>
        <w:t xml:space="preserve">response; it is deliberately withheld before a final decision is recorded).</w:t>
      </w:r>
    </w:p>
    <w:bookmarkEnd w:id="120"/>
    <w:bookmarkEnd w:id="121"/>
    <w:bookmarkStart w:id="123" w:name="cross-conference-history"/>
    <w:p>
      <w:pPr>
        <w:pStyle w:val="Heading2"/>
      </w:pPr>
      <w:r>
        <w:t xml:space="preserve">5.6 Cross-conference history</w:t>
      </w:r>
    </w:p>
    <w:bookmarkStart w:id="122" w:name="X4a2ebed7100b457db7252284e952c84f7c44648"/>
    <w:p>
      <w:pPr>
        <w:pStyle w:val="Heading3"/>
      </w:pPr>
      <w:r>
        <w:rPr>
          <w:rStyle w:val="VerbatimChar"/>
        </w:rPr>
        <w:t xml:space="preserve">GET /submissions/{id}/cross-conference-summary</w:t>
      </w:r>
    </w:p>
    <w:p>
      <w:pPr>
        <w:pStyle w:val="FirstParagraph"/>
      </w:pPr>
      <w:r>
        <w:rPr>
          <w:bCs/>
          <w:b/>
        </w:rPr>
        <w:t xml:space="preserve">Auth:</w:t>
      </w:r>
      <w:r>
        <w:t xml:space="preserve"> </w:t>
      </w:r>
      <w:r>
        <w:t xml:space="preserve">organizer/co-admin/reviewer of the</w:t>
      </w:r>
      <w:r>
        <w:t xml:space="preserve"> </w:t>
      </w:r>
      <w:r>
        <w:rPr>
          <w:iCs/>
          <w:i/>
        </w:rPr>
        <w:t xml:space="preserve">new</w:t>
      </w:r>
      <w:r>
        <w:t xml:space="preserve"> </w:t>
      </w:r>
      <w:r>
        <w:t xml:space="preserve">conference only —</w:t>
      </w:r>
      <w:r>
        <w:t xml:space="preserve"> </w:t>
      </w:r>
      <w:r>
        <w:rPr>
          <w:bCs/>
          <w:b/>
        </w:rPr>
        <w:t xml:space="preserve">never the submitting researcher in this form</w:t>
      </w:r>
      <w:r>
        <w:t xml:space="preserve"> </w:t>
      </w:r>
      <w:r>
        <w:t xml:space="preserve">(§1.5’s core privacy constraint; enforced here at the endpoint level, not just hidden in the UI). Response</w:t>
      </w:r>
      <w:r>
        <w:t xml:space="preserve"> </w:t>
      </w:r>
      <w:r>
        <w:rPr>
          <w:rStyle w:val="VerbatimChar"/>
        </w:rPr>
        <w:t xml:space="preserve">200</w:t>
      </w:r>
      <w:r>
        <w:t xml:space="preserve">:</w:t>
      </w:r>
    </w:p>
    <w:p>
      <w:pPr>
        <w:pStyle w:val="SourceCode"/>
      </w:pPr>
      <w:r>
        <w:rPr>
          <w:rStyle w:val="FunctionTok"/>
        </w:rPr>
        <w:t xml:space="preserve">{</w:t>
      </w:r>
      <w:r>
        <w:br/>
      </w:r>
      <w:r>
        <w:rPr>
          <w:rStyle w:val="NormalTok"/>
        </w:rPr>
        <w:t xml:space="preserve">  </w:t>
      </w:r>
      <w:r>
        <w:rPr>
          <w:rStyle w:val="DataTypeTok"/>
        </w:rPr>
        <w:t xml:space="preserve">"has_related_submission"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"related_submission_conference"</w:t>
      </w:r>
      <w:r>
        <w:rPr>
          <w:rStyle w:val="FunctionTok"/>
        </w:rPr>
        <w:t xml:space="preserve">:</w:t>
      </w:r>
      <w:r>
        <w:rPr>
          <w:rStyle w:val="NormalTok"/>
        </w:rPr>
        <w:t xml:space="preserve"> </w:t>
      </w:r>
      <w:r>
        <w:rPr>
          <w:rStyle w:val="StringTok"/>
        </w:rPr>
        <w:t xml:space="preserve">"Prior Conf Name"</w:t>
      </w:r>
      <w:r>
        <w:rPr>
          <w:rStyle w:val="FunctionTok"/>
        </w:rPr>
        <w:t xml:space="preserve">,</w:t>
      </w:r>
      <w:r>
        <w:br/>
      </w:r>
      <w:r>
        <w:rPr>
          <w:rStyle w:val="NormalTok"/>
        </w:rPr>
        <w:t xml:space="preserve">  </w:t>
      </w:r>
      <w:r>
        <w:rPr>
          <w:rStyle w:val="DataTypeTok"/>
        </w:rPr>
        <w:t xml:space="preserve">"summary_text"</w:t>
      </w:r>
      <w:r>
        <w:rPr>
          <w:rStyle w:val="FunctionTok"/>
        </w:rPr>
        <w:t xml:space="preserve">:</w:t>
      </w:r>
      <w:r>
        <w:rPr>
          <w:rStyle w:val="NormalTok"/>
        </w:rPr>
        <w:t xml:space="preserve"> </w:t>
      </w:r>
      <w:r>
        <w:rPr>
          <w:rStyle w:val="StringTok"/>
        </w:rPr>
        <w:t xml:space="preserve">"This paper was previously submitted to ... and rejected primarily due to ... Since then, the authors have ..."</w:t>
      </w:r>
      <w:r>
        <w:rPr>
          <w:rStyle w:val="FunctionTok"/>
        </w:rPr>
        <w:t xml:space="preserve">,</w:t>
      </w:r>
      <w:r>
        <w:br/>
      </w:r>
      <w:r>
        <w:rPr>
          <w:rStyle w:val="NormalTok"/>
        </w:rPr>
        <w:t xml:space="preserve">  </w:t>
      </w:r>
      <w:r>
        <w:rPr>
          <w:rStyle w:val="DataTypeTok"/>
        </w:rPr>
        <w:t xml:space="preserve">"match_confidence"</w:t>
      </w:r>
      <w:r>
        <w:rPr>
          <w:rStyle w:val="FunctionTok"/>
        </w:rPr>
        <w:t xml:space="preserve">:</w:t>
      </w:r>
      <w:r>
        <w:rPr>
          <w:rStyle w:val="NormalTok"/>
        </w:rPr>
        <w:t xml:space="preserve"> </w:t>
      </w:r>
      <w:r>
        <w:rPr>
          <w:rStyle w:val="StringTok"/>
        </w:rPr>
        <w:t xml:space="preserve">"likely"</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"2026-08-20T10:00:00Z"</w:t>
      </w:r>
      <w:r>
        <w:br/>
      </w:r>
      <w:r>
        <w:rPr>
          <w:rStyle w:val="FunctionTok"/>
        </w:rPr>
        <w:t xml:space="preserve">}</w:t>
      </w:r>
    </w:p>
    <w:bookmarkEnd w:id="122"/>
    <w:bookmarkEnd w:id="123"/>
    <w:bookmarkStart w:id="125" w:name="analytics"/>
    <w:p>
      <w:pPr>
        <w:pStyle w:val="Heading2"/>
      </w:pPr>
      <w:r>
        <w:t xml:space="preserve">5.7 Analytics</w:t>
      </w:r>
    </w:p>
    <w:bookmarkStart w:id="124" w:name="get-analyticsconferenceid"/>
    <w:p>
      <w:pPr>
        <w:pStyle w:val="Heading3"/>
      </w:pPr>
      <w:r>
        <w:rPr>
          <w:rStyle w:val="VerbatimChar"/>
        </w:rPr>
        <w:t xml:space="preserve">GET /analytics/conference/{id}</w:t>
      </w:r>
    </w:p>
    <w:p>
      <w:pPr>
        <w:pStyle w:val="FirstParagraph"/>
      </w:pPr>
      <w:r>
        <w:rPr>
          <w:bCs/>
          <w:b/>
        </w:rPr>
        <w:t xml:space="preserve">Auth:</w:t>
      </w:r>
      <w:r>
        <w:t xml:space="preserve"> </w:t>
      </w:r>
      <w:r>
        <w:t xml:space="preserve">organizer/co-admin of that conference. Response</w:t>
      </w:r>
      <w:r>
        <w:t xml:space="preserve"> </w:t>
      </w:r>
      <w:r>
        <w:rPr>
          <w:rStyle w:val="VerbatimChar"/>
        </w:rPr>
        <w:t xml:space="preserve">200</w:t>
      </w:r>
      <w:r>
        <w:t xml:space="preserve">:</w:t>
      </w:r>
    </w:p>
    <w:p>
      <w:pPr>
        <w:pStyle w:val="SourceCode"/>
      </w:pPr>
      <w:r>
        <w:rPr>
          <w:rStyle w:val="FunctionTok"/>
        </w:rPr>
        <w:t xml:space="preserve">{</w:t>
      </w:r>
      <w:r>
        <w:br/>
      </w:r>
      <w:r>
        <w:rPr>
          <w:rStyle w:val="NormalTok"/>
        </w:rPr>
        <w:t xml:space="preserve">  </w:t>
      </w:r>
      <w:r>
        <w:rPr>
          <w:rStyle w:val="DataTypeTok"/>
        </w:rPr>
        <w:t xml:space="preserve">"total_submissions"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"ai_pass_rate"</w:t>
      </w:r>
      <w:r>
        <w:rPr>
          <w:rStyle w:val="FunctionTok"/>
        </w:rPr>
        <w:t xml:space="preserve">:</w:t>
      </w:r>
      <w:r>
        <w:rPr>
          <w:rStyle w:val="NormalTok"/>
        </w:rPr>
        <w:t xml:space="preserve"> </w:t>
      </w:r>
      <w:r>
        <w:rPr>
          <w:rStyle w:val="FloatTok"/>
        </w:rPr>
        <w:t xml:space="preserve">0.76</w:t>
      </w:r>
      <w:r>
        <w:rPr>
          <w:rStyle w:val="FunctionTok"/>
        </w:rPr>
        <w:t xml:space="preserve">,</w:t>
      </w:r>
      <w:r>
        <w:br/>
      </w:r>
      <w:r>
        <w:rPr>
          <w:rStyle w:val="NormalTok"/>
        </w:rPr>
        <w:t xml:space="preserve">  </w:t>
      </w:r>
      <w:r>
        <w:rPr>
          <w:rStyle w:val="DataTypeTok"/>
        </w:rPr>
        <w:t xml:space="preserve">"ai_hard_fail_rate"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"ai_soft_flag_rate"</w:t>
      </w:r>
      <w:r>
        <w:rPr>
          <w:rStyle w:val="FunctionTok"/>
        </w:rPr>
        <w:t xml:space="preserve">:</w:t>
      </w:r>
      <w:r>
        <w:rPr>
          <w:rStyle w:val="NormalTok"/>
        </w:rPr>
        <w:t xml:space="preserve"> </w:t>
      </w:r>
      <w:r>
        <w:rPr>
          <w:rStyle w:val="FloatTok"/>
        </w:rPr>
        <w:t xml:space="preserve">0.31</w:t>
      </w:r>
      <w:r>
        <w:rPr>
          <w:rStyle w:val="FunctionTok"/>
        </w:rPr>
        <w:t xml:space="preserve">,</w:t>
      </w:r>
      <w:r>
        <w:br/>
      </w:r>
      <w:r>
        <w:rPr>
          <w:rStyle w:val="NormalTok"/>
        </w:rPr>
        <w:t xml:space="preserve">  </w:t>
      </w:r>
      <w:r>
        <w:rPr>
          <w:rStyle w:val="DataTypeTok"/>
        </w:rPr>
        <w:t xml:space="preserve">"avg_reviewer_turnaround_hours"</w:t>
      </w:r>
      <w:r>
        <w:rPr>
          <w:rStyle w:val="FunctionTok"/>
        </w:rPr>
        <w:t xml:space="preserve">:</w:t>
      </w:r>
      <w:r>
        <w:rPr>
          <w:rStyle w:val="NormalTok"/>
        </w:rPr>
        <w:t xml:space="preserve"> </w:t>
      </w:r>
      <w:r>
        <w:rPr>
          <w:rStyle w:val="FloatTok"/>
        </w:rPr>
        <w:t xml:space="preserve">58.2</w:t>
      </w:r>
      <w:r>
        <w:rPr>
          <w:rStyle w:val="FunctionTok"/>
        </w:rPr>
        <w:t xml:space="preserve">,</w:t>
      </w:r>
      <w:r>
        <w:br/>
      </w:r>
      <w:r>
        <w:rPr>
          <w:rStyle w:val="NormalTok"/>
        </w:rPr>
        <w:t xml:space="preserve">  </w:t>
      </w:r>
      <w:r>
        <w:rPr>
          <w:rStyle w:val="DataTypeTok"/>
        </w:rPr>
        <w:t xml:space="preserve">"decisions"</w:t>
      </w:r>
      <w:r>
        <w:rPr>
          <w:rStyle w:val="FunctionTok"/>
        </w:rPr>
        <w:t xml:space="preserve">:</w:t>
      </w:r>
      <w:r>
        <w:rPr>
          <w:rStyle w:val="NormalTok"/>
        </w:rPr>
        <w:t xml:space="preserve"> </w:t>
      </w:r>
      <w:r>
        <w:rPr>
          <w:rStyle w:val="FunctionTok"/>
        </w:rPr>
        <w:t xml:space="preserve">{</w:t>
      </w:r>
      <w:r>
        <w:rPr>
          <w:rStyle w:val="DataTypeTok"/>
        </w:rPr>
        <w:t xml:space="preserve">"accepted"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"rejected"</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"pending"</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FunctionTok"/>
        </w:rPr>
        <w:t xml:space="preserve">}</w:t>
      </w:r>
    </w:p>
    <w:bookmarkEnd w:id="124"/>
    <w:bookmarkEnd w:id="125"/>
    <w:bookmarkStart w:id="128" w:name="notifications-1"/>
    <w:p>
      <w:pPr>
        <w:pStyle w:val="Heading2"/>
      </w:pPr>
      <w:r>
        <w:t xml:space="preserve">5.8 Notifications</w:t>
      </w:r>
    </w:p>
    <w:bookmarkStart w:id="126" w:name="X69bd670e426e2f132ac3c3fe07702969c6a2c44"/>
    <w:p>
      <w:pPr>
        <w:pStyle w:val="Heading3"/>
      </w:pPr>
      <w:r>
        <w:rPr>
          <w:rStyle w:val="VerbatimChar"/>
        </w:rPr>
        <w:t xml:space="preserve">GET /notifications</w:t>
      </w:r>
      <w:r>
        <w:t xml:space="preserve"> </w:t>
      </w:r>
      <w:r>
        <w:t xml:space="preserve">—</w:t>
      </w:r>
      <w:r>
        <w:t xml:space="preserve"> </w:t>
      </w:r>
      <w:r>
        <w:rPr>
          <w:bCs/>
          <w:b/>
        </w:rPr>
        <w:t xml:space="preserve">Auth:</w:t>
      </w:r>
      <w:r>
        <w:t xml:space="preserve"> </w:t>
      </w:r>
      <w:r>
        <w:t xml:space="preserve">any authenticated user, implicitly filtered to</w:t>
      </w:r>
      <w:r>
        <w:t xml:space="preserve"> </w:t>
      </w:r>
      <w:r>
        <w:rPr>
          <w:rStyle w:val="VerbatimChar"/>
        </w:rPr>
        <w:t xml:space="preserve">user_id = current_user.id</w:t>
      </w:r>
      <w:r>
        <w:t xml:space="preserve">. Query param</w:t>
      </w:r>
      <w:r>
        <w:t xml:space="preserve"> </w:t>
      </w:r>
      <w:r>
        <w:rPr>
          <w:rStyle w:val="VerbatimChar"/>
        </w:rPr>
        <w:t xml:space="preserve">unread_only=true</w:t>
      </w:r>
      <w:r>
        <w:t xml:space="preserve">.</w:t>
      </w:r>
    </w:p>
    <w:bookmarkEnd w:id="126"/>
    <w:bookmarkStart w:id="127" w:name="Xf2ea62cc87915544ff43aa497a82a3229ded171"/>
    <w:p>
      <w:pPr>
        <w:pStyle w:val="Heading3"/>
      </w:pPr>
      <w:r>
        <w:rPr>
          <w:rStyle w:val="VerbatimChar"/>
        </w:rPr>
        <w:t xml:space="preserve">POST /notifications/{id}/read</w:t>
      </w:r>
      <w:r>
        <w:t xml:space="preserve"> </w:t>
      </w:r>
      <w:r>
        <w:t xml:space="preserve">—</w:t>
      </w:r>
      <w:r>
        <w:t xml:space="preserve"> </w:t>
      </w:r>
      <w:r>
        <w:rPr>
          <w:bCs/>
          <w:b/>
        </w:rPr>
        <w:t xml:space="preserve">Auth:</w:t>
      </w:r>
      <w:r>
        <w:t xml:space="preserve"> </w:t>
      </w:r>
      <w:r>
        <w:t xml:space="preserve">the owning user. Marks</w:t>
      </w:r>
      <w:r>
        <w:t xml:space="preserve"> </w:t>
      </w:r>
      <w:r>
        <w:rPr>
          <w:rStyle w:val="VerbatimChar"/>
        </w:rPr>
        <w:t xml:space="preserve">read_status = true</w:t>
      </w:r>
      <w:r>
        <w:t xml:space="preserve">.</w:t>
      </w:r>
    </w:p>
    <w:bookmarkEnd w:id="127"/>
    <w:bookmarkEnd w:id="128"/>
    <w:bookmarkStart w:id="132" w:name="X81d4778d2e12275f2757141e8f05f23fe2338af"/>
    <w:p>
      <w:pPr>
        <w:pStyle w:val="Heading2"/>
      </w:pPr>
      <w:r>
        <w:t xml:space="preserve">5.9 Organizer onboarding / reviewer &amp; co-admin management</w:t>
      </w:r>
    </w:p>
    <w:bookmarkStart w:id="129" w:name="X2f81ae48651265eff7f732da58df6aaad28a271"/>
    <w:p>
      <w:pPr>
        <w:pStyle w:val="Heading3"/>
      </w:pPr>
      <w:r>
        <w:rPr>
          <w:rStyle w:val="VerbatimChar"/>
        </w:rPr>
        <w:t xml:space="preserve">POST /conferences/{id}/reviewers</w:t>
      </w:r>
      <w:r>
        <w:t xml:space="preserve"> </w:t>
      </w:r>
      <w:r>
        <w:t xml:space="preserve">—</w:t>
      </w:r>
      <w:r>
        <w:t xml:space="preserve"> </w:t>
      </w:r>
      <w:r>
        <w:rPr>
          <w:bCs/>
          <w:b/>
        </w:rPr>
        <w:t xml:space="preserve">Auth:</w:t>
      </w:r>
      <w:r>
        <w:t xml:space="preserve"> </w:t>
      </w:r>
      <w:r>
        <w:t xml:space="preserve">organizer/co-admin. Invite a reviewer by email; creates a</w:t>
      </w:r>
      <w:r>
        <w:t xml:space="preserve"> </w:t>
      </w:r>
      <w:r>
        <w:rPr>
          <w:rStyle w:val="VerbatimChar"/>
        </w:rPr>
        <w:t xml:space="preserve">conference_reviewers</w:t>
      </w:r>
      <w:r>
        <w:t xml:space="preserve"> </w:t>
      </w:r>
      <w:r>
        <w:t xml:space="preserve">row with</w:t>
      </w:r>
      <w:r>
        <w:t xml:space="preserve"> </w:t>
      </w:r>
      <w:r>
        <w:rPr>
          <w:rStyle w:val="VerbatimChar"/>
        </w:rPr>
        <w:t xml:space="preserve">invited_status = 'invited'</w:t>
      </w:r>
      <w:r>
        <w:t xml:space="preserve">.</w:t>
      </w:r>
    </w:p>
    <w:bookmarkEnd w:id="129"/>
    <w:bookmarkStart w:id="130" w:name="X3926d387b14aa39129658c17d04d527cacd244e"/>
    <w:p>
      <w:pPr>
        <w:pStyle w:val="Heading3"/>
      </w:pPr>
      <w:r>
        <w:rPr>
          <w:rStyle w:val="VerbatimChar"/>
        </w:rPr>
        <w:t xml:space="preserve">POST /conferences/{id}/coadmins</w:t>
      </w:r>
      <w:r>
        <w:t xml:space="preserve"> </w:t>
      </w:r>
      <w:r>
        <w:t xml:space="preserve">—</w:t>
      </w:r>
      <w:r>
        <w:t xml:space="preserve"> </w:t>
      </w:r>
      <w:r>
        <w:rPr>
          <w:bCs/>
          <w:b/>
        </w:rPr>
        <w:t xml:space="preserve">Auth:</w:t>
      </w:r>
      <w:r>
        <w:t xml:space="preserve"> </w:t>
      </w:r>
      <w:r>
        <w:t xml:space="preserve">organizer (full permission only — co-admins cannot add other co-admins per §1.10). Creates a</w:t>
      </w:r>
      <w:r>
        <w:t xml:space="preserve"> </w:t>
      </w:r>
      <w:r>
        <w:rPr>
          <w:rStyle w:val="VerbatimChar"/>
        </w:rPr>
        <w:t xml:space="preserve">conference_coadmins</w:t>
      </w:r>
      <w:r>
        <w:t xml:space="preserve"> </w:t>
      </w:r>
      <w:r>
        <w:t xml:space="preserve">row.</w:t>
      </w:r>
    </w:p>
    <w:bookmarkEnd w:id="130"/>
    <w:bookmarkStart w:id="131" w:name="X30e08f8181b63a56b7b53c841e0f0f9b4f9f091"/>
    <w:p>
      <w:pPr>
        <w:pStyle w:val="Heading3"/>
      </w:pPr>
      <w:r>
        <w:rPr>
          <w:rStyle w:val="VerbatimChar"/>
        </w:rPr>
        <w:t xml:space="preserve">GET /conferences/{id}/reviewers</w:t>
      </w:r>
      <w:r>
        <w:t xml:space="preserve"> </w:t>
      </w:r>
      <w:r>
        <w:t xml:space="preserve">—</w:t>
      </w:r>
      <w:r>
        <w:t xml:space="preserve"> </w:t>
      </w:r>
      <w:r>
        <w:rPr>
          <w:bCs/>
          <w:b/>
        </w:rPr>
        <w:t xml:space="preserve">Auth:</w:t>
      </w:r>
      <w:r>
        <w:t xml:space="preserve"> </w:t>
      </w:r>
      <w:r>
        <w:t xml:space="preserve">organizer/co-admin. Lists the reviewer pool with</w:t>
      </w:r>
      <w:r>
        <w:t xml:space="preserve"> </w:t>
      </w:r>
      <w:r>
        <w:rPr>
          <w:rStyle w:val="VerbatimChar"/>
        </w:rPr>
        <w:t xml:space="preserve">topic_tags</w:t>
      </w:r>
      <w:r>
        <w:t xml:space="preserve"> </w:t>
      </w:r>
      <w:r>
        <w:t xml:space="preserve">and</w:t>
      </w:r>
      <w:r>
        <w:t xml:space="preserve"> </w:t>
      </w:r>
      <w:r>
        <w:rPr>
          <w:rStyle w:val="VerbatimChar"/>
        </w:rPr>
        <w:t xml:space="preserve">invited_status</w:t>
      </w:r>
      <w:r>
        <w:t xml:space="preserve">.</w:t>
      </w:r>
    </w:p>
    <w:bookmarkEnd w:id="131"/>
    <w:bookmarkEnd w:id="132"/>
    <w:bookmarkStart w:id="133" w:name="error-handling-conventions"/>
    <w:p>
      <w:pPr>
        <w:pStyle w:val="Heading2"/>
      </w:pPr>
      <w:r>
        <w:t xml:space="preserve">5.10 Error handling conventions</w:t>
      </w:r>
    </w:p>
    <w:p>
      <w:pPr>
        <w:pStyle w:val="FirstParagraph"/>
      </w:pPr>
      <w:r>
        <w:t xml:space="preserve">All error responses follow a consistent shape:</w:t>
      </w:r>
    </w:p>
    <w:p>
      <w:pPr>
        <w:pStyle w:val="SourceCode"/>
      </w:pPr>
      <w:r>
        <w:rPr>
          <w:rStyle w:val="FunctionTok"/>
        </w:rPr>
        <w:t xml:space="preserve">{</w:t>
      </w:r>
      <w:r>
        <w:rPr>
          <w:rStyle w:val="DataTypeTok"/>
        </w:rPr>
        <w:t xml:space="preserve">"error"</w:t>
      </w:r>
      <w:r>
        <w:rPr>
          <w:rStyle w:val="FunctionTok"/>
        </w:rPr>
        <w:t xml:space="preserve">:</w:t>
      </w:r>
      <w:r>
        <w:rPr>
          <w:rStyle w:val="NormalTok"/>
        </w:rPr>
        <w:t xml:space="preserve"> </w:t>
      </w:r>
      <w:r>
        <w:rPr>
          <w:rStyle w:val="FunctionTok"/>
        </w:rPr>
        <w:t xml:space="preserve">{</w:t>
      </w:r>
      <w:r>
        <w:rPr>
          <w:rStyle w:val="DataTypeTok"/>
        </w:rPr>
        <w:t xml:space="preserve">"code"</w:t>
      </w:r>
      <w:r>
        <w:rPr>
          <w:rStyle w:val="FunctionTok"/>
        </w:rPr>
        <w:t xml:space="preserve">:</w:t>
      </w:r>
      <w:r>
        <w:rPr>
          <w:rStyle w:val="NormalTok"/>
        </w:rPr>
        <w:t xml:space="preserve"> </w:t>
      </w:r>
      <w:r>
        <w:rPr>
          <w:rStyle w:val="StringTok"/>
        </w:rPr>
        <w:t xml:space="preserve">"GATE_RULE_INVALID"</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"ai_content_pct cannot be a hard gate."</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"is_hard_gate"</w:t>
      </w:r>
      <w:r>
        <w:rPr>
          <w:rStyle w:val="Function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HTTP status</w:t>
            </w:r>
          </w:p>
        </w:tc>
        <w:tc>
          <w:tcPr/>
          <w:p>
            <w:pPr>
              <w:pStyle w:val="Compact"/>
              <w:jc w:val="left"/>
            </w:pPr>
            <w:r>
              <w:t xml:space="preserve">Meaning in this API</w:t>
            </w:r>
          </w:p>
        </w:tc>
      </w:tr>
      <w:tr>
        <w:tc>
          <w:tcPr/>
          <w:p>
            <w:pPr>
              <w:pStyle w:val="Compact"/>
              <w:jc w:val="left"/>
            </w:pPr>
            <w:r>
              <w:rPr>
                <w:rStyle w:val="VerbatimChar"/>
              </w:rPr>
              <w:t xml:space="preserve">400</w:t>
            </w:r>
          </w:p>
        </w:tc>
        <w:tc>
          <w:tcPr/>
          <w:p>
            <w:pPr>
              <w:pStyle w:val="Compact"/>
              <w:jc w:val="left"/>
            </w:pPr>
            <w:r>
              <w:t xml:space="preserve">Malformed request body</w:t>
            </w:r>
          </w:p>
        </w:tc>
      </w:tr>
      <w:tr>
        <w:tc>
          <w:tcPr/>
          <w:p>
            <w:pPr>
              <w:pStyle w:val="Compact"/>
              <w:jc w:val="left"/>
            </w:pPr>
            <w:r>
              <w:rPr>
                <w:rStyle w:val="VerbatimChar"/>
              </w:rPr>
              <w:t xml:space="preserve">401</w:t>
            </w:r>
          </w:p>
        </w:tc>
        <w:tc>
          <w:tcPr/>
          <w:p>
            <w:pPr>
              <w:pStyle w:val="Compact"/>
              <w:jc w:val="left"/>
            </w:pPr>
            <w:r>
              <w:t xml:space="preserve">Missing/invalid/expired JWT</w:t>
            </w:r>
          </w:p>
        </w:tc>
      </w:tr>
      <w:tr>
        <w:tc>
          <w:tcPr/>
          <w:p>
            <w:pPr>
              <w:pStyle w:val="Compact"/>
              <w:jc w:val="left"/>
            </w:pPr>
            <w:r>
              <w:rPr>
                <w:rStyle w:val="VerbatimChar"/>
              </w:rPr>
              <w:t xml:space="preserve">403</w:t>
            </w:r>
          </w:p>
        </w:tc>
        <w:tc>
          <w:tcPr/>
          <w:p>
            <w:pPr>
              <w:pStyle w:val="Compact"/>
              <w:jc w:val="left"/>
            </w:pPr>
            <w:r>
              <w:t xml:space="preserve">Valid JWT, but the user’s role or conference-scoped permission doesn’t allow this action (e.g., a researcher calling</w:t>
            </w:r>
            <w:r>
              <w:t xml:space="preserve"> </w:t>
            </w:r>
            <w:r>
              <w:rPr>
                <w:rStyle w:val="VerbatimChar"/>
              </w:rPr>
              <w:t xml:space="preserve">/conferences/{id}/gate-rules</w:t>
            </w:r>
            <w:r>
              <w:t xml:space="preserve">, or an organizer of Conference A calling an endpoint scoped to Conference B)</w:t>
            </w:r>
          </w:p>
        </w:tc>
      </w:tr>
      <w:tr>
        <w:tc>
          <w:tcPr/>
          <w:p>
            <w:pPr>
              <w:pStyle w:val="Compact"/>
              <w:jc w:val="left"/>
            </w:pPr>
            <w:r>
              <w:rPr>
                <w:rStyle w:val="VerbatimChar"/>
              </w:rPr>
              <w:t xml:space="preserve">404</w:t>
            </w:r>
          </w:p>
        </w:tc>
        <w:tc>
          <w:tcPr/>
          <w:p>
            <w:pPr>
              <w:pStyle w:val="Compact"/>
              <w:jc w:val="left"/>
            </w:pPr>
            <w:r>
              <w:t xml:space="preserve">Resource not found, or — deliberately — not visible to this user (e.g., a researcher requesting another researcher’s</w:t>
            </w:r>
            <w:r>
              <w:t xml:space="preserve"> </w:t>
            </w:r>
            <w:r>
              <w:rPr>
                <w:rStyle w:val="VerbatimChar"/>
              </w:rPr>
              <w:t xml:space="preserve">submissions/{id}</w:t>
            </w:r>
            <w:r>
              <w:t xml:space="preserve">, returned as</w:t>
            </w:r>
            <w:r>
              <w:t xml:space="preserve"> </w:t>
            </w:r>
            <w:r>
              <w:rPr>
                <w:rStyle w:val="VerbatimChar"/>
              </w:rPr>
              <w:t xml:space="preserve">404</w:t>
            </w:r>
            <w:r>
              <w:t xml:space="preserve"> </w:t>
            </w:r>
            <w:r>
              <w:t xml:space="preserve">rather than</w:t>
            </w:r>
            <w:r>
              <w:t xml:space="preserve"> </w:t>
            </w:r>
            <w:r>
              <w:rPr>
                <w:rStyle w:val="VerbatimChar"/>
              </w:rPr>
              <w:t xml:space="preserve">403</w:t>
            </w:r>
            <w:r>
              <w:t xml:space="preserve"> </w:t>
            </w:r>
            <w:r>
              <w:t xml:space="preserve">to avoid confirming the resource exists)</w:t>
            </w:r>
          </w:p>
        </w:tc>
      </w:tr>
      <w:tr>
        <w:tc>
          <w:tcPr/>
          <w:p>
            <w:pPr>
              <w:pStyle w:val="Compact"/>
              <w:jc w:val="left"/>
            </w:pPr>
            <w:r>
              <w:rPr>
                <w:rStyle w:val="VerbatimChar"/>
              </w:rPr>
              <w:t xml:space="preserve">422</w:t>
            </w:r>
          </w:p>
        </w:tc>
        <w:tc>
          <w:tcPr/>
          <w:p>
            <w:pPr>
              <w:pStyle w:val="Compact"/>
              <w:jc w:val="left"/>
            </w:pPr>
            <w:r>
              <w:t xml:space="preserve">Semantically invalid request that passed basic validation — e.g., the hard-gate-on-AI-content-check constraint from §5.2</w:t>
            </w:r>
          </w:p>
        </w:tc>
      </w:tr>
      <w:tr>
        <w:tc>
          <w:tcPr/>
          <w:p>
            <w:pPr>
              <w:pStyle w:val="Compact"/>
              <w:jc w:val="left"/>
            </w:pPr>
            <w:r>
              <w:rPr>
                <w:rStyle w:val="VerbatimChar"/>
              </w:rPr>
              <w:t xml:space="preserve">500</w:t>
            </w:r>
          </w:p>
        </w:tc>
        <w:tc>
          <w:tcPr/>
          <w:p>
            <w:pPr>
              <w:pStyle w:val="Compact"/>
              <w:jc w:val="left"/>
            </w:pPr>
            <w:r>
              <w:t xml:space="preserve">Unhandled server error — logged with a request ID surfaced in the response body for support/debugging</w:t>
            </w:r>
          </w:p>
        </w:tc>
      </w:tr>
      <w:tr>
        <w:tc>
          <w:tcPr/>
          <w:p>
            <w:pPr>
              <w:pStyle w:val="Compact"/>
              <w:jc w:val="left"/>
            </w:pPr>
            <w:r>
              <w:rPr>
                <w:rStyle w:val="VerbatimChar"/>
              </w:rPr>
              <w:t xml:space="preserve">504</w:t>
            </w:r>
          </w:p>
        </w:tc>
        <w:tc>
          <w:tcPr/>
          <w:p>
            <w:pPr>
              <w:pStyle w:val="Compact"/>
              <w:jc w:val="left"/>
            </w:pPr>
            <w:r>
              <w:t xml:space="preserve">An AI check exceeded the orchestration timeout (§2.3) — surfaced distinctly from a generic</w:t>
            </w:r>
            <w:r>
              <w:t xml:space="preserve"> </w:t>
            </w:r>
            <w:r>
              <w:rPr>
                <w:rStyle w:val="VerbatimChar"/>
              </w:rPr>
              <w:t xml:space="preserve">500</w:t>
            </w:r>
            <w:r>
              <w:t xml:space="preserve"> </w:t>
            </w:r>
            <w:r>
              <w:t xml:space="preserve">so the frontend can render</w:t>
            </w:r>
            <w:r>
              <w:t xml:space="preserve"> </w:t>
            </w:r>
            <w:r>
              <w:t xml:space="preserve">“</w:t>
            </w:r>
            <w:r>
              <w:t xml:space="preserve">still processing / one check timed out</w:t>
            </w:r>
            <w:r>
              <w:t xml:space="preserve">”</w:t>
            </w:r>
            <w:r>
              <w:t xml:space="preserve"> </w:t>
            </w:r>
            <w:r>
              <w:t xml:space="preserve">rather than a generic failure</w:t>
            </w:r>
          </w:p>
        </w:tc>
      </w:tr>
    </w:tbl>
    <w:bookmarkEnd w:id="133"/>
    <w:bookmarkStart w:id="134" w:name="X134fcf3c12688fdcd60d1a201ab65576885968e"/>
    <w:p>
      <w:pPr>
        <w:pStyle w:val="Heading2"/>
      </w:pPr>
      <w:r>
        <w:t xml:space="preserve">5.11 Endpoint summary table (role access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 &amp; Path</w:t>
            </w:r>
          </w:p>
        </w:tc>
        <w:tc>
          <w:tcPr/>
          <w:p>
            <w:pPr>
              <w:pStyle w:val="Compact"/>
              <w:jc w:val="left"/>
            </w:pPr>
            <w:r>
              <w:t xml:space="preserve">Purpose</w:t>
            </w:r>
          </w:p>
        </w:tc>
        <w:tc>
          <w:tcPr/>
          <w:p>
            <w:pPr>
              <w:pStyle w:val="Compact"/>
              <w:jc w:val="left"/>
            </w:pPr>
            <w:r>
              <w:t xml:space="preserve">Researcher</w:t>
            </w:r>
          </w:p>
        </w:tc>
        <w:tc>
          <w:tcPr/>
          <w:p>
            <w:pPr>
              <w:pStyle w:val="Compact"/>
              <w:jc w:val="left"/>
            </w:pPr>
            <w:r>
              <w:t xml:space="preserve">Reviewer</w:t>
            </w:r>
          </w:p>
        </w:tc>
        <w:tc>
          <w:tcPr/>
          <w:p>
            <w:pPr>
              <w:pStyle w:val="Compact"/>
              <w:jc w:val="left"/>
            </w:pPr>
            <w:r>
              <w:t xml:space="preserve">Organizer/Co-admin</w:t>
            </w:r>
          </w:p>
        </w:tc>
      </w:tr>
      <w:tr>
        <w:tc>
          <w:tcPr/>
          <w:p>
            <w:pPr>
              <w:pStyle w:val="Compact"/>
              <w:jc w:val="left"/>
            </w:pPr>
            <w:r>
              <w:rPr>
                <w:rStyle w:val="VerbatimChar"/>
              </w:rPr>
              <w:t xml:space="preserve">POST /auth/signup</w:t>
            </w:r>
            <w:r>
              <w:t xml:space="preserve">,</w:t>
            </w:r>
            <w:r>
              <w:t xml:space="preserve"> </w:t>
            </w:r>
            <w:r>
              <w:rPr>
                <w:rStyle w:val="VerbatimChar"/>
              </w:rPr>
              <w:t xml:space="preserve">/auth/login</w:t>
            </w:r>
          </w:p>
        </w:tc>
        <w:tc>
          <w:tcPr/>
          <w:p>
            <w:pPr>
              <w:pStyle w:val="Compact"/>
              <w:jc w:val="left"/>
            </w:pPr>
            <w:r>
              <w:t xml:space="preserve">Account creation/login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GET /conferences</w:t>
            </w:r>
            <w:r>
              <w:t xml:space="preserve">,</w:t>
            </w:r>
            <w:r>
              <w:t xml:space="preserve"> </w:t>
            </w:r>
            <w:r>
              <w:rPr>
                <w:rStyle w:val="VerbatimChar"/>
              </w:rPr>
              <w:t xml:space="preserve">GET /conferences/{id}</w:t>
            </w:r>
          </w:p>
        </w:tc>
        <w:tc>
          <w:tcPr/>
          <w:p>
            <w:pPr>
              <w:pStyle w:val="Compact"/>
              <w:jc w:val="left"/>
            </w:pPr>
            <w:r>
              <w:t xml:space="preserve">Browse conferences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rStyle w:val="VerbatimChar"/>
              </w:rPr>
              <w:t xml:space="preserve">POST /conferences</w:t>
            </w:r>
          </w:p>
        </w:tc>
        <w:tc>
          <w:tcPr/>
          <w:p>
            <w:pPr>
              <w:pStyle w:val="Compact"/>
              <w:jc w:val="left"/>
            </w:pPr>
            <w:r>
              <w:t xml:space="preserve">Create conference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PATCH /conferences/{id}</w:t>
            </w:r>
          </w:p>
        </w:tc>
        <w:tc>
          <w:tcPr/>
          <w:p>
            <w:pPr>
              <w:pStyle w:val="Compact"/>
              <w:jc w:val="left"/>
            </w:pPr>
            <w:r>
              <w:t xml:space="preserve">Edit conference</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(full/track-scoped)</w:t>
            </w:r>
          </w:p>
        </w:tc>
      </w:tr>
      <w:tr>
        <w:tc>
          <w:tcPr/>
          <w:p>
            <w:pPr>
              <w:pStyle w:val="Compact"/>
              <w:jc w:val="left"/>
            </w:pPr>
            <w:r>
              <w:rPr>
                <w:rStyle w:val="VerbatimChar"/>
              </w:rPr>
              <w:t xml:space="preserve">GET/PUT /conferences/{id}/gate-rules</w:t>
            </w:r>
          </w:p>
        </w:tc>
        <w:tc>
          <w:tcPr/>
          <w:p>
            <w:pPr>
              <w:pStyle w:val="Compact"/>
              <w:jc w:val="left"/>
            </w:pPr>
            <w:r>
              <w:t xml:space="preserve">View/edit gate rules</w:t>
            </w:r>
          </w:p>
        </w:tc>
        <w:tc>
          <w:tcPr/>
          <w:p>
            <w:pPr>
              <w:pStyle w:val="Compact"/>
              <w:jc w:val="left"/>
            </w:pPr>
            <w:r>
              <w:t xml:space="preserve">View: partial</w:t>
            </w:r>
          </w:p>
        </w:tc>
        <w:tc>
          <w:tcPr/>
          <w:p>
            <w:pPr>
              <w:pStyle w:val="Compact"/>
              <w:jc w:val="left"/>
            </w:pPr>
            <w:r>
              <w:t xml:space="preserve">No</w:t>
            </w:r>
          </w:p>
        </w:tc>
        <w:tc>
          <w:tcPr/>
          <w:p>
            <w:pPr>
              <w:pStyle w:val="Compact"/>
              <w:jc w:val="left"/>
            </w:pPr>
            <w:r>
              <w:t xml:space="preserve">Full</w:t>
            </w:r>
          </w:p>
        </w:tc>
      </w:tr>
      <w:tr>
        <w:tc>
          <w:tcPr/>
          <w:p>
            <w:pPr>
              <w:pStyle w:val="Compact"/>
              <w:jc w:val="left"/>
            </w:pPr>
            <w:r>
              <w:rPr>
                <w:rStyle w:val="VerbatimChar"/>
              </w:rPr>
              <w:t xml:space="preserve">POST /submissions</w:t>
            </w:r>
          </w:p>
        </w:tc>
        <w:tc>
          <w:tcPr/>
          <w:p>
            <w:pPr>
              <w:pStyle w:val="Compact"/>
              <w:jc w:val="left"/>
            </w:pPr>
            <w:r>
              <w:t xml:space="preserve">Submit paper</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rStyle w:val="VerbatimChar"/>
              </w:rPr>
              <w:t xml:space="preserve">GET /submissions/{id}</w:t>
            </w:r>
          </w:p>
        </w:tc>
        <w:tc>
          <w:tcPr/>
          <w:p>
            <w:pPr>
              <w:pStyle w:val="Compact"/>
              <w:jc w:val="left"/>
            </w:pPr>
            <w:r>
              <w:t xml:space="preserve">View submission</w:t>
            </w:r>
          </w:p>
        </w:tc>
        <w:tc>
          <w:tcPr/>
          <w:p>
            <w:pPr>
              <w:pStyle w:val="Compact"/>
              <w:jc w:val="left"/>
            </w:pPr>
            <w:r>
              <w:t xml:space="preserve">Own only</w:t>
            </w:r>
          </w:p>
        </w:tc>
        <w:tc>
          <w:tcPr/>
          <w:p>
            <w:pPr>
              <w:pStyle w:val="Compact"/>
              <w:jc w:val="left"/>
            </w:pPr>
            <w:r>
              <w:t xml:space="preserve">Assigned only</w:t>
            </w:r>
          </w:p>
        </w:tc>
        <w:tc>
          <w:tcPr/>
          <w:p>
            <w:pPr>
              <w:pStyle w:val="Compact"/>
              <w:jc w:val="left"/>
            </w:pPr>
            <w:r>
              <w:t xml:space="preserve">Own conference only</w:t>
            </w:r>
          </w:p>
        </w:tc>
      </w:tr>
      <w:tr>
        <w:tc>
          <w:tcPr/>
          <w:p>
            <w:pPr>
              <w:pStyle w:val="Compact"/>
              <w:jc w:val="left"/>
            </w:pPr>
            <w:r>
              <w:rPr>
                <w:rStyle w:val="VerbatimChar"/>
              </w:rPr>
              <w:t xml:space="preserve">GET /submissions/{id}/ai-report</w:t>
            </w:r>
          </w:p>
        </w:tc>
        <w:tc>
          <w:tcPr/>
          <w:p>
            <w:pPr>
              <w:pStyle w:val="Compact"/>
              <w:jc w:val="left"/>
            </w:pPr>
            <w:r>
              <w:t xml:space="preserve">View AI report</w:t>
            </w:r>
          </w:p>
        </w:tc>
        <w:tc>
          <w:tcPr/>
          <w:p>
            <w:pPr>
              <w:pStyle w:val="Compact"/>
              <w:jc w:val="left"/>
            </w:pPr>
            <w:r>
              <w:t xml:space="preserve">Own only</w:t>
            </w:r>
          </w:p>
        </w:tc>
        <w:tc>
          <w:tcPr/>
          <w:p>
            <w:pPr>
              <w:pStyle w:val="Compact"/>
              <w:jc w:val="left"/>
            </w:pPr>
            <w:r>
              <w:t xml:space="preserve">Assigned only</w:t>
            </w:r>
          </w:p>
        </w:tc>
        <w:tc>
          <w:tcPr/>
          <w:p>
            <w:pPr>
              <w:pStyle w:val="Compact"/>
              <w:jc w:val="left"/>
            </w:pPr>
            <w:r>
              <w:t xml:space="preserve">Own conference only</w:t>
            </w:r>
          </w:p>
        </w:tc>
      </w:tr>
      <w:tr>
        <w:tc>
          <w:tcPr/>
          <w:p>
            <w:pPr>
              <w:pStyle w:val="Compact"/>
              <w:jc w:val="left"/>
            </w:pPr>
            <w:r>
              <w:rPr>
                <w:rStyle w:val="VerbatimChar"/>
              </w:rPr>
              <w:t xml:space="preserve">POST /submissions/{id}/resubmit</w:t>
            </w:r>
          </w:p>
        </w:tc>
        <w:tc>
          <w:tcPr/>
          <w:p>
            <w:pPr>
              <w:pStyle w:val="Compact"/>
              <w:jc w:val="left"/>
            </w:pPr>
            <w:r>
              <w:t xml:space="preserve">Revise &amp; resubmit</w:t>
            </w:r>
          </w:p>
        </w:tc>
        <w:tc>
          <w:tcPr/>
          <w:p>
            <w:pPr>
              <w:pStyle w:val="Compact"/>
              <w:jc w:val="left"/>
            </w:pPr>
            <w:r>
              <w:t xml:space="preserve">Own only</w:t>
            </w:r>
          </w:p>
        </w:tc>
        <w:tc>
          <w:tcPr/>
          <w:p>
            <w:pPr>
              <w:pStyle w:val="Compact"/>
              <w:jc w:val="left"/>
            </w:pPr>
            <w:r>
              <w:t xml:space="preserve">No</w:t>
            </w:r>
          </w:p>
        </w:tc>
        <w:tc>
          <w:tcPr/>
          <w:p>
            <w:pPr>
              <w:pStyle w:val="Compact"/>
              <w:jc w:val="left"/>
            </w:pPr>
            <w:r>
              <w:t xml:space="preserve">No</w:t>
            </w:r>
          </w:p>
        </w:tc>
      </w:tr>
      <w:tr>
        <w:tc>
          <w:tcPr/>
          <w:p>
            <w:pPr>
              <w:pStyle w:val="Compact"/>
              <w:jc w:val="left"/>
            </w:pPr>
            <w:r>
              <w:rPr>
                <w:rStyle w:val="VerbatimChar"/>
              </w:rPr>
              <w:t xml:space="preserve">GET /submissions/{id}/history</w:t>
            </w:r>
          </w:p>
        </w:tc>
        <w:tc>
          <w:tcPr/>
          <w:p>
            <w:pPr>
              <w:pStyle w:val="Compact"/>
              <w:jc w:val="left"/>
            </w:pPr>
            <w:r>
              <w:t xml:space="preserve">Version history</w:t>
            </w:r>
          </w:p>
        </w:tc>
        <w:tc>
          <w:tcPr/>
          <w:p>
            <w:pPr>
              <w:pStyle w:val="Compact"/>
              <w:jc w:val="left"/>
            </w:pPr>
            <w:r>
              <w:t xml:space="preserve">Own only</w:t>
            </w:r>
          </w:p>
        </w:tc>
        <w:tc>
          <w:tcPr/>
          <w:p>
            <w:pPr>
              <w:pStyle w:val="Compact"/>
              <w:jc w:val="left"/>
            </w:pPr>
            <w:r>
              <w:t xml:space="preserve">Assigned only</w:t>
            </w:r>
          </w:p>
        </w:tc>
        <w:tc>
          <w:tcPr/>
          <w:p>
            <w:pPr>
              <w:pStyle w:val="Compact"/>
              <w:jc w:val="left"/>
            </w:pPr>
            <w:r>
              <w:t xml:space="preserve">Own conference only</w:t>
            </w:r>
          </w:p>
        </w:tc>
      </w:tr>
      <w:tr>
        <w:tc>
          <w:tcPr/>
          <w:p>
            <w:pPr>
              <w:pStyle w:val="Compact"/>
              <w:jc w:val="left"/>
            </w:pPr>
            <w:r>
              <w:rPr>
                <w:rStyle w:val="VerbatimChar"/>
              </w:rPr>
              <w:t xml:space="preserve">GET /reviews/assigned</w:t>
            </w:r>
          </w:p>
        </w:tc>
        <w:tc>
          <w:tcPr/>
          <w:p>
            <w:pPr>
              <w:pStyle w:val="Compact"/>
              <w:jc w:val="left"/>
            </w:pPr>
            <w:r>
              <w:t xml:space="preserve">Assigned papers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rStyle w:val="VerbatimChar"/>
              </w:rPr>
              <w:t xml:space="preserve">POST /reviews/assign</w:t>
            </w:r>
          </w:p>
        </w:tc>
        <w:tc>
          <w:tcPr/>
          <w:p>
            <w:pPr>
              <w:pStyle w:val="Compact"/>
              <w:jc w:val="left"/>
            </w:pPr>
            <w:r>
              <w:t xml:space="preserve">Assign reviewer</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POST /reviews/{id}/submit</w:t>
            </w:r>
          </w:p>
        </w:tc>
        <w:tc>
          <w:tcPr/>
          <w:p>
            <w:pPr>
              <w:pStyle w:val="Compact"/>
              <w:jc w:val="left"/>
            </w:pPr>
            <w:r>
              <w:t xml:space="preserve">Submit review</w:t>
            </w:r>
          </w:p>
        </w:tc>
        <w:tc>
          <w:tcPr/>
          <w:p>
            <w:pPr>
              <w:pStyle w:val="Compact"/>
              <w:jc w:val="left"/>
            </w:pPr>
            <w:r>
              <w:t xml:space="preserve">No</w:t>
            </w:r>
          </w:p>
        </w:tc>
        <w:tc>
          <w:tcPr/>
          <w:p>
            <w:pPr>
              <w:pStyle w:val="Compact"/>
              <w:jc w:val="left"/>
            </w:pPr>
            <w:r>
              <w:t xml:space="preserve">Assigned only</w:t>
            </w:r>
          </w:p>
        </w:tc>
        <w:tc>
          <w:tcPr/>
          <w:p>
            <w:pPr>
              <w:pStyle w:val="Compact"/>
              <w:jc w:val="left"/>
            </w:pPr>
            <w:r>
              <w:t xml:space="preserve">No</w:t>
            </w:r>
          </w:p>
        </w:tc>
      </w:tr>
      <w:tr>
        <w:tc>
          <w:tcPr/>
          <w:p>
            <w:pPr>
              <w:pStyle w:val="Compact"/>
              <w:jc w:val="left"/>
            </w:pPr>
            <w:r>
              <w:rPr>
                <w:rStyle w:val="VerbatimChar"/>
              </w:rPr>
              <w:t xml:space="preserve">POST /submissions/{id}/decision</w:t>
            </w:r>
          </w:p>
        </w:tc>
        <w:tc>
          <w:tcPr/>
          <w:p>
            <w:pPr>
              <w:pStyle w:val="Compact"/>
              <w:jc w:val="left"/>
            </w:pPr>
            <w:r>
              <w:t xml:space="preserve">Record decision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GET /submissions/{id}/cross-conference-summary</w:t>
            </w:r>
          </w:p>
        </w:tc>
        <w:tc>
          <w:tcPr/>
          <w:p>
            <w:pPr>
              <w:pStyle w:val="Compact"/>
              <w:jc w:val="left"/>
            </w:pPr>
            <w:r>
              <w:t xml:space="preserve">Cross-conf. summary</w:t>
            </w:r>
          </w:p>
        </w:tc>
        <w:tc>
          <w:tcPr/>
          <w:p>
            <w:pPr>
              <w:pStyle w:val="Compact"/>
              <w:jc w:val="left"/>
            </w:pPr>
            <w:r>
              <w:rPr>
                <w:bCs/>
                <w:b/>
              </w:rPr>
              <w:t xml:space="preserve">No, never</w:t>
            </w:r>
          </w:p>
        </w:tc>
        <w:tc>
          <w:tcPr/>
          <w:p>
            <w:pPr>
              <w:pStyle w:val="Compact"/>
              <w:jc w:val="left"/>
            </w:pPr>
            <w:r>
              <w:t xml:space="preserve">Yes (new conf.)</w:t>
            </w:r>
          </w:p>
        </w:tc>
        <w:tc>
          <w:tcPr/>
          <w:p>
            <w:pPr>
              <w:pStyle w:val="Compact"/>
              <w:jc w:val="left"/>
            </w:pPr>
            <w:r>
              <w:t xml:space="preserve">Yes (new conf.)</w:t>
            </w:r>
          </w:p>
        </w:tc>
      </w:tr>
      <w:tr>
        <w:tc>
          <w:tcPr/>
          <w:p>
            <w:pPr>
              <w:pStyle w:val="Compact"/>
              <w:jc w:val="left"/>
            </w:pPr>
            <w:r>
              <w:rPr>
                <w:rStyle w:val="VerbatimChar"/>
              </w:rPr>
              <w:t xml:space="preserve">GET /analytics/conference/{id}</w:t>
            </w:r>
          </w:p>
        </w:tc>
        <w:tc>
          <w:tcPr/>
          <w:p>
            <w:pPr>
              <w:pStyle w:val="Compact"/>
              <w:jc w:val="left"/>
            </w:pPr>
            <w:r>
              <w:t xml:space="preserve">Analytics</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rPr>
                <w:rStyle w:val="VerbatimChar"/>
              </w:rPr>
              <w:t xml:space="preserve">GET/POST /notifications</w:t>
            </w:r>
          </w:p>
        </w:tc>
        <w:tc>
          <w:tcPr/>
          <w:p>
            <w:pPr>
              <w:pStyle w:val="Compact"/>
              <w:jc w:val="left"/>
            </w:pPr>
            <w:r>
              <w:t xml:space="preserve">Notifications</w:t>
            </w:r>
          </w:p>
        </w:tc>
        <w:tc>
          <w:tcPr/>
          <w:p>
            <w:pPr>
              <w:pStyle w:val="Compact"/>
              <w:jc w:val="left"/>
            </w:pPr>
            <w:r>
              <w:t xml:space="preserve">Own only</w:t>
            </w:r>
          </w:p>
        </w:tc>
        <w:tc>
          <w:tcPr/>
          <w:p>
            <w:pPr>
              <w:pStyle w:val="Compact"/>
              <w:jc w:val="left"/>
            </w:pPr>
            <w:r>
              <w:t xml:space="preserve">Own only</w:t>
            </w:r>
          </w:p>
        </w:tc>
        <w:tc>
          <w:tcPr/>
          <w:p>
            <w:pPr>
              <w:pStyle w:val="Compact"/>
              <w:jc w:val="left"/>
            </w:pPr>
            <w:r>
              <w:t xml:space="preserve">Own only</w:t>
            </w:r>
          </w:p>
        </w:tc>
      </w:tr>
      <w:tr>
        <w:tc>
          <w:tcPr/>
          <w:p>
            <w:pPr>
              <w:pStyle w:val="Compact"/>
              <w:jc w:val="left"/>
            </w:pPr>
            <w:r>
              <w:rPr>
                <w:rStyle w:val="VerbatimChar"/>
              </w:rPr>
              <w:t xml:space="preserve">POST /conferences/{id}/reviewers</w:t>
            </w:r>
            <w:r>
              <w:t xml:space="preserve">,</w:t>
            </w:r>
            <w:r>
              <w:t xml:space="preserve"> </w:t>
            </w:r>
            <w:r>
              <w:rPr>
                <w:rStyle w:val="VerbatimChar"/>
              </w:rPr>
              <w:t xml:space="preserve">/coadmins</w:t>
            </w:r>
          </w:p>
        </w:tc>
        <w:tc>
          <w:tcPr/>
          <w:p>
            <w:pPr>
              <w:pStyle w:val="Compact"/>
              <w:jc w:val="left"/>
            </w:pPr>
            <w:r>
              <w:t xml:space="preserve">Manage pool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(coadmins: organizer only)</w:t>
            </w:r>
          </w:p>
        </w:tc>
      </w:tr>
    </w:tbl>
    <w:p>
      <w:r>
        <w:br w:type="page"/>
      </w:r>
    </w:p>
    <w:bookmarkEnd w:id="134"/>
    <w:bookmarkEnd w:id="135"/>
    <w:bookmarkStart w:id="171" w:name="frontend-page-specifications"/>
    <w:p>
      <w:pPr>
        <w:pStyle w:val="Heading1"/>
      </w:pPr>
      <w:r>
        <w:t xml:space="preserve">6. Frontend Page Specifications</w:t>
      </w:r>
    </w:p>
    <w:bookmarkStart w:id="139" w:name="role-based-navigation-overview"/>
    <w:p>
      <w:pPr>
        <w:pStyle w:val="Heading2"/>
      </w:pPr>
      <w:r>
        <w:t xml:space="preserve">6.1 Role-based navigation overview</w:t>
      </w:r>
    </w:p>
    <w:p>
      <w:pPr>
        <w:pStyle w:val="CaptionedFigure"/>
      </w:pPr>
      <w:r>
        <w:drawing>
          <wp:inline>
            <wp:extent cx="5334000" cy="2957036"/>
            <wp:effectExtent b="0" l="0" r="0" t="0"/>
            <wp:docPr descr="Figure 5 — Role-Based Page Navigation Flow" title="" id="137" name="Picture"/>
            <a:graphic>
              <a:graphicData uri="http://schemas.openxmlformats.org/drawingml/2006/picture">
                <pic:pic>
                  <pic:nvPicPr>
                    <pic:cNvPr descr="diagrams/diag5_nav.png" id="138" name="Picture"/>
                    <pic:cNvPicPr>
                      <a:picLocks noChangeArrowheads="1" noChangeAspect="1"/>
                    </pic:cNvPicPr>
                  </pic:nvPicPr>
                  <pic:blipFill>
                    <a:blip r:embed="rId136"/>
                    <a:stretch>
                      <a:fillRect/>
                    </a:stretch>
                  </pic:blipFill>
                  <pic:spPr bwMode="auto">
                    <a:xfrm>
                      <a:off x="0" y="0"/>
                      <a:ext cx="5334000" cy="2957036"/>
                    </a:xfrm>
                    <a:prstGeom prst="rect">
                      <a:avLst/>
                    </a:prstGeom>
                    <a:noFill/>
                    <a:ln w="9525">
                      <a:noFill/>
                      <a:headEnd/>
                      <a:tailEnd/>
                    </a:ln>
                  </pic:spPr>
                </pic:pic>
              </a:graphicData>
            </a:graphic>
          </wp:inline>
        </w:drawing>
      </w:r>
    </w:p>
    <w:p>
      <w:pPr>
        <w:pStyle w:val="ImageCaption"/>
      </w:pPr>
      <w:r>
        <w:t xml:space="preserve">Figure 5 — Role-Based Page Navigation Flow</w:t>
      </w:r>
    </w:p>
    <w:p>
      <w:pPr>
        <w:pStyle w:val="BodyText"/>
      </w:pPr>
      <w:r>
        <w:t xml:space="preserve">Each role sees a distinct navigation shell after login, rendered from the JWT’s</w:t>
      </w:r>
      <w:r>
        <w:t xml:space="preserve"> </w:t>
      </w:r>
      <w:r>
        <w:rPr>
          <w:rStyle w:val="VerbatimChar"/>
        </w:rPr>
        <w:t xml:space="preserve">role</w:t>
      </w:r>
      <w:r>
        <w:t xml:space="preserve"> </w:t>
      </w:r>
      <w:r>
        <w:t xml:space="preserve">claim (§2.2.1). All roles share a Notification Center and the same session/auth-guard middleware pattern (redirect to</w:t>
      </w:r>
      <w:r>
        <w:t xml:space="preserve"> </w:t>
      </w:r>
      <w:r>
        <w:rPr>
          <w:rStyle w:val="VerbatimChar"/>
        </w:rPr>
        <w:t xml:space="preserve">/login</w:t>
      </w:r>
      <w:r>
        <w:t xml:space="preserve"> </w:t>
      </w:r>
      <w:r>
        <w:t xml:space="preserve">on a</w:t>
      </w:r>
      <w:r>
        <w:t xml:space="preserve"> </w:t>
      </w:r>
      <w:r>
        <w:rPr>
          <w:rStyle w:val="VerbatimChar"/>
        </w:rPr>
        <w:t xml:space="preserve">401</w:t>
      </w:r>
      <w:r>
        <w:t xml:space="preserve"> </w:t>
      </w:r>
      <w:r>
        <w:t xml:space="preserve">from any API call).</w:t>
      </w:r>
    </w:p>
    <w:bookmarkEnd w:id="139"/>
    <w:bookmarkStart w:id="145" w:name="public-pre-auth-pages"/>
    <w:p>
      <w:pPr>
        <w:pStyle w:val="Heading2"/>
      </w:pPr>
      <w:r>
        <w:t xml:space="preserve">6.2 Public / pre-auth pages</w:t>
      </w:r>
    </w:p>
    <w:bookmarkStart w:id="140" w:name="landing-page"/>
    <w:p>
      <w:pPr>
        <w:pStyle w:val="Heading3"/>
      </w:pPr>
      <w:r>
        <w:t xml:space="preserve">6.2.1 Landing page</w:t>
      </w:r>
    </w:p>
    <w:p>
      <w:pPr>
        <w:pStyle w:val="FirstParagraph"/>
      </w:pPr>
      <w:r>
        <w:rPr>
          <w:bCs/>
          <w:b/>
        </w:rPr>
        <w:t xml:space="preserve">Purpose:</w:t>
      </w:r>
      <w:r>
        <w:t xml:space="preserve"> </w:t>
      </w:r>
      <w:r>
        <w:t xml:space="preserve">product overview and entry point.</w:t>
      </w:r>
      <w:r>
        <w:t xml:space="preserve"> </w:t>
      </w:r>
      <w:r>
        <w:rPr>
          <w:bCs/>
          <w:b/>
        </w:rPr>
        <w:t xml:space="preserve">Components:</w:t>
      </w:r>
      <w:r>
        <w:t xml:space="preserve"> </w:t>
      </w:r>
      <w:r>
        <w:t xml:space="preserve">hero copy explaining the AI pre-review concept,</w:t>
      </w:r>
      <w:r>
        <w:t xml:space="preserve"> </w:t>
      </w:r>
      <w:r>
        <w:t xml:space="preserve">“</w:t>
      </w:r>
      <w:r>
        <w:t xml:space="preserve">Sign Up</w:t>
      </w:r>
      <w:r>
        <w:t xml:space="preserve">”</w:t>
      </w:r>
      <w:r>
        <w:t xml:space="preserve"> </w:t>
      </w:r>
      <w:r>
        <w:t xml:space="preserve">/</w:t>
      </w:r>
      <w:r>
        <w:t xml:space="preserve"> </w:t>
      </w:r>
      <w:r>
        <w:t xml:space="preserve">“</w:t>
      </w:r>
      <w:r>
        <w:t xml:space="preserve">Log In</w:t>
      </w:r>
      <w:r>
        <w:t xml:space="preserve">”</w:t>
      </w:r>
      <w:r>
        <w:t xml:space="preserve"> </w:t>
      </w:r>
      <w:r>
        <w:t xml:space="preserve">CTAs.</w:t>
      </w:r>
      <w:r>
        <w:t xml:space="preserve"> </w:t>
      </w:r>
      <w:r>
        <w:rPr>
          <w:bCs/>
          <w:b/>
        </w:rPr>
        <w:t xml:space="preserve">States:</w:t>
      </w:r>
      <w:r>
        <w:t xml:space="preserve"> </w:t>
      </w:r>
      <w:r>
        <w:t xml:space="preserve">static — no loading/error states beyond standard page load.</w:t>
      </w:r>
      <w:r>
        <w:t xml:space="preserve"> </w:t>
      </w:r>
      <w:r>
        <w:rPr>
          <w:bCs/>
          <w:b/>
        </w:rPr>
        <w:t xml:space="preserve">API calls:</w:t>
      </w:r>
      <w:r>
        <w:t xml:space="preserve"> </w:t>
      </w:r>
      <w:r>
        <w:t xml:space="preserve">none.</w:t>
      </w:r>
    </w:p>
    <w:bookmarkEnd w:id="140"/>
    <w:bookmarkStart w:id="141" w:name="sign-up-page"/>
    <w:p>
      <w:pPr>
        <w:pStyle w:val="Heading3"/>
      </w:pPr>
      <w:r>
        <w:t xml:space="preserve">6.2.2 Sign Up page</w:t>
      </w:r>
    </w:p>
    <w:p>
      <w:pPr>
        <w:pStyle w:val="FirstParagraph"/>
      </w:pPr>
      <w:r>
        <w:rPr>
          <w:bCs/>
          <w:b/>
        </w:rPr>
        <w:t xml:space="preserve">Purpose:</w:t>
      </w:r>
      <w:r>
        <w:t xml:space="preserve"> </w:t>
      </w:r>
      <w:r>
        <w:t xml:space="preserve">account creation with role selection.</w:t>
      </w:r>
      <w:r>
        <w:t xml:space="preserve"> </w:t>
      </w:r>
      <w:r>
        <w:rPr>
          <w:bCs/>
          <w:b/>
        </w:rPr>
        <w:t xml:space="preserve">Components:</w:t>
      </w:r>
      <w:r>
        <w:t xml:space="preserve"> </w:t>
      </w:r>
      <w:r>
        <w:t xml:space="preserve">role selector (</w:t>
      </w:r>
      <w:r>
        <w:rPr>
          <w:rStyle w:val="VerbatimChar"/>
        </w:rPr>
        <w:t xml:space="preserve">Researcher</w:t>
      </w:r>
      <w:r>
        <w:t xml:space="preserve"> </w:t>
      </w:r>
      <w:r>
        <w:t xml:space="preserve">/</w:t>
      </w:r>
      <w:r>
        <w:t xml:space="preserve"> </w:t>
      </w:r>
      <w:r>
        <w:rPr>
          <w:rStyle w:val="VerbatimChar"/>
        </w:rPr>
        <w:t xml:space="preserve">Organizer</w:t>
      </w:r>
      <w:r>
        <w:t xml:space="preserve"> </w:t>
      </w:r>
      <w:r>
        <w:t xml:space="preserve">—</w:t>
      </w:r>
      <w:r>
        <w:t xml:space="preserve"> </w:t>
      </w:r>
      <w:r>
        <w:rPr>
          <w:rStyle w:val="VerbatimChar"/>
        </w:rPr>
        <w:t xml:space="preserve">Reviewer</w:t>
      </w:r>
      <w:r>
        <w:t xml:space="preserve"> </w:t>
      </w:r>
      <w:r>
        <w:t xml:space="preserve">is invite-only per §1.2/§1.10 and has no self-serve signup path), email, password, name, affiliation fields, OAuth (Google) button.</w:t>
      </w:r>
      <w:r>
        <w:t xml:space="preserve"> </w:t>
      </w:r>
      <w:r>
        <w:rPr>
          <w:bCs/>
          <w:b/>
        </w:rPr>
        <w:t xml:space="preserve">States:</w:t>
      </w:r>
      <w:r>
        <w:t xml:space="preserve"> </w:t>
      </w:r>
      <w:r>
        <w:rPr>
          <w:iCs/>
          <w:i/>
        </w:rPr>
        <w:t xml:space="preserve">loading</w:t>
      </w:r>
      <w:r>
        <w:t xml:space="preserve"> </w:t>
      </w:r>
      <w:r>
        <w:t xml:space="preserve">(submit in flight, disable form),</w:t>
      </w:r>
      <w:r>
        <w:t xml:space="preserve"> </w:t>
      </w:r>
      <w:r>
        <w:rPr>
          <w:iCs/>
          <w:i/>
        </w:rPr>
        <w:t xml:space="preserve">error</w:t>
      </w:r>
      <w:r>
        <w:t xml:space="preserve"> </w:t>
      </w:r>
      <w:r>
        <w:t xml:space="preserve">(inline field errors from</w:t>
      </w:r>
      <w:r>
        <w:t xml:space="preserve"> </w:t>
      </w:r>
      <w:r>
        <w:rPr>
          <w:rStyle w:val="VerbatimChar"/>
        </w:rPr>
        <w:t xml:space="preserve">422</w:t>
      </w:r>
      <w:r>
        <w:t xml:space="preserve"> </w:t>
      </w:r>
      <w:r>
        <w:t xml:space="preserve">validation, e.g.,</w:t>
      </w:r>
      <w:r>
        <w:t xml:space="preserve"> </w:t>
      </w:r>
      <w:r>
        <w:t xml:space="preserve">“</w:t>
      </w:r>
      <w:r>
        <w:t xml:space="preserve">email already registered</w:t>
      </w:r>
      <w:r>
        <w:t xml:space="preserve">”</w:t>
      </w:r>
      <w:r>
        <w:t xml:space="preserve">),</w:t>
      </w:r>
      <w:r>
        <w:t xml:space="preserve"> </w:t>
      </w:r>
      <w:r>
        <w:rPr>
          <w:iCs/>
          <w:i/>
        </w:rPr>
        <w:t xml:space="preserve">success</w:t>
      </w:r>
      <w:r>
        <w:t xml:space="preserve"> </w:t>
      </w:r>
      <w:r>
        <w:t xml:space="preserve">(redirect to Email Verification page).</w:t>
      </w:r>
      <w:r>
        <w:t xml:space="preserve"> </w:t>
      </w:r>
      <w:r>
        <w:rPr>
          <w:bCs/>
          <w:b/>
        </w:rPr>
        <w:t xml:space="preserve">API calls:</w:t>
      </w:r>
      <w:r>
        <w:t xml:space="preserve"> </w:t>
      </w:r>
      <w:r>
        <w:rPr>
          <w:rStyle w:val="VerbatimChar"/>
        </w:rPr>
        <w:t xml:space="preserve">POST /auth/signup</w:t>
      </w:r>
      <w:r>
        <w:t xml:space="preserve">.</w:t>
      </w:r>
    </w:p>
    <w:bookmarkEnd w:id="141"/>
    <w:bookmarkStart w:id="142" w:name="log-in-page"/>
    <w:p>
      <w:pPr>
        <w:pStyle w:val="Heading3"/>
      </w:pPr>
      <w:r>
        <w:t xml:space="preserve">6.2.3 Log In page</w:t>
      </w:r>
    </w:p>
    <w:p>
      <w:pPr>
        <w:pStyle w:val="FirstParagraph"/>
      </w:pPr>
      <w:r>
        <w:rPr>
          <w:bCs/>
          <w:b/>
        </w:rPr>
        <w:t xml:space="preserve">Components:</w:t>
      </w:r>
      <w:r>
        <w:t xml:space="preserve"> </w:t>
      </w:r>
      <w:r>
        <w:t xml:space="preserve">email, password, OAuth button,</w:t>
      </w:r>
      <w:r>
        <w:t xml:space="preserve"> </w:t>
      </w:r>
      <w:r>
        <w:t xml:space="preserve">“</w:t>
      </w:r>
      <w:r>
        <w:t xml:space="preserve">Forgot Password</w:t>
      </w:r>
      <w:r>
        <w:t xml:space="preserve">”</w:t>
      </w:r>
      <w:r>
        <w:t xml:space="preserve"> </w:t>
      </w:r>
      <w:r>
        <w:t xml:space="preserve">link.</w:t>
      </w:r>
      <w:r>
        <w:t xml:space="preserve"> </w:t>
      </w:r>
      <w:r>
        <w:rPr>
          <w:bCs/>
          <w:b/>
        </w:rPr>
        <w:t xml:space="preserve">States:</w:t>
      </w:r>
      <w:r>
        <w:t xml:space="preserve"> </w:t>
      </w:r>
      <w:r>
        <w:t xml:space="preserve">loading, error (invalid credentials — generic message, do not reveal whether the email exists).</w:t>
      </w:r>
      <w:r>
        <w:t xml:space="preserve"> </w:t>
      </w:r>
      <w:r>
        <w:rPr>
          <w:bCs/>
          <w:b/>
        </w:rPr>
        <w:t xml:space="preserve">API calls:</w:t>
      </w:r>
      <w:r>
        <w:t xml:space="preserve"> </w:t>
      </w:r>
      <w:r>
        <w:rPr>
          <w:rStyle w:val="VerbatimChar"/>
        </w:rPr>
        <w:t xml:space="preserve">POST /auth/login</w:t>
      </w:r>
      <w:r>
        <w:t xml:space="preserve">.</w:t>
      </w:r>
    </w:p>
    <w:bookmarkEnd w:id="142"/>
    <w:bookmarkStart w:id="143" w:name="forgot-password-reset-password-flow"/>
    <w:p>
      <w:pPr>
        <w:pStyle w:val="Heading3"/>
      </w:pPr>
      <w:r>
        <w:t xml:space="preserve">6.2.4 Forgot Password / Reset Password flow</w:t>
      </w:r>
    </w:p>
    <w:p>
      <w:pPr>
        <w:pStyle w:val="FirstParagraph"/>
      </w:pPr>
      <w:r>
        <w:t xml:space="preserve">Two screens: request-reset (email input) and set-new-password (token from email link + new password field).</w:t>
      </w:r>
      <w:r>
        <w:t xml:space="preserve"> </w:t>
      </w:r>
      <w:r>
        <w:rPr>
          <w:bCs/>
          <w:b/>
        </w:rPr>
        <w:t xml:space="preserve">API calls:</w:t>
      </w:r>
      <w:r>
        <w:t xml:space="preserve"> </w:t>
      </w:r>
      <w:r>
        <w:rPr>
          <w:rStyle w:val="VerbatimChar"/>
        </w:rPr>
        <w:t xml:space="preserve">POST /auth/forgot-password</w:t>
      </w:r>
      <w:r>
        <w:t xml:space="preserve">,</w:t>
      </w:r>
      <w:r>
        <w:t xml:space="preserve"> </w:t>
      </w:r>
      <w:r>
        <w:rPr>
          <w:rStyle w:val="VerbatimChar"/>
        </w:rPr>
        <w:t xml:space="preserve">POST /auth/reset-password</w:t>
      </w:r>
      <w:r>
        <w:t xml:space="preserve">.</w:t>
      </w:r>
    </w:p>
    <w:bookmarkEnd w:id="143"/>
    <w:bookmarkStart w:id="144" w:name="email-verification-page"/>
    <w:p>
      <w:pPr>
        <w:pStyle w:val="Heading3"/>
      </w:pPr>
      <w:r>
        <w:t xml:space="preserve">6.2.5 Email Verification page</w:t>
      </w:r>
    </w:p>
    <w:p>
      <w:pPr>
        <w:pStyle w:val="FirstParagraph"/>
      </w:pPr>
      <w:r>
        <w:rPr>
          <w:bCs/>
          <w:b/>
        </w:rPr>
        <w:t xml:space="preserve">Purpose:</w:t>
      </w:r>
      <w:r>
        <w:t xml:space="preserve"> </w:t>
      </w:r>
      <w:r>
        <w:t xml:space="preserve">confirms account before full access.</w:t>
      </w:r>
      <w:r>
        <w:t xml:space="preserve"> </w:t>
      </w:r>
      <w:r>
        <w:rPr>
          <w:bCs/>
          <w:b/>
        </w:rPr>
        <w:t xml:space="preserve">States:</w:t>
      </w:r>
      <w:r>
        <w:t xml:space="preserve"> </w:t>
      </w:r>
      <w:r>
        <w:rPr>
          <w:iCs/>
          <w:i/>
        </w:rPr>
        <w:t xml:space="preserve">pending</w:t>
      </w:r>
      <w:r>
        <w:t xml:space="preserve"> </w:t>
      </w:r>
      <w:r>
        <w:t xml:space="preserve">(waiting for user to click the emailed link — shown right after signup),</w:t>
      </w:r>
      <w:r>
        <w:t xml:space="preserve"> </w:t>
      </w:r>
      <w:r>
        <w:rPr>
          <w:iCs/>
          <w:i/>
        </w:rPr>
        <w:t xml:space="preserve">verified</w:t>
      </w:r>
      <w:r>
        <w:t xml:space="preserve"> </w:t>
      </w:r>
      <w:r>
        <w:t xml:space="preserve">(success, CTA to continue to dashboard),</w:t>
      </w:r>
      <w:r>
        <w:t xml:space="preserve"> </w:t>
      </w:r>
      <w:r>
        <w:rPr>
          <w:iCs/>
          <w:i/>
        </w:rPr>
        <w:t xml:space="preserve">error</w:t>
      </w:r>
      <w:r>
        <w:t xml:space="preserve"> </w:t>
      </w:r>
      <w:r>
        <w:t xml:space="preserve">(expired/invalid token, resend option).</w:t>
      </w:r>
      <w:r>
        <w:t xml:space="preserve"> </w:t>
      </w:r>
      <w:r>
        <w:rPr>
          <w:bCs/>
          <w:b/>
        </w:rPr>
        <w:t xml:space="preserve">API calls:</w:t>
      </w:r>
      <w:r>
        <w:t xml:space="preserve"> </w:t>
      </w:r>
      <w:r>
        <w:rPr>
          <w:rStyle w:val="VerbatimChar"/>
        </w:rPr>
        <w:t xml:space="preserve">POST /auth/verify-email</w:t>
      </w:r>
      <w:r>
        <w:t xml:space="preserve">.</w:t>
      </w:r>
    </w:p>
    <w:bookmarkEnd w:id="144"/>
    <w:bookmarkEnd w:id="145"/>
    <w:bookmarkStart w:id="154" w:name="researcher-facing-pages"/>
    <w:p>
      <w:pPr>
        <w:pStyle w:val="Heading2"/>
      </w:pPr>
      <w:r>
        <w:t xml:space="preserve">6.3 Researcher-facing pages</w:t>
      </w:r>
    </w:p>
    <w:bookmarkStart w:id="146" w:name="researcher-dashboard"/>
    <w:p>
      <w:pPr>
        <w:pStyle w:val="Heading3"/>
      </w:pPr>
      <w:r>
        <w:t xml:space="preserve">6.3.1 Researcher Dashboard</w:t>
      </w:r>
    </w:p>
    <w:p>
      <w:pPr>
        <w:pStyle w:val="FirstParagraph"/>
      </w:pPr>
      <w:r>
        <w:rPr>
          <w:bCs/>
          <w:b/>
        </w:rPr>
        <w:t xml:space="preserve">Purpose:</w:t>
      </w:r>
      <w:r>
        <w:t xml:space="preserve"> </w:t>
      </w:r>
      <w:r>
        <w:t xml:space="preserve">at-a-glance summary of active submissions.</w:t>
      </w:r>
      <w:r>
        <w:t xml:space="preserve"> </w:t>
      </w:r>
      <w:r>
        <w:rPr>
          <w:bCs/>
          <w:b/>
        </w:rPr>
        <w:t xml:space="preserve">Components:</w:t>
      </w:r>
      <w:r>
        <w:t xml:space="preserve"> </w:t>
      </w:r>
      <w:r>
        <w:t xml:space="preserve">status cards (in review / decision pending / accepted / rejected counts), recent-submissions list (title, conference, status badge),</w:t>
      </w:r>
      <w:r>
        <w:t xml:space="preserve"> </w:t>
      </w:r>
      <w:r>
        <w:t xml:space="preserve">“</w:t>
      </w:r>
      <w:r>
        <w:t xml:space="preserve">Submit New Paper</w:t>
      </w:r>
      <w:r>
        <w:t xml:space="preserve">”</w:t>
      </w:r>
      <w:r>
        <w:t xml:space="preserve"> </w:t>
      </w:r>
      <w:r>
        <w:t xml:space="preserve">CTA.</w:t>
      </w:r>
      <w:r>
        <w:t xml:space="preserve"> </w:t>
      </w:r>
      <w:r>
        <w:rPr>
          <w:bCs/>
          <w:b/>
        </w:rPr>
        <w:t xml:space="preserve">States:</w:t>
      </w:r>
      <w:r>
        <w:t xml:space="preserve"> </w:t>
      </w:r>
      <w:r>
        <w:rPr>
          <w:iCs/>
          <w:i/>
        </w:rPr>
        <w:t xml:space="preserve">loading</w:t>
      </w:r>
      <w:r>
        <w:t xml:space="preserve"> </w:t>
      </w:r>
      <w:r>
        <w:t xml:space="preserve">(skeleton cards),</w:t>
      </w:r>
      <w:r>
        <w:t xml:space="preserve"> </w:t>
      </w:r>
      <w:r>
        <w:rPr>
          <w:iCs/>
          <w:i/>
        </w:rPr>
        <w:t xml:space="preserve">empty</w:t>
      </w:r>
      <w:r>
        <w:t xml:space="preserve"> </w:t>
      </w:r>
      <w:r>
        <w:t xml:space="preserve">(</w:t>
      </w:r>
      <w:r>
        <w:t xml:space="preserve">“</w:t>
      </w:r>
      <w:r>
        <w:t xml:space="preserve">You haven’t submitted a paper yet</w:t>
      </w:r>
      <w:r>
        <w:t xml:space="preserve">”</w:t>
      </w:r>
      <w:r>
        <w:t xml:space="preserve"> </w:t>
      </w:r>
      <w:r>
        <w:t xml:space="preserve">+ CTA),</w:t>
      </w:r>
      <w:r>
        <w:t xml:space="preserve"> </w:t>
      </w:r>
      <w:r>
        <w:rPr>
          <w:iCs/>
          <w:i/>
        </w:rPr>
        <w:t xml:space="preserve">error</w:t>
      </w:r>
      <w:r>
        <w:t xml:space="preserve"> </w:t>
      </w:r>
      <w:r>
        <w:t xml:space="preserve">(retry banner).</w:t>
      </w:r>
      <w:r>
        <w:t xml:space="preserve"> </w:t>
      </w:r>
      <w:r>
        <w:rPr>
          <w:bCs/>
          <w:b/>
        </w:rPr>
        <w:t xml:space="preserve">API calls:</w:t>
      </w:r>
      <w:r>
        <w:t xml:space="preserve"> </w:t>
      </w:r>
      <w:r>
        <w:rPr>
          <w:rStyle w:val="VerbatimChar"/>
        </w:rPr>
        <w:t xml:space="preserve">GET /submissions</w:t>
      </w:r>
      <w:r>
        <w:t xml:space="preserve"> </w:t>
      </w:r>
      <w:r>
        <w:t xml:space="preserve">(mine).</w:t>
      </w:r>
    </w:p>
    <w:bookmarkEnd w:id="146"/>
    <w:bookmarkStart w:id="147" w:name="browse-conferences-page"/>
    <w:p>
      <w:pPr>
        <w:pStyle w:val="Heading3"/>
      </w:pPr>
      <w:r>
        <w:t xml:space="preserve">6.3.2 Browse Conferences page</w:t>
      </w:r>
    </w:p>
    <w:p>
      <w:pPr>
        <w:pStyle w:val="FirstParagraph"/>
      </w:pPr>
      <w:r>
        <w:rPr>
          <w:bCs/>
          <w:b/>
        </w:rPr>
        <w:t xml:space="preserve">Components:</w:t>
      </w:r>
      <w:r>
        <w:t xml:space="preserve"> </w:t>
      </w:r>
      <w:r>
        <w:t xml:space="preserve">filter bar (theme, track, deadline range), conference cards (name, theme, deadline, track list).</w:t>
      </w:r>
      <w:r>
        <w:t xml:space="preserve"> </w:t>
      </w:r>
      <w:r>
        <w:rPr>
          <w:bCs/>
          <w:b/>
        </w:rPr>
        <w:t xml:space="preserve">States:</w:t>
      </w:r>
      <w:r>
        <w:t xml:space="preserve"> </w:t>
      </w:r>
      <w:r>
        <w:t xml:space="preserve">loading (skeleton grid), empty (no conferences match filters), error.</w:t>
      </w:r>
      <w:r>
        <w:t xml:space="preserve"> </w:t>
      </w:r>
      <w:r>
        <w:rPr>
          <w:bCs/>
          <w:b/>
        </w:rPr>
        <w:t xml:space="preserve">API calls:</w:t>
      </w:r>
      <w:r>
        <w:t xml:space="preserve"> </w:t>
      </w:r>
      <w:r>
        <w:rPr>
          <w:rStyle w:val="VerbatimChar"/>
        </w:rPr>
        <w:t xml:space="preserve">GET /conferences</w:t>
      </w:r>
      <w:r>
        <w:t xml:space="preserve">.</w:t>
      </w:r>
    </w:p>
    <w:bookmarkEnd w:id="147"/>
    <w:bookmarkStart w:id="148" w:name="conference-detail-page"/>
    <w:p>
      <w:pPr>
        <w:pStyle w:val="Heading3"/>
      </w:pPr>
      <w:r>
        <w:t xml:space="preserve">6.3.3 Conference Detail page</w:t>
      </w:r>
    </w:p>
    <w:p>
      <w:pPr>
        <w:pStyle w:val="FirstParagraph"/>
      </w:pPr>
      <w:r>
        <w:rPr>
          <w:bCs/>
          <w:b/>
        </w:rPr>
        <w:t xml:space="preserve">Purpose:</w:t>
      </w:r>
      <w:r>
        <w:t xml:space="preserve"> </w:t>
      </w:r>
      <w:r>
        <w:t xml:space="preserve">read-only view of a specific conference’s rules before submitting.</w:t>
      </w:r>
      <w:r>
        <w:t xml:space="preserve"> </w:t>
      </w:r>
      <w:r>
        <w:rPr>
          <w:bCs/>
          <w:b/>
        </w:rPr>
        <w:t xml:space="preserve">Components:</w:t>
      </w:r>
      <w:r>
        <w:t xml:space="preserve"> </w:t>
      </w:r>
      <w:r>
        <w:t xml:space="preserve">conference metadata, track list, submission deadline countdown, qualitative gate-rule summary (§5.2 note on why exact hard-gate thresholds aren’t shown to researchers),</w:t>
      </w:r>
      <w:r>
        <w:t xml:space="preserve"> </w:t>
      </w:r>
      <w:r>
        <w:t xml:space="preserve">“</w:t>
      </w:r>
      <w:r>
        <w:t xml:space="preserve">Submit to this Conference</w:t>
      </w:r>
      <w:r>
        <w:t xml:space="preserve">”</w:t>
      </w:r>
      <w:r>
        <w:t xml:space="preserve"> </w:t>
      </w:r>
      <w:r>
        <w:t xml:space="preserve">CTA.</w:t>
      </w:r>
      <w:r>
        <w:t xml:space="preserve"> </w:t>
      </w:r>
      <w:r>
        <w:rPr>
          <w:bCs/>
          <w:b/>
        </w:rPr>
        <w:t xml:space="preserve">States:</w:t>
      </w:r>
      <w:r>
        <w:t xml:space="preserve"> </w:t>
      </w:r>
      <w:r>
        <w:t xml:space="preserve">loading, error (conference not found / closed for submissions — distinct message from a generic 404).</w:t>
      </w:r>
      <w:r>
        <w:t xml:space="preserve"> </w:t>
      </w:r>
      <w:r>
        <w:rPr>
          <w:bCs/>
          <w:b/>
        </w:rPr>
        <w:t xml:space="preserve">API calls:</w:t>
      </w:r>
      <w:r>
        <w:t xml:space="preserve"> </w:t>
      </w:r>
      <w:r>
        <w:rPr>
          <w:rStyle w:val="VerbatimChar"/>
        </w:rPr>
        <w:t xml:space="preserve">GET /conferences/{id}</w:t>
      </w:r>
      <w:r>
        <w:t xml:space="preserve">.</w:t>
      </w:r>
    </w:p>
    <w:bookmarkEnd w:id="148"/>
    <w:bookmarkStart w:id="149" w:name="submission-upload-page"/>
    <w:p>
      <w:pPr>
        <w:pStyle w:val="Heading3"/>
      </w:pPr>
      <w:r>
        <w:t xml:space="preserve">6.3.4 Submission Upload page</w:t>
      </w:r>
    </w:p>
    <w:p>
      <w:pPr>
        <w:pStyle w:val="FirstParagraph"/>
      </w:pPr>
      <w:r>
        <w:rPr>
          <w:bCs/>
          <w:b/>
        </w:rPr>
        <w:t xml:space="preserve">Components:</w:t>
      </w:r>
      <w:r>
        <w:t xml:space="preserve"> </w:t>
      </w:r>
      <w:r>
        <w:t xml:space="preserve">file upload (drag-and-drop PDF, with file-type/size validation client-side before upload), track selector, title/abstract/authors/keywords metadata form.</w:t>
      </w:r>
      <w:r>
        <w:t xml:space="preserve"> </w:t>
      </w:r>
      <w:r>
        <w:rPr>
          <w:bCs/>
          <w:b/>
        </w:rPr>
        <w:t xml:space="preserve">States:</w:t>
      </w:r>
      <w:r>
        <w:t xml:space="preserve"> </w:t>
      </w:r>
      <w:r>
        <w:rPr>
          <w:iCs/>
          <w:i/>
        </w:rPr>
        <w:t xml:space="preserve">idle</w:t>
      </w:r>
      <w:r>
        <w:t xml:space="preserve">,</w:t>
      </w:r>
      <w:r>
        <w:t xml:space="preserve"> </w:t>
      </w:r>
      <w:r>
        <w:rPr>
          <w:iCs/>
          <w:i/>
        </w:rPr>
        <w:t xml:space="preserve">uploading</w:t>
      </w:r>
      <w:r>
        <w:t xml:space="preserve"> </w:t>
      </w:r>
      <w:r>
        <w:t xml:space="preserve">(progress bar),</w:t>
      </w:r>
      <w:r>
        <w:t xml:space="preserve"> </w:t>
      </w:r>
      <w:r>
        <w:rPr>
          <w:iCs/>
          <w:i/>
        </w:rPr>
        <w:t xml:space="preserve">processing</w:t>
      </w:r>
      <w:r>
        <w:t xml:space="preserve"> </w:t>
      </w:r>
      <w:r>
        <w:t xml:space="preserve">(upload succeeded, AI pipeline running — this state transitions the user to the AI Feedback Report page once checks complete, either via redirect-and-poll or an in-place</w:t>
      </w:r>
      <w:r>
        <w:t xml:space="preserve"> </w:t>
      </w:r>
      <w:r>
        <w:t xml:space="preserve">“</w:t>
      </w:r>
      <w:r>
        <w:t xml:space="preserve">Processing your submission…</w:t>
      </w:r>
      <w:r>
        <w:t xml:space="preserve">”</w:t>
      </w:r>
      <w:r>
        <w:t xml:space="preserve"> </w:t>
      </w:r>
      <w:r>
        <w:t xml:space="preserve">view),</w:t>
      </w:r>
      <w:r>
        <w:t xml:space="preserve"> </w:t>
      </w:r>
      <w:r>
        <w:rPr>
          <w:iCs/>
          <w:i/>
        </w:rPr>
        <w:t xml:space="preserve">error</w:t>
      </w:r>
      <w:r>
        <w:t xml:space="preserve"> </w:t>
      </w:r>
      <w:r>
        <w:t xml:space="preserve">(upload failed, file too large, wrong file type).</w:t>
      </w:r>
      <w:r>
        <w:t xml:space="preserve"> </w:t>
      </w:r>
      <w:r>
        <w:rPr>
          <w:bCs/>
          <w:b/>
        </w:rPr>
        <w:t xml:space="preserve">API calls:</w:t>
      </w:r>
      <w:r>
        <w:t xml:space="preserve"> </w:t>
      </w:r>
      <w:r>
        <w:rPr>
          <w:rStyle w:val="VerbatimChar"/>
        </w:rPr>
        <w:t xml:space="preserve">POST /submissions</w:t>
      </w:r>
      <w:r>
        <w:t xml:space="preserve">.</w:t>
      </w:r>
    </w:p>
    <w:bookmarkEnd w:id="149"/>
    <w:bookmarkStart w:id="150" w:name="ai-feedback-report-page"/>
    <w:p>
      <w:pPr>
        <w:pStyle w:val="Heading3"/>
      </w:pPr>
      <w:r>
        <w:t xml:space="preserve">6.3.5 AI Feedback Report page</w:t>
      </w:r>
    </w:p>
    <w:p>
      <w:pPr>
        <w:pStyle w:val="FirstParagraph"/>
      </w:pPr>
      <w:r>
        <w:rPr>
          <w:bCs/>
          <w:b/>
        </w:rPr>
        <w:t xml:space="preserve">Purpose:</w:t>
      </w:r>
      <w:r>
        <w:t xml:space="preserve"> </w:t>
      </w:r>
      <w:r>
        <w:t xml:space="preserve">the core</w:t>
      </w:r>
      <w:r>
        <w:t xml:space="preserve"> </w:t>
      </w:r>
      <w:r>
        <w:t xml:space="preserve">“</w:t>
      </w:r>
      <w:r>
        <w:t xml:space="preserve">wow</w:t>
      </w:r>
      <w:r>
        <w:t xml:space="preserve">”</w:t>
      </w:r>
      <w:r>
        <w:t xml:space="preserve"> </w:t>
      </w:r>
      <w:r>
        <w:t xml:space="preserve">page for the demo.</w:t>
      </w:r>
      <w:r>
        <w:t xml:space="preserve"> </w:t>
      </w:r>
      <w:r>
        <w:rPr>
          <w:bCs/>
          <w:b/>
        </w:rPr>
        <w:t xml:space="preserve">Components:</w:t>
      </w:r>
      <w:r>
        <w:t xml:space="preserve"> </w:t>
      </w:r>
      <w:r>
        <w:t xml:space="preserve">overall status banner (clean pass / soft flags / hard fail, with plain-language explanation — never a bare score); per-check cards (grammar, citation, plagiarism, AI-text, table/figure, format), each showing pass/fail or flag state, a confidence indicator where applicable (critically, for the</w:t>
      </w:r>
      <w:r>
        <w:t xml:space="preserve"> </w:t>
      </w:r>
      <w:r>
        <w:rPr>
          <w:rStyle w:val="VerbatimChar"/>
        </w:rPr>
        <w:t xml:space="preserve">ai_text</w:t>
      </w:r>
      <w:r>
        <w:t xml:space="preserve"> </w:t>
      </w:r>
      <w:r>
        <w:t xml:space="preserve">and</w:t>
      </w:r>
      <w:r>
        <w:t xml:space="preserve"> </w:t>
      </w:r>
      <w:r>
        <w:rPr>
          <w:rStyle w:val="VerbatimChar"/>
        </w:rPr>
        <w:t xml:space="preserve">plagiarism</w:t>
      </w:r>
      <w:r>
        <w:t xml:space="preserve"> </w:t>
      </w:r>
      <w:r>
        <w:t xml:space="preserve">checks per §1.7’s UI requirement — never a bare</w:t>
      </w:r>
      <w:r>
        <w:t xml:space="preserve"> </w:t>
      </w:r>
      <w:r>
        <w:t xml:space="preserve">“</w:t>
      </w:r>
      <w:r>
        <w:t xml:space="preserve">AI-generated: yes/no</w:t>
      </w:r>
      <w:r>
        <w:t xml:space="preserve">”</w:t>
      </w:r>
      <w:r>
        <w:t xml:space="preserve">), and expandable line-item detail (highlighted spans for plagiarism matches, specific grammar issues with suggested fixes, missing-citation callouts).</w:t>
      </w:r>
      <w:r>
        <w:t xml:space="preserve"> </w:t>
      </w:r>
      <w:r>
        <w:rPr>
          <w:bCs/>
          <w:b/>
        </w:rPr>
        <w:t xml:space="preserve">States:</w:t>
      </w:r>
      <w:r>
        <w:t xml:space="preserve"> </w:t>
      </w:r>
      <w:r>
        <w:rPr>
          <w:iCs/>
          <w:i/>
        </w:rPr>
        <w:t xml:space="preserve">processing</w:t>
      </w:r>
      <w:r>
        <w:t xml:space="preserve"> </w:t>
      </w:r>
      <w:r>
        <w:t xml:space="preserve">(polling</w:t>
      </w:r>
      <w:r>
        <w:t xml:space="preserve"> </w:t>
      </w:r>
      <w:r>
        <w:rPr>
          <w:rStyle w:val="VerbatimChar"/>
        </w:rPr>
        <w:t xml:space="preserve">GET /submissions/{id}/ai-report</w:t>
      </w:r>
      <w:r>
        <w:t xml:space="preserve"> </w:t>
      </w:r>
      <w:r>
        <w:t xml:space="preserve">every few seconds, partial results shown incrementally as individual checks complete rather than blocking on all of them — this is a genuine UX improvement over an all-or-nothing spinner and is cheap to implement given the API already returns partial</w:t>
      </w:r>
      <w:r>
        <w:t xml:space="preserve"> </w:t>
      </w:r>
      <w:r>
        <w:rPr>
          <w:rStyle w:val="VerbatimChar"/>
        </w:rPr>
        <w:t xml:space="preserve">checks</w:t>
      </w:r>
      <w:r>
        <w:t xml:space="preserve"> </w:t>
      </w:r>
      <w:r>
        <w:t xml:space="preserve">arrays, §5.3),</w:t>
      </w:r>
      <w:r>
        <w:t xml:space="preserve"> </w:t>
      </w:r>
      <w:r>
        <w:rPr>
          <w:iCs/>
          <w:i/>
        </w:rPr>
        <w:t xml:space="preserve">complete</w:t>
      </w:r>
      <w:r>
        <w:t xml:space="preserve">,</w:t>
      </w:r>
      <w:r>
        <w:t xml:space="preserve"> </w:t>
      </w:r>
      <w:r>
        <w:rPr>
          <w:iCs/>
          <w:i/>
        </w:rPr>
        <w:t xml:space="preserve">timed_out</w:t>
      </w:r>
      <w:r>
        <w:t xml:space="preserve"> </w:t>
      </w:r>
      <w:r>
        <w:t xml:space="preserve">(specific check(s) unavailable, shown as</w:t>
      </w:r>
      <w:r>
        <w:t xml:space="preserve"> </w:t>
      </w:r>
      <w:r>
        <w:t xml:space="preserve">“</w:t>
      </w:r>
      <w:r>
        <w:t xml:space="preserve">This check is taking longer than expected</w:t>
      </w:r>
      <w:r>
        <w:t xml:space="preserve">”</w:t>
      </w:r>
      <w:r>
        <w:t xml:space="preserve"> </w:t>
      </w:r>
      <w:r>
        <w:t xml:space="preserve">rather than silently missing),</w:t>
      </w:r>
      <w:r>
        <w:t xml:space="preserve"> </w:t>
      </w:r>
      <w:r>
        <w:rPr>
          <w:iCs/>
          <w:i/>
        </w:rPr>
        <w:t xml:space="preserve">hard_fail</w:t>
      </w:r>
      <w:r>
        <w:t xml:space="preserve"> </w:t>
      </w:r>
      <w:r>
        <w:t xml:space="preserve">(distinct visual treatment — this is a rejection, not just a report).</w:t>
      </w:r>
      <w:r>
        <w:t xml:space="preserve"> </w:t>
      </w:r>
      <w:r>
        <w:rPr>
          <w:bCs/>
          <w:b/>
        </w:rPr>
        <w:t xml:space="preserve">API calls:</w:t>
      </w:r>
      <w:r>
        <w:t xml:space="preserve"> </w:t>
      </w:r>
      <w:r>
        <w:rPr>
          <w:rStyle w:val="VerbatimChar"/>
        </w:rPr>
        <w:t xml:space="preserve">GET /submissions/{id}/ai-report</w:t>
      </w:r>
      <w:r>
        <w:t xml:space="preserve">, polled.</w:t>
      </w:r>
    </w:p>
    <w:bookmarkEnd w:id="150"/>
    <w:bookmarkStart w:id="151" w:name="submission-status-tracker-page"/>
    <w:p>
      <w:pPr>
        <w:pStyle w:val="Heading3"/>
      </w:pPr>
      <w:r>
        <w:t xml:space="preserve">6.3.6 Submission Status Tracker page</w:t>
      </w:r>
    </w:p>
    <w:p>
      <w:pPr>
        <w:pStyle w:val="FirstParagraph"/>
      </w:pPr>
      <w:r>
        <w:rPr>
          <w:bCs/>
          <w:b/>
        </w:rPr>
        <w:t xml:space="preserve">Components:</w:t>
      </w:r>
      <w:r>
        <w:t xml:space="preserve"> </w:t>
      </w:r>
      <w:r>
        <w:t xml:space="preserve">a horizontal/vertical stepper (AI review → human review → decision pending → accepted/rejected) with the current stage highlighted.</w:t>
      </w:r>
      <w:r>
        <w:t xml:space="preserve"> </w:t>
      </w:r>
      <w:r>
        <w:rPr>
          <w:bCs/>
          <w:b/>
        </w:rPr>
        <w:t xml:space="preserve">States:</w:t>
      </w:r>
      <w:r>
        <w:t xml:space="preserve"> </w:t>
      </w:r>
      <w:r>
        <w:t xml:space="preserve">loading, and one visual state per</w:t>
      </w:r>
      <w:r>
        <w:t xml:space="preserve"> </w:t>
      </w:r>
      <w:r>
        <w:rPr>
          <w:rStyle w:val="VerbatimChar"/>
        </w:rPr>
        <w:t xml:space="preserve">submissions.status</w:t>
      </w:r>
      <w:r>
        <w:t xml:space="preserve"> </w:t>
      </w:r>
      <w:r>
        <w:t xml:space="preserve">value (§4.3).</w:t>
      </w:r>
      <w:r>
        <w:t xml:space="preserve"> </w:t>
      </w:r>
      <w:r>
        <w:rPr>
          <w:bCs/>
          <w:b/>
        </w:rPr>
        <w:t xml:space="preserve">API calls:</w:t>
      </w:r>
      <w:r>
        <w:t xml:space="preserve"> </w:t>
      </w:r>
      <w:r>
        <w:rPr>
          <w:rStyle w:val="VerbatimChar"/>
        </w:rPr>
        <w:t xml:space="preserve">GET /submissions/{id}</w:t>
      </w:r>
      <w:r>
        <w:t xml:space="preserve">.</w:t>
      </w:r>
    </w:p>
    <w:bookmarkEnd w:id="151"/>
    <w:bookmarkStart w:id="152" w:name="submission-history-page"/>
    <w:p>
      <w:pPr>
        <w:pStyle w:val="Heading3"/>
      </w:pPr>
      <w:r>
        <w:t xml:space="preserve">6.3.7 Submission History page</w:t>
      </w:r>
    </w:p>
    <w:p>
      <w:pPr>
        <w:pStyle w:val="FirstParagraph"/>
      </w:pPr>
      <w:r>
        <w:rPr>
          <w:bCs/>
          <w:b/>
        </w:rPr>
        <w:t xml:space="preserve">Components:</w:t>
      </w:r>
      <w:r>
        <w:t xml:space="preserve"> </w:t>
      </w:r>
      <w:r>
        <w:t xml:space="preserve">table/list of all past submissions across all conferences, each row showing conference, title, status, and — for resubmitted/revised papers — a version chain indicator.</w:t>
      </w:r>
      <w:r>
        <w:t xml:space="preserve"> </w:t>
      </w:r>
      <w:r>
        <w:rPr>
          <w:bCs/>
          <w:b/>
        </w:rPr>
        <w:t xml:space="preserve">States:</w:t>
      </w:r>
      <w:r>
        <w:t xml:space="preserve"> </w:t>
      </w:r>
      <w:r>
        <w:t xml:space="preserve">loading, empty, error.</w:t>
      </w:r>
      <w:r>
        <w:t xml:space="preserve"> </w:t>
      </w:r>
      <w:r>
        <w:rPr>
          <w:bCs/>
          <w:b/>
        </w:rPr>
        <w:t xml:space="preserve">API calls:</w:t>
      </w:r>
      <w:r>
        <w:t xml:space="preserve"> </w:t>
      </w:r>
      <w:r>
        <w:rPr>
          <w:rStyle w:val="VerbatimChar"/>
        </w:rPr>
        <w:t xml:space="preserve">GET /submissions</w:t>
      </w:r>
      <w:r>
        <w:t xml:space="preserve"> </w:t>
      </w:r>
      <w:r>
        <w:t xml:space="preserve">(mine),</w:t>
      </w:r>
      <w:r>
        <w:t xml:space="preserve"> </w:t>
      </w:r>
      <w:r>
        <w:rPr>
          <w:rStyle w:val="VerbatimChar"/>
        </w:rPr>
        <w:t xml:space="preserve">GET /submissions/{id}/history</w:t>
      </w:r>
      <w:r>
        <w:t xml:space="preserve"> </w:t>
      </w:r>
      <w:r>
        <w:t xml:space="preserve">on expand.</w:t>
      </w:r>
    </w:p>
    <w:bookmarkEnd w:id="152"/>
    <w:bookmarkStart w:id="153" w:name="profile-settings-page"/>
    <w:p>
      <w:pPr>
        <w:pStyle w:val="Heading3"/>
      </w:pPr>
      <w:r>
        <w:t xml:space="preserve">6.3.8 Profile / Settings page</w:t>
      </w:r>
    </w:p>
    <w:p>
      <w:pPr>
        <w:pStyle w:val="FirstParagraph"/>
      </w:pPr>
      <w:r>
        <w:rPr>
          <w:bCs/>
          <w:b/>
        </w:rPr>
        <w:t xml:space="preserve">Components:</w:t>
      </w:r>
      <w:r>
        <w:t xml:space="preserve"> </w:t>
      </w:r>
      <w:r>
        <w:t xml:space="preserve">editable account details (name, affiliation, ORCID), notification preferences toggle.</w:t>
      </w:r>
      <w:r>
        <w:t xml:space="preserve"> </w:t>
      </w:r>
      <w:r>
        <w:rPr>
          <w:bCs/>
          <w:b/>
        </w:rPr>
        <w:t xml:space="preserve">States:</w:t>
      </w:r>
      <w:r>
        <w:t xml:space="preserve"> </w:t>
      </w:r>
      <w:r>
        <w:t xml:space="preserve">loading, saving, save-success toast, error.</w:t>
      </w:r>
      <w:r>
        <w:t xml:space="preserve"> </w:t>
      </w:r>
      <w:r>
        <w:rPr>
          <w:bCs/>
          <w:b/>
        </w:rPr>
        <w:t xml:space="preserve">API calls:</w:t>
      </w:r>
      <w:r>
        <w:t xml:space="preserve"> </w:t>
      </w:r>
      <w:r>
        <w:t xml:space="preserve">a</w:t>
      </w:r>
      <w:r>
        <w:t xml:space="preserve"> </w:t>
      </w:r>
      <w:r>
        <w:rPr>
          <w:rStyle w:val="VerbatimChar"/>
        </w:rPr>
        <w:t xml:space="preserve">GET/PATCH /users/me</w:t>
      </w:r>
      <w:r>
        <w:t xml:space="preserve">-style pair —</w:t>
      </w:r>
      <w:r>
        <w:t xml:space="preserve"> </w:t>
      </w:r>
      <w:r>
        <w:rPr>
          <w:bCs/>
          <w:b/>
        </w:rPr>
        <w:t xml:space="preserve">[ASSUMPTION]</w:t>
      </w:r>
      <w:r>
        <w:t xml:space="preserve"> </w:t>
      </w:r>
      <w:r>
        <w:t xml:space="preserve">not enumerated in §5’s endpoint list since it’s a standard profile CRUD pattern with no product-specific logic; add as a straightforward extension of the Auth Service.</w:t>
      </w:r>
    </w:p>
    <w:bookmarkEnd w:id="153"/>
    <w:bookmarkEnd w:id="154"/>
    <w:bookmarkStart w:id="162" w:name="organizer-facing-pages"/>
    <w:p>
      <w:pPr>
        <w:pStyle w:val="Heading2"/>
      </w:pPr>
      <w:r>
        <w:t xml:space="preserve">6.4 Organizer-facing pages</w:t>
      </w:r>
    </w:p>
    <w:bookmarkStart w:id="155" w:name="organizer-onboarding-wizard"/>
    <w:p>
      <w:pPr>
        <w:pStyle w:val="Heading3"/>
      </w:pPr>
      <w:r>
        <w:t xml:space="preserve">6.4.1 Organizer Onboarding Wizard</w:t>
      </w:r>
    </w:p>
    <w:p>
      <w:pPr>
        <w:pStyle w:val="FirstParagraph"/>
      </w:pPr>
      <w:r>
        <w:rPr>
          <w:bCs/>
          <w:b/>
        </w:rPr>
        <w:t xml:space="preserve">Purpose:</w:t>
      </w:r>
      <w:r>
        <w:t xml:space="preserve"> </w:t>
      </w:r>
      <w:r>
        <w:t xml:space="preserve">multi-step conference creation.</w:t>
      </w:r>
      <w:r>
        <w:t xml:space="preserve"> </w:t>
      </w:r>
      <w:r>
        <w:rPr>
          <w:bCs/>
          <w:b/>
        </w:rPr>
        <w:t xml:space="preserve">Steps:</w:t>
      </w:r>
      <w:r>
        <w:t xml:space="preserve"> </w:t>
      </w:r>
      <w:r>
        <w:t xml:space="preserve">(1) create conference (name/theme/dates/tracks), (2) set gate rules, (3) invite reviewers.</w:t>
      </w:r>
      <w:r>
        <w:t xml:space="preserve"> </w:t>
      </w:r>
      <w:r>
        <w:rPr>
          <w:bCs/>
          <w:b/>
        </w:rPr>
        <w:t xml:space="preserve">States:</w:t>
      </w:r>
      <w:r>
        <w:t xml:space="preserve"> </w:t>
      </w:r>
      <w:r>
        <w:t xml:space="preserve">per-step validation errors, a</w:t>
      </w:r>
      <w:r>
        <w:t xml:space="preserve"> </w:t>
      </w:r>
      <w:r>
        <w:t xml:space="preserve">“</w:t>
      </w:r>
      <w:r>
        <w:t xml:space="preserve">save and continue later</w:t>
      </w:r>
      <w:r>
        <w:t xml:space="preserve">”</w:t>
      </w:r>
      <w:r>
        <w:t xml:space="preserve"> </w:t>
      </w:r>
      <w:r>
        <w:t xml:space="preserve">affordance (</w:t>
      </w:r>
      <w:r>
        <w:rPr>
          <w:bCs/>
          <w:b/>
        </w:rPr>
        <w:t xml:space="preserve">[ASSUMPTION]</w:t>
      </w:r>
      <w:r>
        <w:t xml:space="preserve"> </w:t>
      </w:r>
      <w:r>
        <w:t xml:space="preserve">— not specified in the original spec but a reasonable expectation for a multi-step wizard; implement as a simple draft-save via</w:t>
      </w:r>
      <w:r>
        <w:t xml:space="preserve"> </w:t>
      </w:r>
      <w:r>
        <w:rPr>
          <w:rStyle w:val="VerbatimChar"/>
        </w:rPr>
        <w:t xml:space="preserve">PATCH /conferences/{id}</w:t>
      </w:r>
      <w:r>
        <w:t xml:space="preserve"> </w:t>
      </w:r>
      <w:r>
        <w:t xml:space="preserve">after step 1 creates the row).</w:t>
      </w:r>
      <w:r>
        <w:t xml:space="preserve"> </w:t>
      </w:r>
      <w:r>
        <w:rPr>
          <w:bCs/>
          <w:b/>
        </w:rPr>
        <w:t xml:space="preserve">API calls:</w:t>
      </w:r>
      <w:r>
        <w:t xml:space="preserve"> </w:t>
      </w:r>
      <w:r>
        <w:rPr>
          <w:rStyle w:val="VerbatimChar"/>
        </w:rPr>
        <w:t xml:space="preserve">POST /conferences</w:t>
      </w:r>
      <w:r>
        <w:t xml:space="preserve">,</w:t>
      </w:r>
      <w:r>
        <w:t xml:space="preserve"> </w:t>
      </w:r>
      <w:r>
        <w:rPr>
          <w:rStyle w:val="VerbatimChar"/>
        </w:rPr>
        <w:t xml:space="preserve">PUT /conferences/{id}/gate-rules</w:t>
      </w:r>
      <w:r>
        <w:t xml:space="preserve">,</w:t>
      </w:r>
      <w:r>
        <w:t xml:space="preserve"> </w:t>
      </w:r>
      <w:r>
        <w:rPr>
          <w:rStyle w:val="VerbatimChar"/>
        </w:rPr>
        <w:t xml:space="preserve">POST /conferences/{id}/reviewers</w:t>
      </w:r>
      <w:r>
        <w:t xml:space="preserve">.</w:t>
      </w:r>
    </w:p>
    <w:bookmarkEnd w:id="155"/>
    <w:bookmarkStart w:id="156" w:name="gate-rule-configuration-page"/>
    <w:p>
      <w:pPr>
        <w:pStyle w:val="Heading3"/>
      </w:pPr>
      <w:r>
        <w:t xml:space="preserve">6.4.2 Gate Rule Configuration page</w:t>
      </w:r>
    </w:p>
    <w:p>
      <w:pPr>
        <w:pStyle w:val="FirstParagraph"/>
      </w:pPr>
      <w:r>
        <w:rPr>
          <w:bCs/>
          <w:b/>
        </w:rPr>
        <w:t xml:space="preserve">Purpose:</w:t>
      </w:r>
      <w:r>
        <w:t xml:space="preserve"> </w:t>
      </w:r>
      <w:r>
        <w:t xml:space="preserve">the key differentiating screen for the demo.</w:t>
      </w:r>
      <w:r>
        <w:t xml:space="preserve"> </w:t>
      </w:r>
      <w:r>
        <w:rPr>
          <w:bCs/>
          <w:b/>
        </w:rPr>
        <w:t xml:space="preserve">Components:</w:t>
      </w:r>
      <w:r>
        <w:t xml:space="preserve"> </w:t>
      </w:r>
      <w:r>
        <w:t xml:space="preserve">one row per rule type (§4.3</w:t>
      </w:r>
      <w:r>
        <w:t xml:space="preserve"> </w:t>
      </w:r>
      <w:r>
        <w:rPr>
          <w:rStyle w:val="VerbatimChar"/>
        </w:rPr>
        <w:t xml:space="preserve">gate_rules.rule_type</w:t>
      </w:r>
      <w:r>
        <w:t xml:space="preserve"> </w:t>
      </w:r>
      <w:r>
        <w:t xml:space="preserve">values) with a soft-threshold input, hard-threshold input, and a hard/soft toggle —</w:t>
      </w:r>
      <w:r>
        <w:t xml:space="preserve"> </w:t>
      </w:r>
      <w:r>
        <w:rPr>
          <w:bCs/>
          <w:b/>
        </w:rPr>
        <w:t xml:space="preserve">the toggle must be disabled (not just validated server-side) for</w:t>
      </w:r>
      <w:r>
        <w:rPr>
          <w:bCs/>
          <w:b/>
        </w:rPr>
        <w:t xml:space="preserve"> </w:t>
      </w:r>
      <w:r>
        <w:rPr>
          <w:rStyle w:val="VerbatimChar"/>
          <w:bCs/>
          <w:b/>
        </w:rPr>
        <w:t xml:space="preserve">ai_content_pct</w:t>
      </w:r>
      <w:r>
        <w:rPr>
          <w:bCs/>
          <w:b/>
        </w:rPr>
        <w:t xml:space="preserve"> </w:t>
      </w:r>
      <w:r>
        <w:rPr>
          <w:bCs/>
          <w:b/>
        </w:rPr>
        <w:t xml:space="preserve">and</w:t>
      </w:r>
      <w:r>
        <w:rPr>
          <w:bCs/>
          <w:b/>
        </w:rPr>
        <w:t xml:space="preserve"> </w:t>
      </w:r>
      <w:r>
        <w:rPr>
          <w:rStyle w:val="VerbatimChar"/>
          <w:bCs/>
          <w:b/>
        </w:rPr>
        <w:t xml:space="preserve">plagiarism_pct</w:t>
      </w:r>
      <w:r>
        <w:rPr>
          <w:bCs/>
          <w:b/>
        </w:rPr>
        <w:t xml:space="preserve">, with an inline explanation of why</w:t>
      </w:r>
      <w:r>
        <w:t xml:space="preserve">, so the UI itself teaches the constraint rather than only rejecting it after the fact.</w:t>
      </w:r>
      <w:r>
        <w:t xml:space="preserve"> </w:t>
      </w:r>
      <w:r>
        <w:rPr>
          <w:bCs/>
          <w:b/>
        </w:rPr>
        <w:t xml:space="preserve">States:</w:t>
      </w:r>
      <w:r>
        <w:t xml:space="preserve"> </w:t>
      </w:r>
      <w:r>
        <w:t xml:space="preserve">loading (existing rules), unsaved-changes indicator, save-success, validation error (surfacing the</w:t>
      </w:r>
      <w:r>
        <w:t xml:space="preserve"> </w:t>
      </w:r>
      <w:r>
        <w:rPr>
          <w:rStyle w:val="VerbatimChar"/>
        </w:rPr>
        <w:t xml:space="preserve">422</w:t>
      </w:r>
      <w:r>
        <w:t xml:space="preserve"> </w:t>
      </w:r>
      <w:r>
        <w:t xml:space="preserve">from §5.2 inline next to the relevant row).</w:t>
      </w:r>
      <w:r>
        <w:t xml:space="preserve"> </w:t>
      </w:r>
      <w:r>
        <w:rPr>
          <w:bCs/>
          <w:b/>
        </w:rPr>
        <w:t xml:space="preserve">API calls:</w:t>
      </w:r>
      <w:r>
        <w:t xml:space="preserve"> </w:t>
      </w:r>
      <w:r>
        <w:rPr>
          <w:rStyle w:val="VerbatimChar"/>
        </w:rPr>
        <w:t xml:space="preserve">GET/PUT /conferences/{id}/gate-rules</w:t>
      </w:r>
      <w:r>
        <w:t xml:space="preserve">.</w:t>
      </w:r>
    </w:p>
    <w:bookmarkEnd w:id="156"/>
    <w:bookmarkStart w:id="157" w:name="reviewer-management-page"/>
    <w:p>
      <w:pPr>
        <w:pStyle w:val="Heading3"/>
      </w:pPr>
      <w:r>
        <w:t xml:space="preserve">6.4.3 Reviewer Management page</w:t>
      </w:r>
    </w:p>
    <w:p>
      <w:pPr>
        <w:pStyle w:val="FirstParagraph"/>
      </w:pPr>
      <w:r>
        <w:rPr>
          <w:bCs/>
          <w:b/>
        </w:rPr>
        <w:t xml:space="preserve">Components:</w:t>
      </w:r>
      <w:r>
        <w:t xml:space="preserve"> </w:t>
      </w:r>
      <w:r>
        <w:t xml:space="preserve">reviewer pool table (name, email, topic tags, invited status), invite form.</w:t>
      </w:r>
      <w:r>
        <w:t xml:space="preserve"> </w:t>
      </w:r>
      <w:r>
        <w:rPr>
          <w:bCs/>
          <w:b/>
        </w:rPr>
        <w:t xml:space="preserve">States:</w:t>
      </w:r>
      <w:r>
        <w:t xml:space="preserve"> </w:t>
      </w:r>
      <w:r>
        <w:t xml:space="preserve">loading, empty, error.</w:t>
      </w:r>
      <w:r>
        <w:t xml:space="preserve"> </w:t>
      </w:r>
      <w:r>
        <w:rPr>
          <w:bCs/>
          <w:b/>
        </w:rPr>
        <w:t xml:space="preserve">API calls:</w:t>
      </w:r>
      <w:r>
        <w:t xml:space="preserve"> </w:t>
      </w:r>
      <w:r>
        <w:rPr>
          <w:rStyle w:val="VerbatimChar"/>
        </w:rPr>
        <w:t xml:space="preserve">GET/POST /conferences/{id}/reviewers</w:t>
      </w:r>
      <w:r>
        <w:t xml:space="preserve">.</w:t>
      </w:r>
    </w:p>
    <w:bookmarkEnd w:id="157"/>
    <w:bookmarkStart w:id="158" w:name="submission-queue-dashboard"/>
    <w:p>
      <w:pPr>
        <w:pStyle w:val="Heading3"/>
      </w:pPr>
      <w:r>
        <w:t xml:space="preserve">6.4.4 Submission Queue Dashboard</w:t>
      </w:r>
    </w:p>
    <w:p>
      <w:pPr>
        <w:pStyle w:val="FirstParagraph"/>
      </w:pPr>
      <w:r>
        <w:rPr>
          <w:bCs/>
          <w:b/>
        </w:rPr>
        <w:t xml:space="preserve">Components:</w:t>
      </w:r>
      <w:r>
        <w:t xml:space="preserve"> </w:t>
      </w:r>
      <w:r>
        <w:t xml:space="preserve">live-updating table of incoming submissions with AI pass/fail/flag status badges and assignment status; filter by status/track.</w:t>
      </w:r>
      <w:r>
        <w:t xml:space="preserve"> </w:t>
      </w:r>
      <w:r>
        <w:rPr>
          <w:bCs/>
          <w:b/>
        </w:rPr>
        <w:t xml:space="preserve">States:</w:t>
      </w:r>
      <w:r>
        <w:t xml:space="preserve"> </w:t>
      </w:r>
      <w:r>
        <w:t xml:space="preserve">loading, empty, error; a</w:t>
      </w:r>
      <w:r>
        <w:t xml:space="preserve"> </w:t>
      </w:r>
      <w:r>
        <w:t xml:space="preserve">“</w:t>
      </w:r>
      <w:r>
        <w:t xml:space="preserve">new submission arrived</w:t>
      </w:r>
      <w:r>
        <w:t xml:space="preserve">”</w:t>
      </w:r>
      <w:r>
        <w:t xml:space="preserve"> </w:t>
      </w:r>
      <w:r>
        <w:t xml:space="preserve">toast/badge if using polling or Supabase Realtime (</w:t>
      </w:r>
      <w:r>
        <w:rPr>
          <w:bCs/>
          <w:b/>
        </w:rPr>
        <w:t xml:space="preserve">[ASSUMPTION]</w:t>
      </w:r>
      <w:r>
        <w:t xml:space="preserve"> </w:t>
      </w:r>
      <w:r>
        <w:t xml:space="preserve">polling every 30–60s is the simpler prototype default; real-time push is a nice-to-have, not required for the demo).</w:t>
      </w:r>
      <w:r>
        <w:t xml:space="preserve"> </w:t>
      </w:r>
      <w:r>
        <w:rPr>
          <w:bCs/>
          <w:b/>
        </w:rPr>
        <w:t xml:space="preserve">API calls:</w:t>
      </w:r>
      <w:r>
        <w:t xml:space="preserve"> </w:t>
      </w:r>
      <w:r>
        <w:rPr>
          <w:rStyle w:val="VerbatimChar"/>
        </w:rPr>
        <w:t xml:space="preserve">GET /submissions</w:t>
      </w:r>
      <w:r>
        <w:t xml:space="preserve"> </w:t>
      </w:r>
      <w:r>
        <w:t xml:space="preserve">filtered by</w:t>
      </w:r>
      <w:r>
        <w:t xml:space="preserve"> </w:t>
      </w:r>
      <w:r>
        <w:rPr>
          <w:rStyle w:val="VerbatimChar"/>
        </w:rPr>
        <w:t xml:space="preserve">conference_id</w:t>
      </w:r>
      <w:r>
        <w:t xml:space="preserve"> </w:t>
      </w:r>
      <w:r>
        <w:t xml:space="preserve">—</w:t>
      </w:r>
      <w:r>
        <w:t xml:space="preserve"> </w:t>
      </w:r>
      <w:r>
        <w:rPr>
          <w:bCs/>
          <w:b/>
        </w:rPr>
        <w:t xml:space="preserve">[ASSUMPTION]</w:t>
      </w:r>
      <w:r>
        <w:t xml:space="preserve"> </w:t>
      </w:r>
      <w:r>
        <w:t xml:space="preserve">this requires either extending</w:t>
      </w:r>
      <w:r>
        <w:t xml:space="preserve"> </w:t>
      </w:r>
      <w:r>
        <w:rPr>
          <w:rStyle w:val="VerbatimChar"/>
        </w:rPr>
        <w:t xml:space="preserve">GET /submissions</w:t>
      </w:r>
      <w:r>
        <w:t xml:space="preserve"> </w:t>
      </w:r>
      <w:r>
        <w:t xml:space="preserve">with a</w:t>
      </w:r>
      <w:r>
        <w:t xml:space="preserve"> </w:t>
      </w:r>
      <w:r>
        <w:rPr>
          <w:rStyle w:val="VerbatimChar"/>
        </w:rPr>
        <w:t xml:space="preserve">conference_id</w:t>
      </w:r>
      <w:r>
        <w:t xml:space="preserve"> </w:t>
      </w:r>
      <w:r>
        <w:t xml:space="preserve">filter for organizer callers or adding a dedicated</w:t>
      </w:r>
      <w:r>
        <w:t xml:space="preserve"> </w:t>
      </w:r>
      <w:r>
        <w:rPr>
          <w:rStyle w:val="VerbatimChar"/>
        </w:rPr>
        <w:t xml:space="preserve">GET /conferences/{id}/submissions</w:t>
      </w:r>
      <w:r>
        <w:t xml:space="preserve">; the latter is cleaner given the very different authorization logic between</w:t>
      </w:r>
      <w:r>
        <w:t xml:space="preserve"> </w:t>
      </w:r>
      <w:r>
        <w:t xml:space="preserve">“</w:t>
      </w:r>
      <w:r>
        <w:t xml:space="preserve">my submissions</w:t>
      </w:r>
      <w:r>
        <w:t xml:space="preserve">”</w:t>
      </w:r>
      <w:r>
        <w:t xml:space="preserve"> </w:t>
      </w:r>
      <w:r>
        <w:t xml:space="preserve">(researcher) and</w:t>
      </w:r>
      <w:r>
        <w:t xml:space="preserve"> </w:t>
      </w:r>
      <w:r>
        <w:t xml:space="preserve">“</w:t>
      </w:r>
      <w:r>
        <w:t xml:space="preserve">this conference’s submissions</w:t>
      </w:r>
      <w:r>
        <w:t xml:space="preserve">”</w:t>
      </w:r>
      <w:r>
        <w:t xml:space="preserve"> </w:t>
      </w:r>
      <w:r>
        <w:t xml:space="preserve">(organizer), and is the recommended addition to §5.3 during implementation.</w:t>
      </w:r>
    </w:p>
    <w:bookmarkEnd w:id="158"/>
    <w:bookmarkStart w:id="159" w:name="analytics-dashboard"/>
    <w:p>
      <w:pPr>
        <w:pStyle w:val="Heading3"/>
      </w:pPr>
      <w:r>
        <w:t xml:space="preserve">6.4.5 Analytics Dashboard</w:t>
      </w:r>
    </w:p>
    <w:p>
      <w:pPr>
        <w:pStyle w:val="FirstParagraph"/>
      </w:pPr>
      <w:r>
        <w:rPr>
          <w:bCs/>
          <w:b/>
        </w:rPr>
        <w:t xml:space="preserve">Components:</w:t>
      </w:r>
      <w:r>
        <w:t xml:space="preserve"> </w:t>
      </w:r>
      <w:r>
        <w:t xml:space="preserve">summary stat cards + simple charts (submission volume over time, AI pass/fail rate, reviewer turnaround).</w:t>
      </w:r>
      <w:r>
        <w:t xml:space="preserve"> </w:t>
      </w:r>
      <w:r>
        <w:rPr>
          <w:bCs/>
          <w:b/>
        </w:rPr>
        <w:t xml:space="preserve">States:</w:t>
      </w:r>
      <w:r>
        <w:t xml:space="preserve"> </w:t>
      </w:r>
      <w:r>
        <w:t xml:space="preserve">loading, empty (no data yet — new conference), error.</w:t>
      </w:r>
      <w:r>
        <w:t xml:space="preserve"> </w:t>
      </w:r>
      <w:r>
        <w:rPr>
          <w:bCs/>
          <w:b/>
        </w:rPr>
        <w:t xml:space="preserve">API calls:</w:t>
      </w:r>
      <w:r>
        <w:t xml:space="preserve"> </w:t>
      </w:r>
      <w:r>
        <w:rPr>
          <w:rStyle w:val="VerbatimChar"/>
        </w:rPr>
        <w:t xml:space="preserve">GET /analytics/conference/{id}</w:t>
      </w:r>
      <w:r>
        <w:t xml:space="preserve">.</w:t>
      </w:r>
    </w:p>
    <w:bookmarkEnd w:id="159"/>
    <w:bookmarkStart w:id="160" w:name="decision-management-page"/>
    <w:p>
      <w:pPr>
        <w:pStyle w:val="Heading3"/>
      </w:pPr>
      <w:r>
        <w:t xml:space="preserve">6.4.6 Decision Management page</w:t>
      </w:r>
    </w:p>
    <w:p>
      <w:pPr>
        <w:pStyle w:val="FirstParagraph"/>
      </w:pPr>
      <w:r>
        <w:rPr>
          <w:bCs/>
          <w:b/>
        </w:rPr>
        <w:t xml:space="preserve">Components:</w:t>
      </w:r>
      <w:r>
        <w:t xml:space="preserve"> </w:t>
      </w:r>
      <w:r>
        <w:t xml:space="preserve">per-submission decision form (accept/reject/revise + notes), showing the AI report and any submitted reviews side by side for context.</w:t>
      </w:r>
      <w:r>
        <w:t xml:space="preserve"> </w:t>
      </w:r>
      <w:r>
        <w:rPr>
          <w:bCs/>
          <w:b/>
        </w:rPr>
        <w:t xml:space="preserve">States:</w:t>
      </w:r>
      <w:r>
        <w:t xml:space="preserve"> </w:t>
      </w:r>
      <w:r>
        <w:t xml:space="preserve">loading, submitting, success (triggers researcher notification per §5.5), error.</w:t>
      </w:r>
      <w:r>
        <w:t xml:space="preserve"> </w:t>
      </w:r>
      <w:r>
        <w:rPr>
          <w:bCs/>
          <w:b/>
        </w:rPr>
        <w:t xml:space="preserve">API calls:</w:t>
      </w:r>
      <w:r>
        <w:t xml:space="preserve"> </w:t>
      </w:r>
      <w:r>
        <w:rPr>
          <w:rStyle w:val="VerbatimChar"/>
        </w:rPr>
        <w:t xml:space="preserve">GET /submissions/{id}</w:t>
      </w:r>
      <w:r>
        <w:t xml:space="preserve">,</w:t>
      </w:r>
      <w:r>
        <w:t xml:space="preserve"> </w:t>
      </w:r>
      <w:r>
        <w:rPr>
          <w:rStyle w:val="VerbatimChar"/>
        </w:rPr>
        <w:t xml:space="preserve">GET /submissions/{id}/ai-report</w:t>
      </w:r>
      <w:r>
        <w:t xml:space="preserve">,</w:t>
      </w:r>
      <w:r>
        <w:t xml:space="preserve"> </w:t>
      </w:r>
      <w:r>
        <w:rPr>
          <w:rStyle w:val="VerbatimChar"/>
        </w:rPr>
        <w:t xml:space="preserve">POST /submissions/{id}/decision</w:t>
      </w:r>
      <w:r>
        <w:t xml:space="preserve">.</w:t>
      </w:r>
    </w:p>
    <w:bookmarkEnd w:id="160"/>
    <w:bookmarkStart w:id="161" w:name="cross-conference-history-view"/>
    <w:p>
      <w:pPr>
        <w:pStyle w:val="Heading3"/>
      </w:pPr>
      <w:r>
        <w:t xml:space="preserve">6.4.7 Cross-Conference History view</w:t>
      </w:r>
    </w:p>
    <w:p>
      <w:pPr>
        <w:pStyle w:val="FirstParagraph"/>
      </w:pPr>
      <w:r>
        <w:rPr>
          <w:bCs/>
          <w:b/>
        </w:rPr>
        <w:t xml:space="preserve">Components:</w:t>
      </w:r>
      <w:r>
        <w:t xml:space="preserve"> </w:t>
      </w:r>
      <w:r>
        <w:t xml:space="preserve">for a given submission, a card showing the auto-generated resubmission summary if</w:t>
      </w:r>
      <w:r>
        <w:t xml:space="preserve"> </w:t>
      </w:r>
      <w:r>
        <w:rPr>
          <w:rStyle w:val="VerbatimChar"/>
        </w:rPr>
        <w:t xml:space="preserve">has_related_submission</w:t>
      </w:r>
      <w:r>
        <w:t xml:space="preserve"> </w:t>
      </w:r>
      <w:r>
        <w:t xml:space="preserve">is true, with the</w:t>
      </w:r>
      <w:r>
        <w:t xml:space="preserve"> </w:t>
      </w:r>
      <w:r>
        <w:rPr>
          <w:rStyle w:val="VerbatimChar"/>
        </w:rPr>
        <w:t xml:space="preserve">match_confidence</w:t>
      </w:r>
      <w:r>
        <w:t xml:space="preserve"> </w:t>
      </w:r>
      <w:r>
        <w:t xml:space="preserve">badge (</w:t>
      </w:r>
      <w:r>
        <w:rPr>
          <w:rStyle w:val="VerbatimChar"/>
        </w:rPr>
        <w:t xml:space="preserve">possible</w:t>
      </w:r>
      <w:r>
        <w:t xml:space="preserve">/</w:t>
      </w:r>
      <w:r>
        <w:rPr>
          <w:rStyle w:val="VerbatimChar"/>
        </w:rPr>
        <w:t xml:space="preserve">likely</w:t>
      </w:r>
      <w:r>
        <w:t xml:space="preserve">) shown prominently per §1.5/§4.3’s fuzzy-match caveat — this must not be presented as a certain identity match.</w:t>
      </w:r>
      <w:r>
        <w:t xml:space="preserve"> </w:t>
      </w:r>
      <w:r>
        <w:rPr>
          <w:bCs/>
          <w:b/>
        </w:rPr>
        <w:t xml:space="preserve">States:</w:t>
      </w:r>
      <w:r>
        <w:t xml:space="preserve"> </w:t>
      </w:r>
      <w:r>
        <w:t xml:space="preserve">loading,</w:t>
      </w:r>
      <w:r>
        <w:t xml:space="preserve"> </w:t>
      </w:r>
      <w:r>
        <w:t xml:space="preserve">“</w:t>
      </w:r>
      <w:r>
        <w:t xml:space="preserve">no related submission found</w:t>
      </w:r>
      <w:r>
        <w:t xml:space="preserve">”</w:t>
      </w:r>
      <w:r>
        <w:t xml:space="preserve"> </w:t>
      </w:r>
      <w:r>
        <w:t xml:space="preserve">(the common case), error.</w:t>
      </w:r>
      <w:r>
        <w:t xml:space="preserve"> </w:t>
      </w:r>
      <w:r>
        <w:rPr>
          <w:bCs/>
          <w:b/>
        </w:rPr>
        <w:t xml:space="preserve">API calls:</w:t>
      </w:r>
      <w:r>
        <w:t xml:space="preserve"> </w:t>
      </w:r>
      <w:r>
        <w:rPr>
          <w:rStyle w:val="VerbatimChar"/>
        </w:rPr>
        <w:t xml:space="preserve">GET /submissions/{id}/cross-conference-summary</w:t>
      </w:r>
      <w:r>
        <w:t xml:space="preserve">.</w:t>
      </w:r>
    </w:p>
    <w:bookmarkEnd w:id="161"/>
    <w:bookmarkEnd w:id="162"/>
    <w:bookmarkStart w:id="166" w:name="reviewer-facing-pages"/>
    <w:p>
      <w:pPr>
        <w:pStyle w:val="Heading2"/>
      </w:pPr>
      <w:r>
        <w:t xml:space="preserve">6.5 Reviewer-facing pages</w:t>
      </w:r>
    </w:p>
    <w:bookmarkStart w:id="163" w:name="assigned-papers-list"/>
    <w:p>
      <w:pPr>
        <w:pStyle w:val="Heading3"/>
      </w:pPr>
      <w:r>
        <w:t xml:space="preserve">6.5.1 Assigned Papers list</w:t>
      </w:r>
    </w:p>
    <w:p>
      <w:pPr>
        <w:pStyle w:val="FirstParagraph"/>
      </w:pPr>
      <w:r>
        <w:rPr>
          <w:bCs/>
          <w:b/>
        </w:rPr>
        <w:t xml:space="preserve">Components:</w:t>
      </w:r>
      <w:r>
        <w:t xml:space="preserve"> </w:t>
      </w:r>
      <w:r>
        <w:t xml:space="preserve">table of assigned submissions with an AI-flag summary badge per row (e.g.,</w:t>
      </w:r>
      <w:r>
        <w:t xml:space="preserve"> </w:t>
      </w:r>
      <w:r>
        <w:t xml:space="preserve">“</w:t>
      </w:r>
      <w:r>
        <w:t xml:space="preserve">2 soft flags</w:t>
      </w:r>
      <w:r>
        <w:t xml:space="preserve">”</w:t>
      </w:r>
      <w:r>
        <w:t xml:space="preserve">).</w:t>
      </w:r>
      <w:r>
        <w:t xml:space="preserve"> </w:t>
      </w:r>
      <w:r>
        <w:rPr>
          <w:bCs/>
          <w:b/>
        </w:rPr>
        <w:t xml:space="preserve">States:</w:t>
      </w:r>
      <w:r>
        <w:t xml:space="preserve"> </w:t>
      </w:r>
      <w:r>
        <w:t xml:space="preserve">loading, empty (</w:t>
      </w:r>
      <w:r>
        <w:t xml:space="preserve">“</w:t>
      </w:r>
      <w:r>
        <w:t xml:space="preserve">No papers assigned yet</w:t>
      </w:r>
      <w:r>
        <w:t xml:space="preserve">”</w:t>
      </w:r>
      <w:r>
        <w:t xml:space="preserve">), error.</w:t>
      </w:r>
      <w:r>
        <w:t xml:space="preserve"> </w:t>
      </w:r>
      <w:r>
        <w:rPr>
          <w:bCs/>
          <w:b/>
        </w:rPr>
        <w:t xml:space="preserve">API calls:</w:t>
      </w:r>
      <w:r>
        <w:t xml:space="preserve"> </w:t>
      </w:r>
      <w:r>
        <w:rPr>
          <w:rStyle w:val="VerbatimChar"/>
        </w:rPr>
        <w:t xml:space="preserve">GET /reviews/assigned</w:t>
      </w:r>
      <w:r>
        <w:t xml:space="preserve">.</w:t>
      </w:r>
    </w:p>
    <w:bookmarkEnd w:id="163"/>
    <w:bookmarkStart w:id="164" w:name="paper-review-detail-page"/>
    <w:p>
      <w:pPr>
        <w:pStyle w:val="Heading3"/>
      </w:pPr>
      <w:r>
        <w:t xml:space="preserve">6.5.2 Paper Review Detail page</w:t>
      </w:r>
    </w:p>
    <w:p>
      <w:pPr>
        <w:pStyle w:val="FirstParagraph"/>
      </w:pPr>
      <w:r>
        <w:rPr>
          <w:bCs/>
          <w:b/>
        </w:rPr>
        <w:t xml:space="preserve">Components:</w:t>
      </w:r>
      <w:r>
        <w:t xml:space="preserve"> </w:t>
      </w:r>
      <w:r>
        <w:t xml:space="preserve">full paper viewer (embedded PDF), the AI Feedback Report (§6.3.5 component, reused) alongside it, and a review form (score, comments, recommendation).</w:t>
      </w:r>
      <w:r>
        <w:t xml:space="preserve"> </w:t>
      </w:r>
      <w:r>
        <w:rPr>
          <w:bCs/>
          <w:b/>
        </w:rPr>
        <w:t xml:space="preserve">States:</w:t>
      </w:r>
      <w:r>
        <w:t xml:space="preserve"> </w:t>
      </w:r>
      <w:r>
        <w:t xml:space="preserve">loading, submitting, submitted (read-only view of own submitted review), error.</w:t>
      </w:r>
      <w:r>
        <w:t xml:space="preserve"> </w:t>
      </w:r>
      <w:r>
        <w:rPr>
          <w:bCs/>
          <w:b/>
        </w:rPr>
        <w:t xml:space="preserve">API calls:</w:t>
      </w:r>
      <w:r>
        <w:t xml:space="preserve"> </w:t>
      </w:r>
      <w:r>
        <w:rPr>
          <w:rStyle w:val="VerbatimChar"/>
        </w:rPr>
        <w:t xml:space="preserve">GET /submissions/{id}</w:t>
      </w:r>
      <w:r>
        <w:t xml:space="preserve">,</w:t>
      </w:r>
      <w:r>
        <w:t xml:space="preserve"> </w:t>
      </w:r>
      <w:r>
        <w:rPr>
          <w:rStyle w:val="VerbatimChar"/>
        </w:rPr>
        <w:t xml:space="preserve">GET /submissions/{id}/ai-report</w:t>
      </w:r>
      <w:r>
        <w:t xml:space="preserve">,</w:t>
      </w:r>
      <w:r>
        <w:t xml:space="preserve"> </w:t>
      </w:r>
      <w:r>
        <w:rPr>
          <w:rStyle w:val="VerbatimChar"/>
        </w:rPr>
        <w:t xml:space="preserve">POST /reviews/{assignment_id}/submit</w:t>
      </w:r>
      <w:r>
        <w:t xml:space="preserve">.</w:t>
      </w:r>
    </w:p>
    <w:bookmarkEnd w:id="164"/>
    <w:bookmarkStart w:id="165" w:name="review-submission-confirmation"/>
    <w:p>
      <w:pPr>
        <w:pStyle w:val="Heading3"/>
      </w:pPr>
      <w:r>
        <w:t xml:space="preserve">6.5.3 Review Submission confirmation</w:t>
      </w:r>
    </w:p>
    <w:p>
      <w:pPr>
        <w:pStyle w:val="FirstParagraph"/>
      </w:pPr>
      <w:r>
        <w:rPr>
          <w:bCs/>
          <w:b/>
        </w:rPr>
        <w:t xml:space="preserve">Purpose:</w:t>
      </w:r>
      <w:r>
        <w:t xml:space="preserve"> </w:t>
      </w:r>
      <w:r>
        <w:t xml:space="preserve">lightweight confirmation screen after submitting a review, with a link back to the Assigned Papers list.</w:t>
      </w:r>
      <w:r>
        <w:t xml:space="preserve"> </w:t>
      </w:r>
      <w:r>
        <w:rPr>
          <w:bCs/>
          <w:b/>
        </w:rPr>
        <w:t xml:space="preserve">States:</w:t>
      </w:r>
      <w:r>
        <w:t xml:space="preserve"> </w:t>
      </w:r>
      <w:r>
        <w:t xml:space="preserve">static success state.</w:t>
      </w:r>
      <w:r>
        <w:t xml:space="preserve"> </w:t>
      </w:r>
      <w:r>
        <w:rPr>
          <w:bCs/>
          <w:b/>
        </w:rPr>
        <w:t xml:space="preserve">API calls:</w:t>
      </w:r>
      <w:r>
        <w:t xml:space="preserve"> </w:t>
      </w:r>
      <w:r>
        <w:t xml:space="preserve">none (confirmation of the prior screen’s already-completed submission).</w:t>
      </w:r>
    </w:p>
    <w:bookmarkEnd w:id="165"/>
    <w:bookmarkEnd w:id="166"/>
    <w:bookmarkStart w:id="169" w:name="shared-components"/>
    <w:p>
      <w:pPr>
        <w:pStyle w:val="Heading2"/>
      </w:pPr>
      <w:r>
        <w:t xml:space="preserve">6.6 Shared components</w:t>
      </w:r>
    </w:p>
    <w:bookmarkStart w:id="167" w:name="notification-center"/>
    <w:p>
      <w:pPr>
        <w:pStyle w:val="Heading3"/>
      </w:pPr>
      <w:r>
        <w:t xml:space="preserve">6.6.1 Notification Center</w:t>
      </w:r>
    </w:p>
    <w:p>
      <w:pPr>
        <w:pStyle w:val="FirstParagraph"/>
      </w:pPr>
      <w:r>
        <w:rPr>
          <w:bCs/>
          <w:b/>
        </w:rPr>
        <w:t xml:space="preserve">Purpose:</w:t>
      </w:r>
      <w:r>
        <w:t xml:space="preserve"> </w:t>
      </w:r>
      <w:r>
        <w:t xml:space="preserve">bell icon / dropdown, in-app alerts for status changes.</w:t>
      </w:r>
      <w:r>
        <w:t xml:space="preserve"> </w:t>
      </w:r>
      <w:r>
        <w:rPr>
          <w:bCs/>
          <w:b/>
        </w:rPr>
        <w:t xml:space="preserve">States:</w:t>
      </w:r>
      <w:r>
        <w:t xml:space="preserve"> </w:t>
      </w:r>
      <w:r>
        <w:t xml:space="preserve">loading, empty, unread-count badge.</w:t>
      </w:r>
      <w:r>
        <w:t xml:space="preserve"> </w:t>
      </w:r>
      <w:r>
        <w:rPr>
          <w:bCs/>
          <w:b/>
        </w:rPr>
        <w:t xml:space="preserve">API calls:</w:t>
      </w:r>
      <w:r>
        <w:t xml:space="preserve"> </w:t>
      </w:r>
      <w:r>
        <w:rPr>
          <w:rStyle w:val="VerbatimChar"/>
        </w:rPr>
        <w:t xml:space="preserve">GET /notifications</w:t>
      </w:r>
      <w:r>
        <w:t xml:space="preserve">,</w:t>
      </w:r>
      <w:r>
        <w:t xml:space="preserve"> </w:t>
      </w:r>
      <w:r>
        <w:rPr>
          <w:rStyle w:val="VerbatimChar"/>
        </w:rPr>
        <w:t xml:space="preserve">POST /notifications/{id}/read</w:t>
      </w:r>
      <w:r>
        <w:t xml:space="preserve">.</w:t>
      </w:r>
    </w:p>
    <w:bookmarkEnd w:id="167"/>
    <w:bookmarkStart w:id="168" w:name="navigation-shell"/>
    <w:p>
      <w:pPr>
        <w:pStyle w:val="Heading3"/>
      </w:pPr>
      <w:r>
        <w:t xml:space="preserve">6.6.2 Navigation shell</w:t>
      </w:r>
    </w:p>
    <w:p>
      <w:pPr>
        <w:pStyle w:val="FirstParagraph"/>
      </w:pPr>
      <w:r>
        <w:t xml:space="preserve">Role-aware sidebar/topbar; renders the page set from §6.1’s diagram based on the JWT</w:t>
      </w:r>
      <w:r>
        <w:t xml:space="preserve"> </w:t>
      </w:r>
      <w:r>
        <w:rPr>
          <w:rStyle w:val="VerbatimChar"/>
        </w:rPr>
        <w:t xml:space="preserve">role</w:t>
      </w:r>
      <w:r>
        <w:t xml:space="preserve"> </w:t>
      </w:r>
      <w:r>
        <w:t xml:space="preserve">claim. Not a</w:t>
      </w:r>
      <w:r>
        <w:t xml:space="preserve"> </w:t>
      </w:r>
      <w:r>
        <w:t xml:space="preserve">“</w:t>
      </w:r>
      <w:r>
        <w:t xml:space="preserve">page</w:t>
      </w:r>
      <w:r>
        <w:t xml:space="preserve">”</w:t>
      </w:r>
      <w:r>
        <w:t xml:space="preserve"> </w:t>
      </w:r>
      <w:r>
        <w:t xml:space="preserve">itself but present on every authenticated screen.</w:t>
      </w:r>
    </w:p>
    <w:bookmarkEnd w:id="168"/>
    <w:bookmarkEnd w:id="169"/>
    <w:bookmarkStart w:id="170" w:name="Xba3704a14222adf8c71234328c61504ad35a076"/>
    <w:p>
      <w:pPr>
        <w:pStyle w:val="Heading2"/>
      </w:pPr>
      <w:r>
        <w:t xml:space="preserve">6.7 Cross-cutting UI states worth calling out explicitly</w:t>
      </w:r>
    </w:p>
    <w:p>
      <w:pPr>
        <w:numPr>
          <w:ilvl w:val="0"/>
          <w:numId w:val="1024"/>
        </w:numPr>
        <w:pStyle w:val="Compact"/>
      </w:pPr>
      <w:r>
        <w:rPr>
          <w:bCs/>
          <w:b/>
        </w:rPr>
        <w:t xml:space="preserve">AI report</w:t>
      </w:r>
      <w:r>
        <w:rPr>
          <w:bCs/>
          <w:b/>
        </w:rPr>
        <w:t xml:space="preserve"> </w:t>
      </w:r>
      <w:r>
        <w:rPr>
          <w:bCs/>
          <w:b/>
        </w:rPr>
        <w:t xml:space="preserve">“</w:t>
      </w:r>
      <w:r>
        <w:rPr>
          <w:bCs/>
          <w:b/>
        </w:rPr>
        <w:t xml:space="preserve">processing</w:t>
      </w:r>
      <w:r>
        <w:rPr>
          <w:bCs/>
          <w:b/>
        </w:rPr>
        <w:t xml:space="preserve">”</w:t>
      </w:r>
      <w:r>
        <w:rPr>
          <w:bCs/>
          <w:b/>
        </w:rPr>
        <w:t xml:space="preserve"> </w:t>
      </w:r>
      <w:r>
        <w:rPr>
          <w:bCs/>
          <w:b/>
        </w:rPr>
        <w:t xml:space="preserve">state is not optional to build well</w:t>
      </w:r>
      <w:r>
        <w:t xml:space="preserve"> </w:t>
      </w:r>
      <w:r>
        <w:t xml:space="preserve">— it is the single longest-duration loading state in the product (checks can take anywhere from a few seconds for grammar to potentially over a minute for the LLM-based logical-consistency check, §3.5), and it is also the page every demo attendee will be staring at. Build the partial-results/incremental-reveal behavior described in §6.3.5, not a blocking spinner.</w:t>
      </w:r>
    </w:p>
    <w:p>
      <w:pPr>
        <w:numPr>
          <w:ilvl w:val="0"/>
          <w:numId w:val="1024"/>
        </w:numPr>
        <w:pStyle w:val="Compact"/>
      </w:pPr>
      <w:r>
        <w:rPr>
          <w:bCs/>
          <w:b/>
        </w:rPr>
        <w:t xml:space="preserve">Never render a bare AI-content or plagiarism flag without its confidence/span detail</w:t>
      </w:r>
      <w:r>
        <w:t xml:space="preserve"> </w:t>
      </w:r>
      <w:r>
        <w:t xml:space="preserve">— this is a product-level constraint (§1.7), not just a nice-to-have, and should be treated as a shared UI pattern (a single</w:t>
      </w:r>
      <w:r>
        <w:t xml:space="preserve"> </w:t>
      </w:r>
      <w:r>
        <w:rPr>
          <w:rStyle w:val="VerbatimChar"/>
        </w:rPr>
        <w:t xml:space="preserve">&lt;FlaggedCheckCard&gt;</w:t>
      </w:r>
      <w:r>
        <w:t xml:space="preserve">-style component) rather than re-implemented per page.</w:t>
      </w:r>
    </w:p>
    <w:p>
      <w:pPr>
        <w:numPr>
          <w:ilvl w:val="0"/>
          <w:numId w:val="1024"/>
        </w:numPr>
        <w:pStyle w:val="Compact"/>
      </w:pPr>
      <w:r>
        <w:rPr>
          <w:bCs/>
          <w:b/>
        </w:rPr>
        <w:t xml:space="preserve">Hard-gate rejection needs a distinctly different visual treatment from a soft-flag pass</w:t>
      </w:r>
      <w:r>
        <w:t xml:space="preserve"> </w:t>
      </w:r>
      <w:r>
        <w:t xml:space="preserve">— researchers should never have to read fine print to tell the difference between</w:t>
      </w:r>
      <w:r>
        <w:t xml:space="preserve"> </w:t>
      </w:r>
      <w:r>
        <w:t xml:space="preserve">“</w:t>
      </w:r>
      <w:r>
        <w:t xml:space="preserve">your paper is under review with some flags</w:t>
      </w:r>
      <w:r>
        <w:t xml:space="preserve">”</w:t>
      </w:r>
      <w:r>
        <w:t xml:space="preserve"> </w:t>
      </w:r>
      <w:r>
        <w:t xml:space="preserve">and</w:t>
      </w:r>
      <w:r>
        <w:t xml:space="preserve"> </w:t>
      </w:r>
      <w:r>
        <w:t xml:space="preserve">“</w:t>
      </w:r>
      <w:r>
        <w:t xml:space="preserve">your paper was auto-rejected and needs revision before it can be resubmitted.</w:t>
      </w:r>
      <w:r>
        <w:t xml:space="preserve">”</w:t>
      </w:r>
    </w:p>
    <w:p>
      <w:r>
        <w:br w:type="page"/>
      </w:r>
    </w:p>
    <w:bookmarkEnd w:id="170"/>
    <w:bookmarkEnd w:id="171"/>
    <w:bookmarkStart w:id="185" w:name="final-day-wise-build-roadmap"/>
    <w:p>
      <w:pPr>
        <w:pStyle w:val="Heading1"/>
      </w:pPr>
      <w:r>
        <w:t xml:space="preserve">7. Final Day-Wise Build Roadmap</w:t>
      </w:r>
    </w:p>
    <w:p>
      <w:pPr>
        <w:pStyle w:val="FirstParagraph"/>
      </w:pPr>
      <w:r>
        <w:rPr>
          <w:bCs/>
          <w:b/>
        </w:rPr>
        <w:t xml:space="preserve">Deadline:</w:t>
      </w:r>
      <w:r>
        <w:t xml:space="preserve"> </w:t>
      </w:r>
      <w:r>
        <w:t xml:space="preserve">15 September 2026.</w:t>
      </w:r>
      <w:r>
        <w:t xml:space="preserve"> </w:t>
      </w:r>
      <w:r>
        <w:rPr>
          <w:bCs/>
          <w:b/>
        </w:rPr>
        <w:t xml:space="preserve">Today:</w:t>
      </w:r>
      <w:r>
        <w:t xml:space="preserve"> </w:t>
      </w:r>
      <w:r>
        <w:t xml:space="preserve">13 August 2026 — 33 calendar days available, planned as 25 working days plus roughly 8 days of reserved buffer, unchanged in structure from the original roadmap. What changes here is</w:t>
      </w:r>
      <w:r>
        <w:t xml:space="preserve"> </w:t>
      </w:r>
      <w:r>
        <w:rPr>
          <w:iCs/>
          <w:i/>
        </w:rPr>
        <w:t xml:space="preserve">where</w:t>
      </w:r>
      <w:r>
        <w:t xml:space="preserve"> </w:t>
      </w:r>
      <w:r>
        <w:t xml:space="preserve">the plan front-loads risk, based directly on the roadmap-realism findings from research.</w:t>
      </w:r>
    </w:p>
    <w:bookmarkStart w:id="172" w:name="Xff8c07d4f9ac9c2634da15ee7c655a3304b3730"/>
    <w:p>
      <w:pPr>
        <w:pStyle w:val="Heading2"/>
      </w:pPr>
      <w:r>
        <w:t xml:space="preserve">7.1 What research confirmed was already right</w:t>
      </w:r>
    </w:p>
    <w:p>
      <w:pPr>
        <w:pStyle w:val="FirstParagraph"/>
      </w:pPr>
      <w:r>
        <w:t xml:space="preserve">The original 25-day structure — six phases, foundation first, AI depth in the middle, organizer/reviewer flows after, polish last — is sound and does not need to be reshuffled. The phase boundaries stay the same. Two specific roadmap risks the user had already flagged (Days 7–11, and the plagiarism corpus on Day 8) were confirmed as real by research, not false alarms, and are addressed below with concrete schedule changes rather than just noted as risks.</w:t>
      </w:r>
    </w:p>
    <w:bookmarkEnd w:id="172"/>
    <w:bookmarkStart w:id="173" w:name="what-changes-the-critical-fix"/>
    <w:p>
      <w:pPr>
        <w:pStyle w:val="Heading2"/>
      </w:pPr>
      <w:r>
        <w:t xml:space="preserve">7.2 What changes: the critical fix</w:t>
      </w:r>
    </w:p>
    <w:p>
      <w:pPr>
        <w:pStyle w:val="FirstParagraph"/>
      </w:pPr>
      <w:r>
        <w:rPr>
          <w:bCs/>
          <w:b/>
        </w:rPr>
        <w:t xml:space="preserve">Move GPU environment provisioning and large model downloads to Day 1, running in parallel with the app-skeleton work, instead of waiting until Day 10.</w:t>
      </w:r>
      <w:r>
        <w:t xml:space="preserve"> </w:t>
      </w:r>
      <w:r>
        <w:t xml:space="preserve">This is the single highest-leverage change to the schedule. Binoculars’ dual-model download alone is on the order of 15GB; the Ollama model, the BGE-M3 weights, and first-run CUDA/driver debugging all take real wall-clock time that has nothing to do with coding skill and everything to do with network speed and environment setup. Discovering driver/CUDA issues on Day 10 — deep into the AI-integration phase, with only 5 days left in that phase — is exactly the failure mode that turns a tight phase into a missed one. Discovering them on Day 1, with 24 days of runway left, is a non-event.</w:t>
      </w:r>
    </w:p>
    <w:p>
      <w:pPr>
        <w:pStyle w:val="BodyText"/>
      </w:pPr>
      <w:r>
        <w:rPr>
          <w:bCs/>
          <w:b/>
        </w:rPr>
        <w:t xml:space="preserve">Move plagiarism corpus building to Days 2–4 (parallel with auth/RBAC work), not Day 8.</w:t>
      </w:r>
      <w:r>
        <w:t xml:space="preserve"> </w:t>
      </w:r>
      <w:r>
        <w:t xml:space="preserve">Research confirmed corpus building is a genuine multi-hour-to-one-day task (§3.4), not a Docker-one-liner. Pre-building it during the Phase 1 downtime (waiting on model downloads, running database migrations, etc.) converts Day 8 from</w:t>
      </w:r>
      <w:r>
        <w:t xml:space="preserve"> </w:t>
      </w:r>
      <w:r>
        <w:t xml:space="preserve">“</w:t>
      </w:r>
      <w:r>
        <w:t xml:space="preserve">build the corpus and wire it up</w:t>
      </w:r>
      <w:r>
        <w:t xml:space="preserve">”</w:t>
      </w:r>
      <w:r>
        <w:t xml:space="preserve"> </w:t>
      </w:r>
      <w:r>
        <w:t xml:space="preserve">into</w:t>
      </w:r>
      <w:r>
        <w:t xml:space="preserve"> </w:t>
      </w:r>
      <w:r>
        <w:t xml:space="preserve">“</w:t>
      </w:r>
      <w:r>
        <w:t xml:space="preserve">wire up a corpus that already exists</w:t>
      </w:r>
      <w:r>
        <w:t xml:space="preserve">”</w:t>
      </w:r>
      <w:r>
        <w:t xml:space="preserve"> </w:t>
      </w:r>
      <w:r>
        <w:t xml:space="preserve">— a much safer task to schedule into a single day.</w:t>
      </w:r>
    </w:p>
    <w:bookmarkEnd w:id="173"/>
    <w:bookmarkStart w:id="180" w:name="revised-phase-by-phase-plan"/>
    <w:p>
      <w:pPr>
        <w:pStyle w:val="Heading2"/>
      </w:pPr>
      <w:r>
        <w:t xml:space="preserve">7.3 Revised phase-by-phase plan</w:t>
      </w:r>
    </w:p>
    <w:bookmarkStart w:id="174" w:name="phase-1-foundation-days-14-revised"/>
    <w:p>
      <w:pPr>
        <w:pStyle w:val="Heading3"/>
      </w:pPr>
      <w:r>
        <w:t xml:space="preserve">Phase 1 — Foundation (Days 1–4), revised</w:t>
      </w:r>
    </w:p>
    <w:p>
      <w:pPr>
        <w:numPr>
          <w:ilvl w:val="0"/>
          <w:numId w:val="1025"/>
        </w:numPr>
        <w:pStyle w:val="Compact"/>
      </w:pPr>
      <w:r>
        <w:rPr>
          <w:bCs/>
          <w:b/>
        </w:rPr>
        <w:t xml:space="preserve">Day 1:</w:t>
      </w:r>
      <w:r>
        <w:t xml:space="preserve"> </w:t>
      </w:r>
      <w:r>
        <w:t xml:space="preserve">Repo setup, tech stack finalization, environment setup (FastAPI, Postgres via Supabase/Neon, Next.js frontend scaffold).</w:t>
      </w:r>
      <w:r>
        <w:t xml:space="preserve"> </w:t>
      </w:r>
      <w:r>
        <w:rPr>
          <w:bCs/>
          <w:b/>
        </w:rPr>
        <w:t xml:space="preserve">In parallel:</w:t>
      </w:r>
      <w:r>
        <w:t xml:space="preserve"> </w:t>
      </w:r>
      <w:r>
        <w:t xml:space="preserve">provision a GPU environment (Colab/Kaggle T4 for early dev, per §7.7) and kick off the Binoculars + Ollama model downloads — this can run unattended in the background while the app skeleton is being built.</w:t>
      </w:r>
    </w:p>
    <w:p>
      <w:pPr>
        <w:numPr>
          <w:ilvl w:val="0"/>
          <w:numId w:val="1025"/>
        </w:numPr>
        <w:pStyle w:val="Compact"/>
      </w:pPr>
      <w:r>
        <w:rPr>
          <w:bCs/>
          <w:b/>
        </w:rPr>
        <w:t xml:space="preserve">Day 2:</w:t>
      </w:r>
      <w:r>
        <w:t xml:space="preserve"> </w:t>
      </w:r>
      <w:r>
        <w:t xml:space="preserve">Database schema implementation (§4), auth service setup (Supabase Auth integration).</w:t>
      </w:r>
      <w:r>
        <w:t xml:space="preserve"> </w:t>
      </w:r>
      <w:r>
        <w:rPr>
          <w:bCs/>
          <w:b/>
        </w:rPr>
        <w:t xml:space="preserve">In parallel:</w:t>
      </w:r>
      <w:r>
        <w:t xml:space="preserve"> </w:t>
      </w:r>
      <w:r>
        <w:t xml:space="preserve">register Semantic Scholar and CORE API keys; begin the reference-corpus pull (§3.4) via the S2AG Datasets API.</w:t>
      </w:r>
    </w:p>
    <w:p>
      <w:pPr>
        <w:numPr>
          <w:ilvl w:val="0"/>
          <w:numId w:val="1025"/>
        </w:numPr>
        <w:pStyle w:val="Compact"/>
      </w:pPr>
      <w:r>
        <w:rPr>
          <w:bCs/>
          <w:b/>
        </w:rPr>
        <w:t xml:space="preserve">Day 3:</w:t>
      </w:r>
      <w:r>
        <w:t xml:space="preserve"> </w:t>
      </w:r>
      <w:r>
        <w:t xml:space="preserve">Role-based access control middleware, basic signup/login/verification flow (frontend + backend).</w:t>
      </w:r>
      <w:r>
        <w:t xml:space="preserve"> </w:t>
      </w:r>
      <w:r>
        <w:rPr>
          <w:bCs/>
          <w:b/>
        </w:rPr>
        <w:t xml:space="preserve">In parallel:</w:t>
      </w:r>
      <w:r>
        <w:t xml:space="preserve"> </w:t>
      </w:r>
      <w:r>
        <w:t xml:space="preserve">corpus embedding + FAISS index build, using the GPU environment provisioned on Day 1.</w:t>
      </w:r>
    </w:p>
    <w:p>
      <w:pPr>
        <w:numPr>
          <w:ilvl w:val="0"/>
          <w:numId w:val="1025"/>
        </w:numPr>
        <w:pStyle w:val="Compact"/>
      </w:pPr>
      <w:r>
        <w:rPr>
          <w:bCs/>
          <w:b/>
        </w:rPr>
        <w:t xml:space="preserve">Day 4:</w:t>
      </w:r>
      <w:r>
        <w:t xml:space="preserve"> </w:t>
      </w:r>
      <w:r>
        <w:t xml:space="preserve">Deploy skeleton app (frontend + backend) to free hosting tiers — confirm the full stack talks to itself end-to-end. Corpus build should be complete or near-complete by end of day.</w:t>
      </w:r>
    </w:p>
    <w:bookmarkEnd w:id="174"/>
    <w:bookmarkStart w:id="175" w:name="X40e644850328cf1a071fb13f634c5557f82a0c1"/>
    <w:p>
      <w:pPr>
        <w:pStyle w:val="Heading3"/>
      </w:pPr>
      <w:r>
        <w:t xml:space="preserve">Phase 2 — Core Researcher Flow (Days 5–9), revised</w:t>
      </w:r>
    </w:p>
    <w:p>
      <w:pPr>
        <w:numPr>
          <w:ilvl w:val="0"/>
          <w:numId w:val="1026"/>
        </w:numPr>
        <w:pStyle w:val="Compact"/>
      </w:pPr>
      <w:r>
        <w:rPr>
          <w:bCs/>
          <w:b/>
        </w:rPr>
        <w:t xml:space="preserve">Day 5:</w:t>
      </w:r>
      <w:r>
        <w:t xml:space="preserve"> </w:t>
      </w:r>
      <w:r>
        <w:t xml:space="preserve">Conference listing + detail pages (frontend), conference CRUD API (backend).</w:t>
      </w:r>
    </w:p>
    <w:p>
      <w:pPr>
        <w:numPr>
          <w:ilvl w:val="0"/>
          <w:numId w:val="1026"/>
        </w:numPr>
        <w:pStyle w:val="Compact"/>
      </w:pPr>
      <w:r>
        <w:rPr>
          <w:bCs/>
          <w:b/>
        </w:rPr>
        <w:t xml:space="preserve">Day 6:</w:t>
      </w:r>
      <w:r>
        <w:t xml:space="preserve"> </w:t>
      </w:r>
      <w:r>
        <w:t xml:space="preserve">Submission upload flow — file upload to storage, metadata form, submission record creation.</w:t>
      </w:r>
    </w:p>
    <w:p>
      <w:pPr>
        <w:numPr>
          <w:ilvl w:val="0"/>
          <w:numId w:val="1026"/>
        </w:numPr>
        <w:pStyle w:val="Compact"/>
      </w:pPr>
      <w:r>
        <w:rPr>
          <w:bCs/>
          <w:b/>
        </w:rPr>
        <w:t xml:space="preserve">Day 7:</w:t>
      </w:r>
      <w:r>
        <w:t xml:space="preserve"> </w:t>
      </w:r>
      <w:r>
        <w:t xml:space="preserve">Integrate LanguageTool and GROBID (§3.1, §3.2) into the AI orchestration pipeline as background jobs — both are CPU-only Docker one-liners with well-understood setup, so this day is realistic as originally scoped.</w:t>
      </w:r>
    </w:p>
    <w:p>
      <w:pPr>
        <w:numPr>
          <w:ilvl w:val="0"/>
          <w:numId w:val="1026"/>
        </w:numPr>
        <w:pStyle w:val="Compact"/>
      </w:pPr>
      <w:r>
        <w:rPr>
          <w:bCs/>
          <w:b/>
        </w:rPr>
        <w:t xml:space="preserve">Day 8 (changed in substance, not in date):</w:t>
      </w:r>
      <w:r>
        <w:t xml:space="preserve"> </w:t>
      </w:r>
      <w:r>
        <w:t xml:space="preserve">Wire up the SBERT/BGE-M3 + FAISS plagiarism/similarity check (§3.3) against the</w:t>
      </w:r>
      <w:r>
        <w:t xml:space="preserve"> </w:t>
      </w:r>
      <w:r>
        <w:rPr>
          <w:bCs/>
          <w:b/>
        </w:rPr>
        <w:t xml:space="preserve">already-built</w:t>
      </w:r>
      <w:r>
        <w:t xml:space="preserve"> </w:t>
      </w:r>
      <w:r>
        <w:t xml:space="preserve">corpus from Days 2–4, plus the MinHash exact-match layer. Because the corpus already exists, this day is now genuinely achievable as scoped, unlike in the original plan where Day 8 carried both corpus-building and integration.</w:t>
      </w:r>
    </w:p>
    <w:p>
      <w:pPr>
        <w:numPr>
          <w:ilvl w:val="0"/>
          <w:numId w:val="1026"/>
        </w:numPr>
        <w:pStyle w:val="Compact"/>
      </w:pPr>
      <w:r>
        <w:rPr>
          <w:bCs/>
          <w:b/>
        </w:rPr>
        <w:t xml:space="preserve">Day 9:</w:t>
      </w:r>
      <w:r>
        <w:t xml:space="preserve"> </w:t>
      </w:r>
      <w:r>
        <w:t xml:space="preserve">Build the AI Feedback Report page (§6.3.5) to display results from Days 7–8; test end-to-end submission → AI report loop, including the partial-results/incremental-reveal behavior.</w:t>
      </w:r>
    </w:p>
    <w:bookmarkEnd w:id="175"/>
    <w:bookmarkStart w:id="176" w:name="Xb611523db02b6ac7e8924c363249ef251670aa5"/>
    <w:p>
      <w:pPr>
        <w:pStyle w:val="Heading3"/>
      </w:pPr>
      <w:r>
        <w:t xml:space="preserve">Phase 3 — AI Depth &amp; Gate Logic (Days 10–14), revised — the phase to protect most</w:t>
      </w:r>
    </w:p>
    <w:p>
      <w:pPr>
        <w:numPr>
          <w:ilvl w:val="0"/>
          <w:numId w:val="1027"/>
        </w:numPr>
        <w:pStyle w:val="Compact"/>
      </w:pPr>
      <w:r>
        <w:rPr>
          <w:bCs/>
          <w:b/>
        </w:rPr>
        <w:t xml:space="preserve">Day 10:</w:t>
      </w:r>
      <w:r>
        <w:t xml:space="preserve"> </w:t>
      </w:r>
      <w:r>
        <w:t xml:space="preserve">Deploy the Binoculars + Fast-DetectGPT AI-text-detection service (§3.6) using the models already downloaded on Day 1 — this converts what was the single riskiest day in the original plan into</w:t>
      </w:r>
      <w:r>
        <w:t xml:space="preserve"> </w:t>
      </w:r>
      <w:r>
        <w:t xml:space="preserve">“</w:t>
      </w:r>
      <w:r>
        <w:t xml:space="preserve">integrate a service whose models are already sitting on disk,</w:t>
      </w:r>
      <w:r>
        <w:t xml:space="preserve">”</w:t>
      </w:r>
      <w:r>
        <w:t xml:space="preserve"> </w:t>
      </w:r>
      <w:r>
        <w:t xml:space="preserve">which is a materially smaller task.</w:t>
      </w:r>
    </w:p>
    <w:p>
      <w:pPr>
        <w:numPr>
          <w:ilvl w:val="0"/>
          <w:numId w:val="1027"/>
        </w:numPr>
        <w:pStyle w:val="Compact"/>
      </w:pPr>
      <w:r>
        <w:rPr>
          <w:bCs/>
          <w:b/>
        </w:rPr>
        <w:t xml:space="preserve">Day 11:</w:t>
      </w:r>
      <w:r>
        <w:t xml:space="preserve"> </w:t>
      </w:r>
      <w:r>
        <w:t xml:space="preserve">Deploy the quantized Qwen2.5-7B-Instruct via Ollama (§3.5) for logical-consistency checks and cross-conference summary generation, again using the Day-1 download.</w:t>
      </w:r>
      <w:r>
        <w:t xml:space="preserve"> </w:t>
      </w:r>
      <w:r>
        <w:rPr>
          <w:bCs/>
          <w:b/>
        </w:rPr>
        <w:t xml:space="preserve">Explicitly wire a Groq free-tier hosted-API fallback for this specific check now, not as a last-minute Day-24 scramble</w:t>
      </w:r>
      <w:r>
        <w:t xml:space="preserve"> </w:t>
      </w:r>
      <w:r>
        <w:t xml:space="preserve">— if local GPU serving of the LLM check is unreliable during integration testing, flip a config flag to route to the hosted API instead, without touching the rest of the pipeline. This check is the correct one to make swappable, since it’s the lowest-priority AI check in the product (§1.6, §3.5).</w:t>
      </w:r>
    </w:p>
    <w:p>
      <w:pPr>
        <w:numPr>
          <w:ilvl w:val="0"/>
          <w:numId w:val="1027"/>
        </w:numPr>
        <w:pStyle w:val="Compact"/>
      </w:pPr>
      <w:r>
        <w:rPr>
          <w:bCs/>
          <w:b/>
        </w:rPr>
        <w:t xml:space="preserve">Day 12:</w:t>
      </w:r>
      <w:r>
        <w:t xml:space="preserve"> </w:t>
      </w:r>
      <w:r>
        <w:t xml:space="preserve">Build the Gate Rule Engine — hard/soft threshold evaluation logic (backend), including the</w:t>
      </w:r>
      <w:r>
        <w:t xml:space="preserve"> </w:t>
      </w:r>
      <w:r>
        <w:rPr>
          <w:rStyle w:val="VerbatimChar"/>
        </w:rPr>
        <w:t xml:space="preserve">ai_content_pct</w:t>
      </w:r>
      <w:r>
        <w:t xml:space="preserve">/</w:t>
      </w:r>
      <w:r>
        <w:rPr>
          <w:rStyle w:val="VerbatimChar"/>
        </w:rPr>
        <w:t xml:space="preserve">plagiarism_pct</w:t>
      </w:r>
      <w:r>
        <w:t xml:space="preserve"> </w:t>
      </w:r>
      <w:r>
        <w:t xml:space="preserve">hard-gate-prohibition validation (§5.2, §4.3), and the Gate Rule Configuration page (frontend, §6.4.2).</w:t>
      </w:r>
    </w:p>
    <w:p>
      <w:pPr>
        <w:numPr>
          <w:ilvl w:val="0"/>
          <w:numId w:val="1027"/>
        </w:numPr>
        <w:pStyle w:val="Compact"/>
      </w:pPr>
      <w:r>
        <w:rPr>
          <w:bCs/>
          <w:b/>
        </w:rPr>
        <w:t xml:space="preserve">Day 13:</w:t>
      </w:r>
      <w:r>
        <w:t xml:space="preserve"> </w:t>
      </w:r>
      <w:r>
        <w:t xml:space="preserve">Wire gate logic into the submission pipeline: passes → queued for review; fails hard gate → auto-return to researcher with reasoning.</w:t>
      </w:r>
    </w:p>
    <w:p>
      <w:pPr>
        <w:numPr>
          <w:ilvl w:val="0"/>
          <w:numId w:val="1027"/>
        </w:numPr>
        <w:pStyle w:val="Compact"/>
      </w:pPr>
      <w:r>
        <w:rPr>
          <w:bCs/>
          <w:b/>
        </w:rPr>
        <w:t xml:space="preserve">Day 14:</w:t>
      </w:r>
      <w:r>
        <w:t xml:space="preserve"> </w:t>
      </w:r>
      <w:r>
        <w:t xml:space="preserve">Buffer/catch-up day + integration testing of the full AI pipeline (grammar → citation → plagiarism → AI-detection → LLM checks → gate decision).</w:t>
      </w:r>
      <w:r>
        <w:t xml:space="preserve"> </w:t>
      </w:r>
      <w:r>
        <w:rPr>
          <w:bCs/>
          <w:b/>
        </w:rPr>
        <w:t xml:space="preserve">Decision checkpoint:</w:t>
      </w:r>
      <w:r>
        <w:t xml:space="preserve"> </w:t>
      </w:r>
      <w:r>
        <w:t xml:space="preserve">if Binoculars and the Ollama LLM cannot both be made reliably available (co-residency issues on a single L4, §3.6), this is the day to commit to either (a) running them sequentially/time-sliced for the rest of the build, or (b) confirming the Groq fallback is the default for the LLM check through the demo. Do not carry this ambiguity into Phase 4.</w:t>
      </w:r>
    </w:p>
    <w:bookmarkEnd w:id="176"/>
    <w:bookmarkStart w:id="177" w:name="Xc45be435d61266cf5542b78a4629e711a1aaa7b"/>
    <w:p>
      <w:pPr>
        <w:pStyle w:val="Heading3"/>
      </w:pPr>
      <w:r>
        <w:t xml:space="preserve">Phase 4 — Organizer &amp; Reviewer Flows (Days 15–19), unchanged</w:t>
      </w:r>
    </w:p>
    <w:p>
      <w:pPr>
        <w:numPr>
          <w:ilvl w:val="0"/>
          <w:numId w:val="1028"/>
        </w:numPr>
        <w:pStyle w:val="Compact"/>
      </w:pPr>
      <w:r>
        <w:rPr>
          <w:bCs/>
          <w:b/>
        </w:rPr>
        <w:t xml:space="preserve">Day 15:</w:t>
      </w:r>
      <w:r>
        <w:t xml:space="preserve"> </w:t>
      </w:r>
      <w:r>
        <w:t xml:space="preserve">Organizer onboarding wizard (frontend) + conference/reviewer management APIs (backend).</w:t>
      </w:r>
    </w:p>
    <w:p>
      <w:pPr>
        <w:numPr>
          <w:ilvl w:val="0"/>
          <w:numId w:val="1028"/>
        </w:numPr>
        <w:pStyle w:val="Compact"/>
      </w:pPr>
      <w:r>
        <w:rPr>
          <w:bCs/>
          <w:b/>
        </w:rPr>
        <w:t xml:space="preserve">Day 16:</w:t>
      </w:r>
      <w:r>
        <w:t xml:space="preserve"> </w:t>
      </w:r>
      <w:r>
        <w:t xml:space="preserve">Reviewer assignment logic —</w:t>
      </w:r>
      <w:r>
        <w:t xml:space="preserve"> </w:t>
      </w:r>
      <w:r>
        <w:rPr>
          <w:bCs/>
          <w:b/>
        </w:rPr>
        <w:t xml:space="preserve">manual assignment only</w:t>
      </w:r>
      <w:r>
        <w:t xml:space="preserve">, confirmed correct scope; auto-match stays explicitly out (§1.3, §1.9, §5.4).</w:t>
      </w:r>
    </w:p>
    <w:p>
      <w:pPr>
        <w:numPr>
          <w:ilvl w:val="0"/>
          <w:numId w:val="1028"/>
        </w:numPr>
        <w:pStyle w:val="Compact"/>
      </w:pPr>
      <w:r>
        <w:rPr>
          <w:bCs/>
          <w:b/>
        </w:rPr>
        <w:t xml:space="preserve">Day 17:</w:t>
      </w:r>
      <w:r>
        <w:t xml:space="preserve"> </w:t>
      </w:r>
      <w:r>
        <w:t xml:space="preserve">Paper Review Detail page (reviewer-facing) showing AI report alongside the paper; review submission form.</w:t>
      </w:r>
    </w:p>
    <w:p>
      <w:pPr>
        <w:numPr>
          <w:ilvl w:val="0"/>
          <w:numId w:val="1028"/>
        </w:numPr>
        <w:pStyle w:val="Compact"/>
      </w:pPr>
      <w:r>
        <w:rPr>
          <w:bCs/>
          <w:b/>
        </w:rPr>
        <w:t xml:space="preserve">Day 18:</w:t>
      </w:r>
      <w:r>
        <w:t xml:space="preserve"> </w:t>
      </w:r>
      <w:r>
        <w:t xml:space="preserve">Organizer Submission Queue Dashboard + basic Analytics Dashboard.</w:t>
      </w:r>
    </w:p>
    <w:p>
      <w:pPr>
        <w:numPr>
          <w:ilvl w:val="0"/>
          <w:numId w:val="1028"/>
        </w:numPr>
        <w:pStyle w:val="Compact"/>
      </w:pPr>
      <w:r>
        <w:rPr>
          <w:bCs/>
          <w:b/>
        </w:rPr>
        <w:t xml:space="preserve">Day 19:</w:t>
      </w:r>
      <w:r>
        <w:t xml:space="preserve"> </w:t>
      </w:r>
      <w:r>
        <w:t xml:space="preserve">Decision Management page — accept/reject/revise actions, status propagation back to researcher dashboard.</w:t>
      </w:r>
    </w:p>
    <w:bookmarkEnd w:id="177"/>
    <w:bookmarkStart w:id="178" w:name="X90b0b503d7900dd8846c541f38f20e3b16eaf07"/>
    <w:p>
      <w:pPr>
        <w:pStyle w:val="Heading3"/>
      </w:pPr>
      <w:r>
        <w:t xml:space="preserve">Phase 5 — Cross-Conference History &amp; Notifications (Days 20–21), unchanged</w:t>
      </w:r>
    </w:p>
    <w:p>
      <w:pPr>
        <w:numPr>
          <w:ilvl w:val="0"/>
          <w:numId w:val="1029"/>
        </w:numPr>
        <w:pStyle w:val="Compact"/>
      </w:pPr>
      <w:r>
        <w:rPr>
          <w:bCs/>
          <w:b/>
        </w:rPr>
        <w:t xml:space="preserve">Day 20:</w:t>
      </w:r>
      <w:r>
        <w:t xml:space="preserve"> </w:t>
      </w:r>
      <w:r>
        <w:t xml:space="preserve">Cross-Conference Paper History — simplified version: fuzzy-match resubmissions by title similarity + author overlap (§1.5), generate the ~200-word LLM summary (using the LLM service/fallback finalized on Day 14), display on organizer-facing view with the</w:t>
      </w:r>
      <w:r>
        <w:t xml:space="preserve"> </w:t>
      </w:r>
      <w:r>
        <w:rPr>
          <w:rStyle w:val="VerbatimChar"/>
        </w:rPr>
        <w:t xml:space="preserve">match_confidence</w:t>
      </w:r>
      <w:r>
        <w:t xml:space="preserve"> </w:t>
      </w:r>
      <w:r>
        <w:t xml:space="preserve">badge.</w:t>
      </w:r>
    </w:p>
    <w:p>
      <w:pPr>
        <w:numPr>
          <w:ilvl w:val="0"/>
          <w:numId w:val="1029"/>
        </w:numPr>
        <w:pStyle w:val="Compact"/>
      </w:pPr>
      <w:r>
        <w:rPr>
          <w:bCs/>
          <w:b/>
        </w:rPr>
        <w:t xml:space="preserve">Day 21:</w:t>
      </w:r>
      <w:r>
        <w:t xml:space="preserve"> </w:t>
      </w:r>
      <w:r>
        <w:t xml:space="preserve">In-app Notification Center; email notifications as a stretch goal only if ahead of schedule.</w:t>
      </w:r>
    </w:p>
    <w:bookmarkEnd w:id="178"/>
    <w:bookmarkStart w:id="179" w:name="Xf7d38d56b10ae22a1709f3e71bbdc30e0ba6606"/>
    <w:p>
      <w:pPr>
        <w:pStyle w:val="Heading3"/>
      </w:pPr>
      <w:r>
        <w:t xml:space="preserve">Phase 6 — Testing, Polish, Demo Prep (Days 22–25), revised</w:t>
      </w:r>
    </w:p>
    <w:p>
      <w:pPr>
        <w:numPr>
          <w:ilvl w:val="0"/>
          <w:numId w:val="1030"/>
        </w:numPr>
        <w:pStyle w:val="Compact"/>
      </w:pPr>
      <w:r>
        <w:rPr>
          <w:bCs/>
          <w:b/>
        </w:rPr>
        <w:t xml:space="preserve">Day 22:</w:t>
      </w:r>
      <w:r>
        <w:t xml:space="preserve"> </w:t>
      </w:r>
      <w:r>
        <w:t xml:space="preserve">End-to-end testing across all three roles, bug fixing.</w:t>
      </w:r>
    </w:p>
    <w:p>
      <w:pPr>
        <w:numPr>
          <w:ilvl w:val="0"/>
          <w:numId w:val="1030"/>
        </w:numPr>
        <w:pStyle w:val="Compact"/>
      </w:pPr>
      <w:r>
        <w:rPr>
          <w:bCs/>
          <w:b/>
        </w:rPr>
        <w:t xml:space="preserve">Day 23:</w:t>
      </w:r>
      <w:r>
        <w:t xml:space="preserve"> </w:t>
      </w:r>
      <w:r>
        <w:t xml:space="preserve">UI polish pass — consistent styling, empty states, error handling, loading states (§6.7’s cross-cutting states are the highest-value polish target, since they’re what the demo audience actually sees).</w:t>
      </w:r>
    </w:p>
    <w:p>
      <w:pPr>
        <w:numPr>
          <w:ilvl w:val="0"/>
          <w:numId w:val="1030"/>
        </w:numPr>
        <w:pStyle w:val="Compact"/>
      </w:pPr>
      <w:r>
        <w:rPr>
          <w:bCs/>
          <w:b/>
        </w:rPr>
        <w:t xml:space="preserve">Day 24:</w:t>
      </w:r>
      <w:r>
        <w:t xml:space="preserve"> </w:t>
      </w:r>
      <w:r>
        <w:t xml:space="preserve">Load a realistic demo dataset (sample papers, a seeded conference, sample reviewers).</w:t>
      </w:r>
      <w:r>
        <w:t xml:space="preserve"> </w:t>
      </w:r>
      <w:r>
        <w:rPr>
          <w:bCs/>
          <w:b/>
        </w:rPr>
        <w:t xml:space="preserve">Move final AI serving to the paid-hourly RunPod L4 instance no later than this day — not the day of the demo itself</w:t>
      </w:r>
      <w:r>
        <w:t xml:space="preserve"> </w:t>
      </w:r>
      <w:r>
        <w:t xml:space="preserve">— so any environment differences between the free-tier dev GPU and the paid demo GPU surface with a full day of runway to fix them, not zero.</w:t>
      </w:r>
    </w:p>
    <w:p>
      <w:pPr>
        <w:numPr>
          <w:ilvl w:val="0"/>
          <w:numId w:val="1030"/>
        </w:numPr>
        <w:pStyle w:val="Compact"/>
      </w:pPr>
      <w:r>
        <w:rPr>
          <w:bCs/>
          <w:b/>
        </w:rPr>
        <w:t xml:space="preserve">Day 25:</w:t>
      </w:r>
      <w:r>
        <w:t xml:space="preserve"> </w:t>
      </w:r>
      <w:r>
        <w:t xml:space="preserve">Final rehearsal of the demo flow, fix any last-minute issues, prepare submission materials (this document + a short walkthrough).</w:t>
      </w:r>
    </w:p>
    <w:p>
      <w:pPr>
        <w:pStyle w:val="FirstParagraph"/>
      </w:pPr>
      <w:r>
        <w:rPr>
          <w:bCs/>
          <w:b/>
        </w:rPr>
        <w:t xml:space="preserve">Remaining buffer (Days 26–33):</w:t>
      </w:r>
      <w:r>
        <w:t xml:space="preserve"> </w:t>
      </w:r>
      <w:r>
        <w:t xml:space="preserve">held in reserve for anything that slipped, additional polish, or a second publisher format if time allows — do not pre-allocate this time to new features, consistent with the original roadmap’s guidance.</w:t>
      </w:r>
    </w:p>
    <w:bookmarkEnd w:id="179"/>
    <w:bookmarkEnd w:id="180"/>
    <w:bookmarkStart w:id="181" w:name="X7a1ef5226279b0853649cc557526ea27cd7b3d6"/>
    <w:p>
      <w:pPr>
        <w:pStyle w:val="Heading2"/>
      </w:pPr>
      <w:r>
        <w:t xml:space="preserve">7.4 Explicit descope plan — what to cut first if behind schedule</w:t>
      </w:r>
    </w:p>
    <w:p>
      <w:pPr>
        <w:pStyle w:val="FirstParagraph"/>
      </w:pPr>
      <w:r>
        <w:t xml:space="preserve">Ordered by priority; cut from the top of this list first, and only move to the next item if the schedule pressure persists after the prior cut:</w:t>
      </w:r>
    </w:p>
    <w:p>
      <w:pPr>
        <w:numPr>
          <w:ilvl w:val="0"/>
          <w:numId w:val="1031"/>
        </w:numPr>
        <w:pStyle w:val="Compact"/>
      </w:pPr>
      <w:r>
        <w:rPr>
          <w:bCs/>
          <w:b/>
        </w:rPr>
        <w:t xml:space="preserve">AI-generated-image detection (advisory-only fallback, §1.6.1/§3.9).</w:t>
      </w:r>
      <w:r>
        <w:t xml:space="preserve"> </w:t>
      </w:r>
      <w:r>
        <w:t xml:space="preserve">Already out of core scope; this entry exists only to make explicit that it should never be pulled back in under time pressure, even as a</w:t>
      </w:r>
      <w:r>
        <w:t xml:space="preserve"> </w:t>
      </w:r>
      <w:r>
        <w:t xml:space="preserve">“</w:t>
      </w:r>
      <w:r>
        <w:t xml:space="preserve">quick win</w:t>
      </w:r>
      <w:r>
        <w:t xml:space="preserve">”</w:t>
      </w:r>
      <w:r>
        <w:t xml:space="preserve"> </w:t>
      </w:r>
      <w:r>
        <w:t xml:space="preserve">— it isn’t one, given the accuracy findings in §1.6.1.</w:t>
      </w:r>
    </w:p>
    <w:p>
      <w:pPr>
        <w:numPr>
          <w:ilvl w:val="0"/>
          <w:numId w:val="1031"/>
        </w:numPr>
        <w:pStyle w:val="Compact"/>
      </w:pPr>
      <w:r>
        <w:rPr>
          <w:bCs/>
          <w:b/>
        </w:rPr>
        <w:t xml:space="preserve">The LLM-based logical-consistency check (§1.6, §3.5).</w:t>
      </w:r>
      <w:r>
        <w:t xml:space="preserve"> </w:t>
      </w:r>
      <w:r>
        <w:t xml:space="preserve">Lowest-priority AI check by product design. If GPU time or integration time runs short, route it permanently to the Groq hosted-API fallback (wired on Day 11 per §7.3) or drop the check from the demo pipeline entirely, keeping only the cross-conference-summary use of the same LLM (which is more visibly a</w:t>
      </w:r>
      <w:r>
        <w:t xml:space="preserve"> </w:t>
      </w:r>
      <w:r>
        <w:t xml:space="preserve">“</w:t>
      </w:r>
      <w:r>
        <w:t xml:space="preserve">wow</w:t>
      </w:r>
      <w:r>
        <w:t xml:space="preserve">”</w:t>
      </w:r>
      <w:r>
        <w:t xml:space="preserve"> </w:t>
      </w:r>
      <w:r>
        <w:t xml:space="preserve">feature for the demo than the consistency check is).</w:t>
      </w:r>
    </w:p>
    <w:p>
      <w:pPr>
        <w:numPr>
          <w:ilvl w:val="0"/>
          <w:numId w:val="1031"/>
        </w:numPr>
        <w:pStyle w:val="Compact"/>
      </w:pPr>
      <w:r>
        <w:rPr>
          <w:bCs/>
          <w:b/>
        </w:rPr>
        <w:t xml:space="preserve">Reference corpus size.</w:t>
      </w:r>
      <w:r>
        <w:t xml:space="preserve"> </w:t>
      </w:r>
      <w:r>
        <w:t xml:space="preserve">If the Days 2–4 corpus build is behind schedule, ship with a smaller seed (e.g., 15,000–20,000 abstracts instead of 50,000–100,000) and lean more heavily on the MinHash exact-match layer, which is cheap and doesn’t depend on corpus size for its core function (catching verbatim copying).</w:t>
      </w:r>
    </w:p>
    <w:p>
      <w:pPr>
        <w:numPr>
          <w:ilvl w:val="0"/>
          <w:numId w:val="1031"/>
        </w:numPr>
        <w:pStyle w:val="Compact"/>
      </w:pPr>
      <w:r>
        <w:rPr>
          <w:bCs/>
          <w:b/>
        </w:rPr>
        <w:t xml:space="preserve">Fast-DetectGPT as a second AI-text detector (§3.6).</w:t>
      </w:r>
      <w:r>
        <w:t xml:space="preserve"> </w:t>
      </w:r>
      <w:r>
        <w:t xml:space="preserve">If Binoculars alone is running reliably but the second detector isn’t ready in time, ship with Binoculars only, clearly labeled with a wider</w:t>
      </w:r>
      <w:r>
        <w:t xml:space="preserve"> </w:t>
      </w:r>
      <w:r>
        <w:t xml:space="preserve">“</w:t>
      </w:r>
      <w:r>
        <w:t xml:space="preserve">low confidence</w:t>
      </w:r>
      <w:r>
        <w:t xml:space="preserve">”</w:t>
      </w:r>
      <w:r>
        <w:t xml:space="preserve"> </w:t>
      </w:r>
      <w:r>
        <w:t xml:space="preserve">band on any flag — a single detector with honest low-confidence labeling is preferable to no AI-text-detection feature, and preferable to a rushed second integration that isn’t properly threshold-calibrated.</w:t>
      </w:r>
    </w:p>
    <w:p>
      <w:pPr>
        <w:numPr>
          <w:ilvl w:val="0"/>
          <w:numId w:val="1031"/>
        </w:numPr>
        <w:pStyle w:val="Compact"/>
      </w:pPr>
      <w:r>
        <w:rPr>
          <w:bCs/>
          <w:b/>
        </w:rPr>
        <w:t xml:space="preserve">Reviewer auto-match.</w:t>
      </w:r>
      <w:r>
        <w:t xml:space="preserve"> </w:t>
      </w:r>
      <w:r>
        <w:t xml:space="preserve">Already correctly out of scope per the original roadmap; listed here only to reconfirm it should not be added back in as a demo</w:t>
      </w:r>
      <w:r>
        <w:t xml:space="preserve"> </w:t>
      </w:r>
      <w:r>
        <w:t xml:space="preserve">“</w:t>
      </w:r>
      <w:r>
        <w:t xml:space="preserve">nice to have</w:t>
      </w:r>
      <w:r>
        <w:t xml:space="preserve">”</w:t>
      </w:r>
      <w:r>
        <w:t xml:space="preserve"> </w:t>
      </w:r>
      <w:r>
        <w:t xml:space="preserve">— manual assignment is the safe, sufficient scope (§1.3, §7.3 Day 16).</w:t>
      </w:r>
    </w:p>
    <w:p>
      <w:pPr>
        <w:numPr>
          <w:ilvl w:val="0"/>
          <w:numId w:val="1031"/>
        </w:numPr>
        <w:pStyle w:val="Compact"/>
      </w:pPr>
      <w:r>
        <w:rPr>
          <w:bCs/>
          <w:b/>
        </w:rPr>
        <w:t xml:space="preserve">Email notifications.</w:t>
      </w:r>
      <w:r>
        <w:t xml:space="preserve"> </w:t>
      </w:r>
      <w:r>
        <w:t xml:space="preserve">Already a stretch goal; cut first among the notification features if Phase 5 runs long, keeping in-app notifications only.</w:t>
      </w:r>
    </w:p>
    <w:p>
      <w:pPr>
        <w:numPr>
          <w:ilvl w:val="0"/>
          <w:numId w:val="1031"/>
        </w:numPr>
        <w:pStyle w:val="Compact"/>
      </w:pPr>
      <w:r>
        <w:rPr>
          <w:bCs/>
          <w:b/>
        </w:rPr>
        <w:t xml:space="preserve">IEEE format validation depth.</w:t>
      </w:r>
      <w:r>
        <w:t xml:space="preserve"> </w:t>
      </w:r>
      <w:r>
        <w:t xml:space="preserve">If time is extremely tight, the fallback is to validate structure/section-order (from GROBID’s TEI parse, cheap) and skip the PyMuPDF-based typographic measurement layer (margins/fonts/columns, §3.7) — a partial format check is still a meaningful demo feature; a missing one is not.</w:t>
      </w:r>
    </w:p>
    <w:p>
      <w:pPr>
        <w:pStyle w:val="FirstParagraph"/>
      </w:pPr>
      <w:r>
        <w:rPr>
          <w:bCs/>
          <w:b/>
        </w:rPr>
        <w:t xml:space="preserve">What must never be cut, because it is the product’s core loop:</w:t>
      </w:r>
      <w:r>
        <w:t xml:space="preserve"> </w:t>
      </w:r>
      <w:r>
        <w:t xml:space="preserve">submit PDF → grammar + citation + plagiarism checks run → gate evaluation → structured feedback with confidence/spans shown → hard-fail returns to researcher for revise-and-resubmit, soft-flag proceeds to a human reviewer who can see and act on the flags. Everything in this document exists in service of that loop being real and working end-to-end by Day 25.</w:t>
      </w:r>
    </w:p>
    <w:bookmarkEnd w:id="181"/>
    <w:bookmarkStart w:id="182" w:name="risks-to-the-timeline-updated"/>
    <w:p>
      <w:pPr>
        <w:pStyle w:val="Heading2"/>
      </w:pPr>
      <w:r>
        <w:t xml:space="preserve">7.5 Risks to the timeline (updated)</w:t>
      </w:r>
    </w:p>
    <w:p>
      <w:pPr>
        <w:numPr>
          <w:ilvl w:val="0"/>
          <w:numId w:val="1032"/>
        </w:numPr>
        <w:pStyle w:val="Compact"/>
      </w:pPr>
      <w:r>
        <w:rPr>
          <w:bCs/>
          <w:b/>
        </w:rPr>
        <w:t xml:space="preserve">GPU-dependent checks remain the highest-risk items</w:t>
      </w:r>
      <w:r>
        <w:t xml:space="preserve">, even after front-loading provisioning to Day 1 — model download speed and first-run CUDA debugging are still subject to real-world variance. The Day-1 change reduces the</w:t>
      </w:r>
      <w:r>
        <w:t xml:space="preserve"> </w:t>
      </w:r>
      <w:r>
        <w:rPr>
          <w:iCs/>
          <w:i/>
        </w:rPr>
        <w:t xml:space="preserve">blast radius</w:t>
      </w:r>
      <w:r>
        <w:t xml:space="preserve"> </w:t>
      </w:r>
      <w:r>
        <w:t xml:space="preserve">of this risk (more runway to absorb it) but does not eliminate the risk itself.</w:t>
      </w:r>
    </w:p>
    <w:p>
      <w:pPr>
        <w:numPr>
          <w:ilvl w:val="0"/>
          <w:numId w:val="1032"/>
        </w:numPr>
        <w:pStyle w:val="Compact"/>
      </w:pPr>
      <w:r>
        <w:rPr>
          <w:bCs/>
          <w:b/>
        </w:rPr>
        <w:t xml:space="preserve">Free-tier GPU session limits (Colab/Kaggle) can interrupt long-running development sessions</w:t>
      </w:r>
      <w:r>
        <w:t xml:space="preserve"> </w:t>
      </w:r>
      <w:r>
        <w:t xml:space="preserve">during Phase 1–3 dev work — budget for occasional session restarts; this is a known, accepted cost of using free tiers for early development, not a surprise.</w:t>
      </w:r>
    </w:p>
    <w:p>
      <w:pPr>
        <w:numPr>
          <w:ilvl w:val="0"/>
          <w:numId w:val="1032"/>
        </w:numPr>
        <w:pStyle w:val="Compact"/>
      </w:pPr>
      <w:r>
        <w:rPr>
          <w:bCs/>
          <w:b/>
        </w:rPr>
        <w:t xml:space="preserve">Binoculars/LLM co-residency on a single L4</w:t>
      </w:r>
      <w:r>
        <w:t xml:space="preserve"> </w:t>
      </w:r>
      <w:r>
        <w:t xml:space="preserve">is the concrete technical constraint behind the Day 14 decision checkpoint (§7.3) — resolve this explicitly rather than discovering it live during the demo.</w:t>
      </w:r>
    </w:p>
    <w:p>
      <w:pPr>
        <w:numPr>
          <w:ilvl w:val="0"/>
          <w:numId w:val="1032"/>
        </w:numPr>
        <w:pStyle w:val="Compact"/>
      </w:pPr>
      <w:r>
        <w:rPr>
          <w:bCs/>
          <w:b/>
        </w:rPr>
        <w:t xml:space="preserve">Reviewer auto-match ambition creeping back into Phase 4/5</w:t>
      </w:r>
      <w:r>
        <w:t xml:space="preserve"> </w:t>
      </w:r>
      <w:r>
        <w:t xml:space="preserve">remains a real risk purely because it’s a genuinely appealing feature to show off — the discipline required here is organizational, not technical, hence its explicit listing in the descope plan (§7.4) as something to actively resist re-adding.</w:t>
      </w:r>
    </w:p>
    <w:bookmarkEnd w:id="182"/>
    <w:bookmarkStart w:id="183" w:name="gpu-sizing-confirmation"/>
    <w:p>
      <w:pPr>
        <w:pStyle w:val="Heading2"/>
      </w:pPr>
      <w:r>
        <w:t xml:space="preserve">7.6 GPU sizing confirmation</w:t>
      </w:r>
    </w:p>
    <w:p>
      <w:pPr>
        <w:pStyle w:val="FirstParagraph"/>
      </w:pPr>
      <w:r>
        <w:t xml:space="preserve">An</w:t>
      </w:r>
      <w:r>
        <w:t xml:space="preserve"> </w:t>
      </w:r>
      <w:r>
        <w:rPr>
          <w:bCs/>
          <w:b/>
        </w:rPr>
        <w:t xml:space="preserve">L4 (24GB)</w:t>
      </w:r>
      <w:r>
        <w:t xml:space="preserve"> </w:t>
      </w:r>
      <w:r>
        <w:t xml:space="preserve">instance remains the right choice, confirmed by research (§3.6, §7.7): it comfortably runs a Q4-quantized 7–8B LLM (~7GB) with headroom, and separately runs Binoculars’ dual-model pair (~15–16GB FP16) — the constraint is running both</w:t>
      </w:r>
      <w:r>
        <w:t xml:space="preserve"> </w:t>
      </w:r>
      <w:r>
        <w:rPr>
          <w:iCs/>
          <w:i/>
        </w:rPr>
        <w:t xml:space="preserve">simultaneously</w:t>
      </w:r>
      <w:r>
        <w:t xml:space="preserve">, addressed by the sequential/time-sliced approach in §3.6 and the Day-14 checkpoint above, not by upsizing the GPU. A T4 (16GB) remains workable only for early free-tier development of individual services, not for integrated demo serving. Nothing larger than an L4 is needed or recommended — L40S/A100 would be pure cost with no corresponding benefit at this workload and demo-scale concurrency.</w:t>
      </w:r>
    </w:p>
    <w:bookmarkEnd w:id="183"/>
    <w:bookmarkStart w:id="184" w:name="Xf213be51eeb68c488cabed76f8a435b6080b68f"/>
    <w:p>
      <w:pPr>
        <w:pStyle w:val="Heading2"/>
      </w:pPr>
      <w:r>
        <w:t xml:space="preserve">7.7 GPU pricing guidance (for planning the paid-GPU days in Phase 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Provider</w:t>
            </w:r>
          </w:p>
        </w:tc>
        <w:tc>
          <w:tcPr/>
          <w:p>
            <w:pPr>
              <w:pStyle w:val="Compact"/>
              <w:jc w:val="left"/>
            </w:pPr>
            <w:r>
              <w:t xml:space="preserve">Tier</w:t>
            </w:r>
          </w:p>
        </w:tc>
        <w:tc>
          <w:tcPr/>
          <w:p>
            <w:pPr>
              <w:pStyle w:val="Compact"/>
              <w:jc w:val="left"/>
            </w:pPr>
            <w:r>
              <w:t xml:space="preserve">Rate / limit</w:t>
            </w:r>
          </w:p>
        </w:tc>
        <w:tc>
          <w:tcPr/>
          <w:p>
            <w:pPr>
              <w:pStyle w:val="Compact"/>
              <w:jc w:val="left"/>
            </w:pPr>
            <w:r>
              <w:t xml:space="preserve">Best use in this roadmap</w:t>
            </w:r>
          </w:p>
        </w:tc>
      </w:tr>
      <w:tr>
        <w:tc>
          <w:tcPr/>
          <w:p>
            <w:pPr>
              <w:pStyle w:val="Compact"/>
              <w:jc w:val="left"/>
            </w:pPr>
            <w:r>
              <w:t xml:space="preserve">RunPod</w:t>
            </w:r>
          </w:p>
        </w:tc>
        <w:tc>
          <w:tcPr/>
          <w:p>
            <w:pPr>
              <w:pStyle w:val="Compact"/>
              <w:jc w:val="left"/>
            </w:pPr>
            <w:r>
              <w:t xml:space="preserve">L4 24GB, Secure Cloud on-demand</w:t>
            </w:r>
          </w:p>
        </w:tc>
        <w:tc>
          <w:tcPr/>
          <w:p>
            <w:pPr>
              <w:pStyle w:val="Compact"/>
              <w:jc w:val="left"/>
            </w:pPr>
            <w:r>
              <w:t xml:space="preserve">~$0.39/hr</w:t>
            </w:r>
          </w:p>
        </w:tc>
        <w:tc>
          <w:tcPr/>
          <w:p>
            <w:pPr>
              <w:pStyle w:val="Compact"/>
              <w:jc w:val="left"/>
            </w:pPr>
            <w:r>
              <w:t xml:space="preserve">Days 20–25 integration + demo (§7.3)</w:t>
            </w:r>
          </w:p>
        </w:tc>
      </w:tr>
      <w:tr>
        <w:tc>
          <w:tcPr/>
          <w:p>
            <w:pPr>
              <w:pStyle w:val="Compact"/>
              <w:jc w:val="left"/>
            </w:pPr>
            <w:r>
              <w:t xml:space="preserve">RunPod</w:t>
            </w:r>
          </w:p>
        </w:tc>
        <w:tc>
          <w:tcPr/>
          <w:p>
            <w:pPr>
              <w:pStyle w:val="Compact"/>
              <w:jc w:val="left"/>
            </w:pPr>
            <w:r>
              <w:t xml:space="preserve">Community Cloud, 24GB-class serverless</w:t>
            </w:r>
          </w:p>
        </w:tc>
        <w:tc>
          <w:tcPr/>
          <w:p>
            <w:pPr>
              <w:pStyle w:val="Compact"/>
              <w:jc w:val="left"/>
            </w:pPr>
            <w:r>
              <w:t xml:space="preserve">~$0.69/hr</w:t>
            </w:r>
          </w:p>
        </w:tc>
        <w:tc>
          <w:tcPr/>
          <w:p>
            <w:pPr>
              <w:pStyle w:val="Compact"/>
              <w:jc w:val="left"/>
            </w:pPr>
            <w:r>
              <w:t xml:space="preserve">Alternative if Secure Cloud L4 unavailable</w:t>
            </w:r>
          </w:p>
        </w:tc>
      </w:tr>
      <w:tr>
        <w:tc>
          <w:tcPr/>
          <w:p>
            <w:pPr>
              <w:pStyle w:val="Compact"/>
              <w:jc w:val="left"/>
            </w:pPr>
            <w:r>
              <w:t xml:space="preserve">Google Colab</w:t>
            </w:r>
          </w:p>
        </w:tc>
        <w:tc>
          <w:tcPr/>
          <w:p>
            <w:pPr>
              <w:pStyle w:val="Compact"/>
              <w:jc w:val="left"/>
            </w:pPr>
            <w:r>
              <w:t xml:space="preserve">Free tier</w:t>
            </w:r>
          </w:p>
        </w:tc>
        <w:tc>
          <w:tcPr/>
          <w:p>
            <w:pPr>
              <w:pStyle w:val="Compact"/>
              <w:jc w:val="left"/>
            </w:pPr>
            <w:r>
              <w:t xml:space="preserve">Dynamic/non-guaranteed T4, 12-hr session cap</w:t>
            </w:r>
          </w:p>
        </w:tc>
        <w:tc>
          <w:tcPr/>
          <w:p>
            <w:pPr>
              <w:pStyle w:val="Compact"/>
              <w:jc w:val="left"/>
            </w:pPr>
            <w:r>
              <w:t xml:space="preserve">Days 1–9 early dev only — not for anything demo-critical</w:t>
            </w:r>
          </w:p>
        </w:tc>
      </w:tr>
      <w:tr>
        <w:tc>
          <w:tcPr/>
          <w:p>
            <w:pPr>
              <w:pStyle w:val="Compact"/>
              <w:jc w:val="left"/>
            </w:pPr>
            <w:r>
              <w:t xml:space="preserve">Kaggle</w:t>
            </w:r>
          </w:p>
        </w:tc>
        <w:tc>
          <w:tcPr/>
          <w:p>
            <w:pPr>
              <w:pStyle w:val="Compact"/>
              <w:jc w:val="left"/>
            </w:pPr>
            <w:r>
              <w:t xml:space="preserve">Free tier</w:t>
            </w:r>
          </w:p>
        </w:tc>
        <w:tc>
          <w:tcPr/>
          <w:p>
            <w:pPr>
              <w:pStyle w:val="Compact"/>
              <w:jc w:val="left"/>
            </w:pPr>
            <w:r>
              <w:t xml:space="preserve">30 GPU-hrs/week, T4 (16GB)</w:t>
            </w:r>
          </w:p>
        </w:tc>
        <w:tc>
          <w:tcPr/>
          <w:p>
            <w:pPr>
              <w:pStyle w:val="Compact"/>
              <w:jc w:val="left"/>
            </w:pPr>
            <w:r>
              <w:t xml:space="preserve">Days 1–9 early dev, especially corpus embedding (§3.4)</w:t>
            </w:r>
          </w:p>
        </w:tc>
      </w:tr>
      <w:tr>
        <w:tc>
          <w:tcPr/>
          <w:p>
            <w:pPr>
              <w:pStyle w:val="Compact"/>
              <w:jc w:val="left"/>
            </w:pPr>
            <w:r>
              <w:t xml:space="preserve">Lightning AI</w:t>
            </w:r>
          </w:p>
        </w:tc>
        <w:tc>
          <w:tcPr/>
          <w:p>
            <w:pPr>
              <w:pStyle w:val="Compact"/>
              <w:jc w:val="left"/>
            </w:pPr>
            <w:r>
              <w:t xml:space="preserve">Free tier</w:t>
            </w:r>
          </w:p>
        </w:tc>
        <w:tc>
          <w:tcPr/>
          <w:p>
            <w:pPr>
              <w:pStyle w:val="Compact"/>
              <w:jc w:val="left"/>
            </w:pPr>
            <w:r>
              <w:t xml:space="preserve">~15 credits/month (≈22 T4-hrs, less on bigger GPUs); Studios restart every 4 hrs</w:t>
            </w:r>
          </w:p>
        </w:tc>
        <w:tc>
          <w:tcPr/>
          <w:p>
            <w:pPr>
              <w:pStyle w:val="Compact"/>
              <w:jc w:val="left"/>
            </w:pPr>
            <w:r>
              <w:t xml:space="preserve">Days 1–9 early dev; persistent storage is a genuine advantage over Colab/Kaggle for iterative work</w:t>
            </w:r>
          </w:p>
        </w:tc>
      </w:tr>
    </w:tbl>
    <w:p>
      <w:pPr>
        <w:pStyle w:val="BodyText"/>
      </w:pPr>
      <w:r>
        <w:rPr>
          <w:bCs/>
          <w:b/>
        </w:rPr>
        <w:t xml:space="preserve">Realistic total paid-GPU cost for Phase 6 (Days 20–25):</w:t>
      </w:r>
      <w:r>
        <w:t xml:space="preserve"> </w:t>
      </w:r>
      <w:r>
        <w:t xml:space="preserve">at RunPod’s ~$0.39–0.69/hr L4 rate, even a generous 40–60 hours of paid GPU time across final integration, rehearsals, and the demo itself comes to roughly</w:t>
      </w:r>
      <w:r>
        <w:t xml:space="preserve"> </w:t>
      </w:r>
      <w:r>
        <w:rPr>
          <w:bCs/>
          <w:b/>
        </w:rPr>
        <w:t xml:space="preserve">$16–40 total</w:t>
      </w:r>
      <w:r>
        <w:t xml:space="preserve">. Budget</w:t>
      </w:r>
      <w:r>
        <w:t xml:space="preserve"> </w:t>
      </w:r>
      <w:r>
        <w:rPr>
          <w:bCs/>
          <w:b/>
        </w:rPr>
        <w:t xml:space="preserve">$50</w:t>
      </w:r>
      <w:r>
        <w:t xml:space="preserve"> </w:t>
      </w:r>
      <w:r>
        <w:t xml:space="preserve">to be safe. The financial cost of getting the GPU phase right is negligible — the risk in this project is entirely about setup time and integration reliability, not money, which is exactly why §7.2’s Day-1 front-loading change matters more than any pricing optimization.</w:t>
      </w:r>
    </w:p>
    <w:p>
      <w:r>
        <w:br w:type="page"/>
      </w:r>
    </w:p>
    <w:bookmarkEnd w:id="184"/>
    <w:bookmarkEnd w:id="185"/>
    <w:bookmarkStart w:id="193" w:name="demo-day-checklist"/>
    <w:p>
      <w:pPr>
        <w:pStyle w:val="Heading1"/>
      </w:pPr>
      <w:r>
        <w:t xml:space="preserve">8. Demo-Day Checklist</w:t>
      </w:r>
    </w:p>
    <w:bookmarkStart w:id="186" w:name="core-loop-must-work-no-exceptions"/>
    <w:p>
      <w:pPr>
        <w:pStyle w:val="Heading2"/>
      </w:pPr>
      <w:r>
        <w:t xml:space="preserve">8.1 Core loop — must work, no exceptions</w:t>
      </w:r>
    </w:p>
    <w:p>
      <w:pPr>
        <w:numPr>
          <w:ilvl w:val="0"/>
          <w:numId w:val="1033"/>
        </w:numPr>
        <w:pStyle w:val="Compact"/>
      </w:pPr>
      <w:r>
        <w:t xml:space="preserve">☐ A researcher account can sign up, verify email, and log in.</w:t>
      </w:r>
    </w:p>
    <w:p>
      <w:pPr>
        <w:numPr>
          <w:ilvl w:val="0"/>
          <w:numId w:val="1033"/>
        </w:numPr>
        <w:pStyle w:val="Compact"/>
      </w:pPr>
      <w:r>
        <w:t xml:space="preserve">☐ A researcher can browse conferences and view a conference’s detail page with its (qualitative) gate-rule summary.</w:t>
      </w:r>
    </w:p>
    <w:p>
      <w:pPr>
        <w:numPr>
          <w:ilvl w:val="0"/>
          <w:numId w:val="1033"/>
        </w:numPr>
        <w:pStyle w:val="Compact"/>
      </w:pPr>
      <w:r>
        <w:t xml:space="preserve">☐ A researcher can upload a PDF and see the submission enter</w:t>
      </w:r>
      <w:r>
        <w:t xml:space="preserve"> </w:t>
      </w:r>
      <w:r>
        <w:rPr>
          <w:rStyle w:val="VerbatimChar"/>
        </w:rPr>
        <w:t xml:space="preserve">processing</w:t>
      </w:r>
      <w:r>
        <w:t xml:space="preserve"> </w:t>
      </w:r>
      <w:r>
        <w:t xml:space="preserve">status immediately.</w:t>
      </w:r>
    </w:p>
    <w:p>
      <w:pPr>
        <w:numPr>
          <w:ilvl w:val="0"/>
          <w:numId w:val="1033"/>
        </w:numPr>
        <w:pStyle w:val="Compact"/>
      </w:pPr>
      <w:r>
        <w:t xml:space="preserve">☐ All configured AI checks (grammar, citation, plagiarism, AI-text, table/figure, format) complete and write to</w:t>
      </w:r>
      <w:r>
        <w:t xml:space="preserve"> </w:t>
      </w:r>
      <w:r>
        <w:rPr>
          <w:rStyle w:val="VerbatimChar"/>
        </w:rPr>
        <w:t xml:space="preserve">ai_reports</w:t>
      </w:r>
      <w:r>
        <w:t xml:space="preserve"> </w:t>
      </w:r>
      <w:r>
        <w:t xml:space="preserve">for a real, non-trivial demo PDF — not just a trivial test file.</w:t>
      </w:r>
    </w:p>
    <w:p>
      <w:pPr>
        <w:numPr>
          <w:ilvl w:val="0"/>
          <w:numId w:val="1033"/>
        </w:numPr>
        <w:pStyle w:val="Compact"/>
      </w:pPr>
      <w:r>
        <w:t xml:space="preserve">☐ The AI Feedback Report page renders every check’s result with the correct pass/fail/flag treatment, including confidence and matched spans for plagiarism and AI-text flags (§1.7, §6.7) — verify no bare</w:t>
      </w:r>
      <w:r>
        <w:t xml:space="preserve"> </w:t>
      </w:r>
      <w:r>
        <w:t xml:space="preserve">“</w:t>
      </w:r>
      <w:r>
        <w:t xml:space="preserve">AI-generated: yes/no</w:t>
      </w:r>
      <w:r>
        <w:t xml:space="preserve">”</w:t>
      </w:r>
      <w:r>
        <w:t xml:space="preserve"> </w:t>
      </w:r>
      <w:r>
        <w:t xml:space="preserve">appears anywhere.</w:t>
      </w:r>
    </w:p>
    <w:p>
      <w:pPr>
        <w:numPr>
          <w:ilvl w:val="0"/>
          <w:numId w:val="1033"/>
        </w:numPr>
        <w:pStyle w:val="Compact"/>
      </w:pPr>
      <w:r>
        <w:t xml:space="preserve">☐ A submission that fails a hard gate is auto-rejected, shows clear reasoning to the researcher, and can be revised and resubmitted without creating a new submission record (§1.2, §5.3).</w:t>
      </w:r>
    </w:p>
    <w:p>
      <w:pPr>
        <w:numPr>
          <w:ilvl w:val="0"/>
          <w:numId w:val="1033"/>
        </w:numPr>
        <w:pStyle w:val="Compact"/>
      </w:pPr>
      <w:r>
        <w:t xml:space="preserve">☐ A submission that passes (with or without soft flags) is queued and appears in an organizer’s Submission Queue Dashboard.</w:t>
      </w:r>
    </w:p>
    <w:p>
      <w:pPr>
        <w:numPr>
          <w:ilvl w:val="0"/>
          <w:numId w:val="1033"/>
        </w:numPr>
        <w:pStyle w:val="Compact"/>
      </w:pPr>
      <w:r>
        <w:t xml:space="preserve">☐ An organizer can manually assign a reviewer.</w:t>
      </w:r>
    </w:p>
    <w:p>
      <w:pPr>
        <w:numPr>
          <w:ilvl w:val="0"/>
          <w:numId w:val="1033"/>
        </w:numPr>
        <w:pStyle w:val="Compact"/>
      </w:pPr>
      <w:r>
        <w:t xml:space="preserve">☐ A reviewer can see the assigned paper alongside its AI report and submit a review.</w:t>
      </w:r>
    </w:p>
    <w:p>
      <w:pPr>
        <w:numPr>
          <w:ilvl w:val="0"/>
          <w:numId w:val="1033"/>
        </w:numPr>
        <w:pStyle w:val="Compact"/>
      </w:pPr>
      <w:r>
        <w:t xml:space="preserve">☐ An organizer can record a final decision (accept/reject/revise), and the researcher receives a notification.</w:t>
      </w:r>
    </w:p>
    <w:p>
      <w:pPr>
        <w:numPr>
          <w:ilvl w:val="0"/>
          <w:numId w:val="1033"/>
        </w:numPr>
        <w:pStyle w:val="Compact"/>
      </w:pPr>
      <w:r>
        <w:t xml:space="preserve">☐ On rejection, the researcher sees the full reviewer comments for that conference (§1.2 item 9) — and does</w:t>
      </w:r>
      <w:r>
        <w:t xml:space="preserve"> </w:t>
      </w:r>
      <w:r>
        <w:rPr>
          <w:bCs/>
          <w:b/>
        </w:rPr>
        <w:t xml:space="preserve">not</w:t>
      </w:r>
      <w:r>
        <w:t xml:space="preserve"> </w:t>
      </w:r>
      <w:r>
        <w:t xml:space="preserve">see anything resembling the cross-conference summary in this context.</w:t>
      </w:r>
    </w:p>
    <w:bookmarkEnd w:id="186"/>
    <w:bookmarkStart w:id="187" w:name="X4f9668b819ca9abe23c8e93457d6470d5030e49"/>
    <w:p>
      <w:pPr>
        <w:pStyle w:val="Heading2"/>
      </w:pPr>
      <w:r>
        <w:t xml:space="preserve">8.2 Product-level constraints — verify, don’t assume</w:t>
      </w:r>
    </w:p>
    <w:p>
      <w:pPr>
        <w:numPr>
          <w:ilvl w:val="0"/>
          <w:numId w:val="1034"/>
        </w:numPr>
        <w:pStyle w:val="Compact"/>
      </w:pPr>
      <w:r>
        <w:t xml:space="preserve">☐ The Gate Rule Configuration UI cannot set</w:t>
      </w:r>
      <w:r>
        <w:t xml:space="preserve"> </w:t>
      </w:r>
      <w:r>
        <w:rPr>
          <w:rStyle w:val="VerbatimChar"/>
        </w:rPr>
        <w:t xml:space="preserve">ai_content_pct</w:t>
      </w:r>
      <w:r>
        <w:t xml:space="preserve"> </w:t>
      </w:r>
      <w:r>
        <w:t xml:space="preserve">or</w:t>
      </w:r>
      <w:r>
        <w:t xml:space="preserve"> </w:t>
      </w:r>
      <w:r>
        <w:rPr>
          <w:rStyle w:val="VerbatimChar"/>
        </w:rPr>
        <w:t xml:space="preserve">plagiarism_pct</w:t>
      </w:r>
      <w:r>
        <w:t xml:space="preserve"> </w:t>
      </w:r>
      <w:r>
        <w:t xml:space="preserve">as a hard gate — confirm both the UI toggle is disabled</w:t>
      </w:r>
      <w:r>
        <w:t xml:space="preserve"> </w:t>
      </w:r>
      <w:r>
        <w:rPr>
          <w:iCs/>
          <w:i/>
        </w:rPr>
        <w:t xml:space="preserve">and</w:t>
      </w:r>
      <w:r>
        <w:t xml:space="preserve"> </w:t>
      </w:r>
      <w:r>
        <w:t xml:space="preserve">a direct API call attempting this returns</w:t>
      </w:r>
      <w:r>
        <w:t xml:space="preserve"> </w:t>
      </w:r>
      <w:r>
        <w:rPr>
          <w:rStyle w:val="VerbatimChar"/>
        </w:rPr>
        <w:t xml:space="preserve">422</w:t>
      </w:r>
      <w:r>
        <w:t xml:space="preserve"> </w:t>
      </w:r>
      <w:r>
        <w:t xml:space="preserve">(§4.3, §5.2, §6.4.2). Test both layers; a UI-only restriction is not sufficient.</w:t>
      </w:r>
    </w:p>
    <w:p>
      <w:pPr>
        <w:numPr>
          <w:ilvl w:val="0"/>
          <w:numId w:val="1034"/>
        </w:numPr>
        <w:pStyle w:val="Compact"/>
      </w:pPr>
      <w:r>
        <w:t xml:space="preserve">☐ The cross-conference summary endpoint is genuinely inaccessible to the submitting researcher (test with a researcher’s own JWT, not just by checking the UI doesn’t show a link) — §1.5, §5.6.</w:t>
      </w:r>
    </w:p>
    <w:p>
      <w:pPr>
        <w:numPr>
          <w:ilvl w:val="0"/>
          <w:numId w:val="1034"/>
        </w:numPr>
        <w:pStyle w:val="Compact"/>
      </w:pPr>
      <w:r>
        <w:t xml:space="preserve">☐ Every AI-text and plagiarism flag shown anywhere in the UI includes a confidence indicator, not a bare boolean.</w:t>
      </w:r>
    </w:p>
    <w:p>
      <w:pPr>
        <w:numPr>
          <w:ilvl w:val="0"/>
          <w:numId w:val="1034"/>
        </w:numPr>
        <w:pStyle w:val="Compact"/>
      </w:pPr>
      <w:r>
        <w:t xml:space="preserve">☐ No page anywhere in the product treats an AI-content or plagiarism flag as an automatic rejection — trace at least one soft-flagged submission all the way through to a human decision to confirm this live, not just in code review.</w:t>
      </w:r>
    </w:p>
    <w:bookmarkEnd w:id="187"/>
    <w:bookmarkStart w:id="188" w:name="ai-pipeline-health"/>
    <w:p>
      <w:pPr>
        <w:pStyle w:val="Heading2"/>
      </w:pPr>
      <w:r>
        <w:t xml:space="preserve">8.3 AI pipeline health</w:t>
      </w:r>
    </w:p>
    <w:p>
      <w:pPr>
        <w:numPr>
          <w:ilvl w:val="0"/>
          <w:numId w:val="1035"/>
        </w:numPr>
        <w:pStyle w:val="Compact"/>
      </w:pPr>
      <w:r>
        <w:t xml:space="preserve">☐ LanguageTool, GROBID, the embedding+FAISS service, the Binoculars+Fast-DetectGPT service, and Ollama are all reachable and returning results within expected latency on the demo GPU instance (§2.2.4, §3).</w:t>
      </w:r>
    </w:p>
    <w:p>
      <w:pPr>
        <w:numPr>
          <w:ilvl w:val="0"/>
          <w:numId w:val="1035"/>
        </w:numPr>
        <w:pStyle w:val="Compact"/>
      </w:pPr>
      <w:r>
        <w:t xml:space="preserve">☐ The reference corpus (§3.4) is loaded and returning plausible similarity matches on a known-similar test pair and a known-dissimilar test pair — sanity-check thresholds one more time on the actual demo GPU, not just on the dev machine, since embedding computation can have minor numerical differences across hardware.</w:t>
      </w:r>
    </w:p>
    <w:p>
      <w:pPr>
        <w:numPr>
          <w:ilvl w:val="0"/>
          <w:numId w:val="1035"/>
        </w:numPr>
        <w:pStyle w:val="Compact"/>
      </w:pPr>
      <w:r>
        <w:t xml:space="preserve">☐ If Binoculars and the Ollama LLM are being run sequentially/time-sliced per the §7.3 Day-14 decision, confirm the demo script/flow doesn’t require both to respond within the same request window.</w:t>
      </w:r>
    </w:p>
    <w:p>
      <w:pPr>
        <w:numPr>
          <w:ilvl w:val="0"/>
          <w:numId w:val="1035"/>
        </w:numPr>
        <w:pStyle w:val="Compact"/>
      </w:pPr>
      <w:r>
        <w:t xml:space="preserve">☐ The Groq (or other hosted-API) fallback for the LLM-based logical-consistency check, if in use, has a valid API key and has been exercised at least once in the 24 hours before the demo.</w:t>
      </w:r>
    </w:p>
    <w:p>
      <w:pPr>
        <w:numPr>
          <w:ilvl w:val="0"/>
          <w:numId w:val="1035"/>
        </w:numPr>
        <w:pStyle w:val="Compact"/>
      </w:pPr>
      <w:r>
        <w:t xml:space="preserve">☐ GROBID and the embedding service have not silently fallen back to CPU due to a GPU driver issue on the demo instance (check</w:t>
      </w:r>
      <w:r>
        <w:t xml:space="preserve"> </w:t>
      </w:r>
      <w:r>
        <w:rPr>
          <w:rStyle w:val="VerbatimChar"/>
        </w:rPr>
        <w:t xml:space="preserve">nvidia-smi</w:t>
      </w:r>
      <w:r>
        <w:t xml:space="preserve"> </w:t>
      </w:r>
      <w:r>
        <w:t xml:space="preserve">shows expected process residency) — this would present as unusually slow responses rather than an outright error, per the pitfall noted in §3.5/§3.6.</w:t>
      </w:r>
    </w:p>
    <w:bookmarkEnd w:id="188"/>
    <w:bookmarkStart w:id="189" w:name="data-environment"/>
    <w:p>
      <w:pPr>
        <w:pStyle w:val="Heading2"/>
      </w:pPr>
      <w:r>
        <w:t xml:space="preserve">8.4 Data &amp; environment</w:t>
      </w:r>
    </w:p>
    <w:p>
      <w:pPr>
        <w:numPr>
          <w:ilvl w:val="0"/>
          <w:numId w:val="1036"/>
        </w:numPr>
        <w:pStyle w:val="Compact"/>
      </w:pPr>
      <w:r>
        <w:t xml:space="preserve">☐ Demo dataset loaded: a realistic set of sample papers (including at least one that should clearly pass, one that should clearly soft-flag, and one that should clearly hard-fail, so the demo can show all three paths), a seeded demo conference with gate rules configured, and sample reviewer/organizer accounts.</w:t>
      </w:r>
    </w:p>
    <w:p>
      <w:pPr>
        <w:numPr>
          <w:ilvl w:val="0"/>
          <w:numId w:val="1036"/>
        </w:numPr>
        <w:pStyle w:val="Compact"/>
      </w:pPr>
      <w:r>
        <w:t xml:space="preserve">☐ Final AI serving has been moved to the paid RunPod L4 instance at least one full day before the demo (§7.3 Day 24), not on the day itself.</w:t>
      </w:r>
    </w:p>
    <w:p>
      <w:pPr>
        <w:numPr>
          <w:ilvl w:val="0"/>
          <w:numId w:val="1036"/>
        </w:numPr>
        <w:pStyle w:val="Compact"/>
      </w:pPr>
      <w:r>
        <w:t xml:space="preserve">☐ Environment variables/secrets (API keys for Semantic Scholar, CORE, Groq if used, Supabase/Neon connection strings, object storage credentials) are correctly set on the deployed instances, not just locally.</w:t>
      </w:r>
    </w:p>
    <w:p>
      <w:pPr>
        <w:numPr>
          <w:ilvl w:val="0"/>
          <w:numId w:val="1036"/>
        </w:numPr>
        <w:pStyle w:val="Compact"/>
      </w:pPr>
      <w:r>
        <w:t xml:space="preserve">☐ A rollback plan exists: if the paid GPU instance has an issue on demo day, know in advance how quickly a fresh RunPod L4 can be provisioned and the Ollama/Binoculars services brought back up from the persisted volume (§7.7’s persistent-volume recommendation).</w:t>
      </w:r>
    </w:p>
    <w:bookmarkEnd w:id="189"/>
    <w:bookmarkStart w:id="190" w:name="ui-polish-phase-6-7.3-day-23"/>
    <w:p>
      <w:pPr>
        <w:pStyle w:val="Heading2"/>
      </w:pPr>
      <w:r>
        <w:t xml:space="preserve">8.5 UI polish (Phase 6, §7.3 Day 23)</w:t>
      </w:r>
    </w:p>
    <w:p>
      <w:pPr>
        <w:numPr>
          <w:ilvl w:val="0"/>
          <w:numId w:val="1037"/>
        </w:numPr>
        <w:pStyle w:val="Compact"/>
      </w:pPr>
      <w:r>
        <w:t xml:space="preserve">☐ Loading, empty, and error states are implemented for every page listed in §6, not just the happy path — this is the most common place a live demo visibly breaks.</w:t>
      </w:r>
    </w:p>
    <w:p>
      <w:pPr>
        <w:numPr>
          <w:ilvl w:val="0"/>
          <w:numId w:val="1037"/>
        </w:numPr>
        <w:pStyle w:val="Compact"/>
      </w:pPr>
      <w:r>
        <w:t xml:space="preserve">☐ The AI Feedback Report page’s partial-results/incremental-reveal behavior (§6.3.5) has been tested, not just designed — confirm it doesn’t show a jarring layout shift as checks complete.</w:t>
      </w:r>
    </w:p>
    <w:p>
      <w:pPr>
        <w:numPr>
          <w:ilvl w:val="0"/>
          <w:numId w:val="1037"/>
        </w:numPr>
        <w:pStyle w:val="Compact"/>
      </w:pPr>
      <w:r>
        <w:t xml:space="preserve">☐ Hard-gate rejection has a visually distinct treatment from a soft-flag pass, confirmed by someone who hasn’t been staring at the codebase for 25 days (a fresh pair of eyes catches ambiguous UI faster than the builder can).</w:t>
      </w:r>
    </w:p>
    <w:bookmarkEnd w:id="190"/>
    <w:bookmarkStart w:id="191" w:name="submission-materials"/>
    <w:p>
      <w:pPr>
        <w:pStyle w:val="Heading2"/>
      </w:pPr>
      <w:r>
        <w:t xml:space="preserve">8.6 Submission materials</w:t>
      </w:r>
    </w:p>
    <w:p>
      <w:pPr>
        <w:numPr>
          <w:ilvl w:val="0"/>
          <w:numId w:val="1038"/>
        </w:numPr>
        <w:pStyle w:val="Compact"/>
      </w:pPr>
      <w:r>
        <w:t xml:space="preserve">☐ This document (or a demo-oriented excerpt of it) prepared as a leave-behind for reviewers of the prototype submission.</w:t>
      </w:r>
    </w:p>
    <w:p>
      <w:pPr>
        <w:numPr>
          <w:ilvl w:val="0"/>
          <w:numId w:val="1038"/>
        </w:numPr>
        <w:pStyle w:val="Compact"/>
      </w:pPr>
      <w:r>
        <w:t xml:space="preserve">☐ A short walkthrough script covering: the core loop (§8.1), the product-level safety constraints (§8.2) as a differentiator worth calling out explicitly, and one sentence on what’s deliberately deferred and why (AI-image detection, full publisher-format library, auto-match, email — each has a one-line justification already written in §1 and §7.4; reuse it rather than improvising under demo pressure).</w:t>
      </w:r>
    </w:p>
    <w:p>
      <w:pPr>
        <w:numPr>
          <w:ilvl w:val="0"/>
          <w:numId w:val="1038"/>
        </w:numPr>
        <w:pStyle w:val="Compact"/>
      </w:pPr>
      <w:r>
        <w:t xml:space="preserve">☐ A fallback plan for the live demo itself: if live AI processing is slow or flaky during the actual presentation, have a pre-processed example ready to show the AI Feedback Report page’s full behavior without waiting on a live pipeline run, and be upfront that this is what’s happening rather than pretending it’s live.</w:t>
      </w:r>
    </w:p>
    <w:bookmarkEnd w:id="191"/>
    <w:bookmarkStart w:id="192" w:name="X92b7f405c09e1f0c539e02d46b540ce87ace42e"/>
    <w:p>
      <w:pPr>
        <w:pStyle w:val="Heading2"/>
      </w:pPr>
      <w:r>
        <w:t xml:space="preserve">8.7 Post-demo — not blocking, but worth noting before submission</w:t>
      </w:r>
    </w:p>
    <w:p>
      <w:pPr>
        <w:numPr>
          <w:ilvl w:val="0"/>
          <w:numId w:val="1039"/>
        </w:numPr>
        <w:pStyle w:val="Compact"/>
      </w:pPr>
      <w:r>
        <w:t xml:space="preserve">☐ Confirm which items from §1.16 (open questions) and the risk register (§1.14) are explicitly called out as</w:t>
      </w:r>
      <w:r>
        <w:t xml:space="preserve"> </w:t>
      </w:r>
      <w:r>
        <w:rPr>
          <w:bCs/>
          <w:b/>
        </w:rPr>
        <w:t xml:space="preserve">not</w:t>
      </w:r>
      <w:r>
        <w:t xml:space="preserve"> </w:t>
      </w:r>
      <w:r>
        <w:t xml:space="preserve">resolved by this prototype, so reviewers of the submission understand the scope boundary rather than assuming silence means</w:t>
      </w:r>
      <w:r>
        <w:t xml:space="preserve"> </w:t>
      </w:r>
      <w:r>
        <w:t xml:space="preserve">“</w:t>
      </w:r>
      <w:r>
        <w:t xml:space="preserve">solved.</w:t>
      </w:r>
      <w:r>
        <w:t xml:space="preserve">”</w:t>
      </w:r>
    </w:p>
    <w:p>
      <w:pPr>
        <w:numPr>
          <w:ilvl w:val="0"/>
          <w:numId w:val="1039"/>
        </w:numPr>
        <w:pStyle w:val="Compact"/>
      </w:pPr>
      <w:r>
        <w:t xml:space="preserve">☐ Note the $16–40 actual GPU spend (§7.7) if cost transparency is useful context for whoever is evaluating the prototype’s viability.</w:t>
      </w:r>
    </w:p>
    <w:bookmarkEnd w:id="192"/>
    <w:bookmarkEnd w:id="1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imes New Roman" w:cstheme="minorBidi" w:eastAsiaTheme="minorHAnsi" w:hAnsi="Times New Roman" w:hAnsiTheme="minorHAnsi"/>
        <w:sz w:val="24"/>
        <w:szCs w:val="24"/>
        <w:lang w:bidi="ar-SA" w:eastAsia="en-US" w:val="en-US"/>
      </w:rPr>
    </w:rPrDefault>
    <w:pPrDefault>
      <w:pPr>
        <w:spacing w:after="200"/>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jc w:val="left"/>
    </w:pPr>
    <w:rPr/>
  </w:style>
  <w:style w:styleId="Heading1" w:type="paragraph">
    <w:name w:val="Heading 1"/>
    <w:basedOn w:val="Normal"/>
    <w:next w:val="BodyText"/>
    <w:uiPriority w:val="9"/>
    <w:qFormat/>
    <w:pPr>
      <w:keepNext/>
      <w:keepLines/>
      <w:spacing w:after="0" w:before="480"/>
      <w:outlineLvl w:val="0"/>
      <w:jc w:val="left"/>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jc w:val="left"/>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jc w:val="left"/>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jc w:val="left"/>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jc w:val="left"/>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jc w:val="left"/>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jc w:val="left"/>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jc w:val="left"/>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jc w:val="left"/>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jc w:val="left"/>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jc w:val="left"/>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41" Target="media/rId41.png" /><Relationship Type="http://schemas.openxmlformats.org/officeDocument/2006/relationships/image" Id="rId73" Target="media/rId73.png" /><Relationship Type="http://schemas.openxmlformats.org/officeDocument/2006/relationships/image" Id="rId136" Target="media/rId136.png" /><Relationship Type="http://schemas.openxmlformats.org/officeDocument/2006/relationships/hyperlink" Id="rId20" Target="https://www.gudsky.org" TargetMode="External" /></Relationships>
</file>

<file path=word/_rels/footnotes.xml.rels><?xml version="1.0" encoding="UTF-8"?><Relationships xmlns="http://schemas.openxmlformats.org/package/2006/relationships"><Relationship Type="http://schemas.openxmlformats.org/officeDocument/2006/relationships/hyperlink" Id="rId20" Target="https://www.gudsk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Gudsky Research Management Tool (GRMT)</dc:title>
  <dc:creator/>
  <cp:keywords/>
  <dcterms:created xsi:type="dcterms:W3CDTF">2026-08-13T09:40:43Z</dcterms:created>
  <dcterms:modified xsi:type="dcterms:W3CDTF">2026-08-13T09:40:43Z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Final Consolidated Technical Build Document — Product Spec, Architecture, AI Stack, Schema, API, Frontend &amp; Roadmap</vt:lpwstr>
  </property>
</Properties>
</file>