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26"/>
          <w:szCs w:val="26"/>
        </w:rPr>
        <w:t xml:space="preserve">BMS INSTITUTE OF TECHNOLOGY &amp; MANAGEMENT</w:t>
      </w:r>
    </w:p>
    <w:p>
      <w:pPr>
        <w:spacing w:after="60"/>
        <w:jc w:val="center"/>
      </w:pPr>
      <w:r>
        <w:rPr>
          <w:rFonts w:ascii="Times New Roman" w:cs="Times New Roman" w:eastAsia="Times New Roman" w:hAnsi="Times New Roman"/>
          <w:b w:val="false"/>
          <w:bCs w:val="false"/>
          <w:sz w:val="20"/>
          <w:szCs w:val="20"/>
        </w:rPr>
        <w:t xml:space="preserve">(An Autonomous Institution, Affiliated to VTU, Belagavi)</w:t>
      </w:r>
    </w:p>
    <w:p>
      <w:pPr>
        <w:spacing w:after="60"/>
        <w:jc w:val="center"/>
      </w:pPr>
      <w:r>
        <w:rPr>
          <w:rFonts w:ascii="Times New Roman" w:cs="Times New Roman" w:eastAsia="Times New Roman" w:hAnsi="Times New Roman"/>
          <w:b w:val="false"/>
          <w:bCs w:val="false"/>
          <w:sz w:val="20"/>
          <w:szCs w:val="20"/>
        </w:rPr>
        <w:t xml:space="preserve">Avalahalli, Doddaballapura Main Road, Yelahanka, Bangalore-560064</w:t>
      </w:r>
    </w:p>
    <w:p>
      <w:pPr>
        <w:spacing w:after="60"/>
        <w:jc w:val="center"/>
      </w:pPr>
      <w:r>
        <w:rPr>
          <w:rFonts w:ascii="Times New Roman" w:cs="Times New Roman" w:eastAsia="Times New Roman" w:hAnsi="Times New Roman"/>
          <w:b/>
          <w:bCs/>
          <w:sz w:val="22"/>
          <w:szCs w:val="22"/>
        </w:rPr>
        <w:t xml:space="preserve">Department of MCA</w:t>
      </w:r>
    </w:p>
    <w:p>
      <w:r>
        <w:rPr>
          <w:sz w:val="22"/>
          <w:szCs w:val="22"/>
        </w:rPr>
        <w:t xml:space="preserve"/>
      </w:r>
    </w:p>
    <w:p>
      <w:pPr>
        <w:spacing w:after="60"/>
        <w:jc w:val="center"/>
      </w:pPr>
      <w:r>
        <w:rPr>
          <w:rFonts w:ascii="Times New Roman" w:cs="Times New Roman" w:eastAsia="Times New Roman" w:hAnsi="Times New Roman"/>
          <w:b/>
          <w:bCs/>
          <w:sz w:val="24"/>
          <w:szCs w:val="24"/>
        </w:rPr>
        <w:t xml:space="preserve">Project Based Learning — Synopsis</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180"/>
        <w:gridCol w:w="1500"/>
        <w:gridCol w:w="3180"/>
      </w:tblGrid>
      <w:tr>
        <w:tc>
          <w:tcPr>
            <w:tcW w:type="dxa" w:w="1500"/>
            <w:tcBorders>
              <w:top w:val="single" w:color="999999" w:sz="4"/>
              <w:left w:val="single" w:color="999999" w:sz="4"/>
              <w:bottom w:val="single" w:color="999999" w:sz="4"/>
              <w:right w:val="single" w:color="999999" w:sz="4"/>
            </w:tcBorders>
            <w:shd w:fill="F2F2F2" w:val="clear"/>
            <w:tcMar>
              <w:top w:type="dxa" w:w="100"/>
              <w:left w:type="dxa" w:w="120"/>
              <w:bottom w:type="dxa" w:w="100"/>
              <w:right w:type="dxa" w:w="120"/>
            </w:tcMar>
            <w:vAlign w:val="top"/>
          </w:tcPr>
          <w:p>
            <w:r>
              <w:rPr>
                <w:rFonts w:ascii="Times New Roman" w:cs="Times New Roman" w:eastAsia="Times New Roman" w:hAnsi="Times New Roman"/>
                <w:b/>
                <w:bCs/>
                <w:sz w:val="22"/>
                <w:szCs w:val="22"/>
              </w:rPr>
              <w:t xml:space="preserve">Student Name:</w:t>
            </w:r>
          </w:p>
        </w:tc>
        <w:tc>
          <w:tcPr>
            <w:tcW w:type="dxa" w:w="3180"/>
            <w:tcBorders>
              <w:top w:val="single" w:color="999999" w:sz="4"/>
              <w:left w:val="single" w:color="999999" w:sz="4"/>
              <w:bottom w:val="single" w:color="999999" w:sz="4"/>
              <w:right w:val="single" w:color="999999" w:sz="4"/>
            </w:tcBorders>
            <w:tcMar>
              <w:top w:type="dxa" w:w="100"/>
              <w:left w:type="dxa" w:w="120"/>
              <w:bottom w:type="dxa" w:w="100"/>
              <w:right w:type="dxa" w:w="120"/>
            </w:tcMar>
            <w:vAlign w:val="top"/>
          </w:tcPr>
          <w:p>
            <w:pPr>
              <w:spacing w:after="60"/>
              <w:jc w:val="both"/>
            </w:pPr>
            <w:r>
              <w:rPr>
                <w:rFonts w:ascii="Times New Roman" w:cs="Times New Roman" w:eastAsia="Times New Roman" w:hAnsi="Times New Roman"/>
                <w:b w:val="false"/>
                <w:bCs w:val="false"/>
                <w:sz w:val="22"/>
                <w:szCs w:val="22"/>
              </w:rPr>
              <w:t xml:space="preserve">[Student 1 Name]</w:t>
            </w:r>
          </w:p>
        </w:tc>
        <w:tc>
          <w:tcPr>
            <w:tcW w:type="dxa" w:w="1500"/>
            <w:tcBorders>
              <w:top w:val="single" w:color="999999" w:sz="4"/>
              <w:left w:val="single" w:color="999999" w:sz="4"/>
              <w:bottom w:val="single" w:color="999999" w:sz="4"/>
              <w:right w:val="single" w:color="999999" w:sz="4"/>
            </w:tcBorders>
            <w:shd w:fill="F2F2F2" w:val="clear"/>
            <w:tcMar>
              <w:top w:type="dxa" w:w="100"/>
              <w:left w:type="dxa" w:w="120"/>
              <w:bottom w:type="dxa" w:w="100"/>
              <w:right w:type="dxa" w:w="120"/>
            </w:tcMar>
            <w:vAlign w:val="top"/>
          </w:tcPr>
          <w:p>
            <w:r>
              <w:rPr>
                <w:rFonts w:ascii="Times New Roman" w:cs="Times New Roman" w:eastAsia="Times New Roman" w:hAnsi="Times New Roman"/>
                <w:b/>
                <w:bCs/>
                <w:sz w:val="22"/>
                <w:szCs w:val="22"/>
              </w:rPr>
              <w:t xml:space="preserve">USN:</w:t>
            </w:r>
          </w:p>
        </w:tc>
        <w:tc>
          <w:tcPr>
            <w:tcW w:type="dxa" w:w="3180"/>
            <w:tcBorders>
              <w:top w:val="single" w:color="999999" w:sz="4"/>
              <w:left w:val="single" w:color="999999" w:sz="4"/>
              <w:bottom w:val="single" w:color="999999" w:sz="4"/>
              <w:right w:val="single" w:color="999999" w:sz="4"/>
            </w:tcBorders>
            <w:tcMar>
              <w:top w:type="dxa" w:w="100"/>
              <w:left w:type="dxa" w:w="120"/>
              <w:bottom w:type="dxa" w:w="100"/>
              <w:right w:type="dxa" w:w="120"/>
            </w:tcMar>
            <w:vAlign w:val="top"/>
          </w:tcPr>
          <w:p>
            <w:pPr>
              <w:spacing w:after="60"/>
              <w:jc w:val="both"/>
            </w:pPr>
            <w:r>
              <w:rPr>
                <w:rFonts w:ascii="Times New Roman" w:cs="Times New Roman" w:eastAsia="Times New Roman" w:hAnsi="Times New Roman"/>
                <w:b w:val="false"/>
                <w:bCs w:val="false"/>
                <w:sz w:val="22"/>
                <w:szCs w:val="22"/>
              </w:rPr>
              <w:t xml:space="preserve">[USN 1]</w:t>
            </w:r>
          </w:p>
        </w:tc>
      </w:tr>
      <w:tr>
        <w:tc>
          <w:tcPr>
            <w:tcW w:type="dxa" w:w="1500"/>
            <w:tcBorders>
              <w:top w:val="single" w:color="999999" w:sz="4"/>
              <w:left w:val="single" w:color="999999" w:sz="4"/>
              <w:bottom w:val="single" w:color="999999" w:sz="4"/>
              <w:right w:val="single" w:color="999999" w:sz="4"/>
            </w:tcBorders>
            <w:shd w:fill="F2F2F2" w:val="clear"/>
            <w:tcMar>
              <w:top w:type="dxa" w:w="100"/>
              <w:left w:type="dxa" w:w="120"/>
              <w:bottom w:type="dxa" w:w="100"/>
              <w:right w:type="dxa" w:w="120"/>
            </w:tcMar>
            <w:vAlign w:val="top"/>
          </w:tcPr>
          <w:p>
            <w:r>
              <w:rPr>
                <w:rFonts w:ascii="Times New Roman" w:cs="Times New Roman" w:eastAsia="Times New Roman" w:hAnsi="Times New Roman"/>
                <w:b/>
                <w:bCs/>
                <w:sz w:val="22"/>
                <w:szCs w:val="22"/>
              </w:rPr>
              <w:t xml:space="preserve">Student Name:</w:t>
            </w:r>
          </w:p>
        </w:tc>
        <w:tc>
          <w:tcPr>
            <w:tcW w:type="dxa" w:w="3180"/>
            <w:tcBorders>
              <w:top w:val="single" w:color="999999" w:sz="4"/>
              <w:left w:val="single" w:color="999999" w:sz="4"/>
              <w:bottom w:val="single" w:color="999999" w:sz="4"/>
              <w:right w:val="single" w:color="999999" w:sz="4"/>
            </w:tcBorders>
            <w:tcMar>
              <w:top w:type="dxa" w:w="100"/>
              <w:left w:type="dxa" w:w="120"/>
              <w:bottom w:type="dxa" w:w="100"/>
              <w:right w:type="dxa" w:w="120"/>
            </w:tcMar>
            <w:vAlign w:val="top"/>
          </w:tcPr>
          <w:p>
            <w:pPr>
              <w:spacing w:after="60"/>
              <w:jc w:val="both"/>
            </w:pPr>
            <w:r>
              <w:rPr>
                <w:rFonts w:ascii="Times New Roman" w:cs="Times New Roman" w:eastAsia="Times New Roman" w:hAnsi="Times New Roman"/>
                <w:b w:val="false"/>
                <w:bCs w:val="false"/>
                <w:sz w:val="22"/>
                <w:szCs w:val="22"/>
              </w:rPr>
              <w:t xml:space="preserve">[Student 2 Name]</w:t>
            </w:r>
          </w:p>
        </w:tc>
        <w:tc>
          <w:tcPr>
            <w:tcW w:type="dxa" w:w="1500"/>
            <w:tcBorders>
              <w:top w:val="single" w:color="999999" w:sz="4"/>
              <w:left w:val="single" w:color="999999" w:sz="4"/>
              <w:bottom w:val="single" w:color="999999" w:sz="4"/>
              <w:right w:val="single" w:color="999999" w:sz="4"/>
            </w:tcBorders>
            <w:shd w:fill="F2F2F2" w:val="clear"/>
            <w:tcMar>
              <w:top w:type="dxa" w:w="100"/>
              <w:left w:type="dxa" w:w="120"/>
              <w:bottom w:type="dxa" w:w="100"/>
              <w:right w:type="dxa" w:w="120"/>
            </w:tcMar>
            <w:vAlign w:val="top"/>
          </w:tcPr>
          <w:p>
            <w:r>
              <w:rPr>
                <w:rFonts w:ascii="Times New Roman" w:cs="Times New Roman" w:eastAsia="Times New Roman" w:hAnsi="Times New Roman"/>
                <w:b/>
                <w:bCs/>
                <w:sz w:val="22"/>
                <w:szCs w:val="22"/>
              </w:rPr>
              <w:t xml:space="preserve">USN:</w:t>
            </w:r>
          </w:p>
        </w:tc>
        <w:tc>
          <w:tcPr>
            <w:tcW w:type="dxa" w:w="3180"/>
            <w:tcBorders>
              <w:top w:val="single" w:color="999999" w:sz="4"/>
              <w:left w:val="single" w:color="999999" w:sz="4"/>
              <w:bottom w:val="single" w:color="999999" w:sz="4"/>
              <w:right w:val="single" w:color="999999" w:sz="4"/>
            </w:tcBorders>
            <w:tcMar>
              <w:top w:type="dxa" w:w="100"/>
              <w:left w:type="dxa" w:w="120"/>
              <w:bottom w:type="dxa" w:w="100"/>
              <w:right w:type="dxa" w:w="120"/>
            </w:tcMar>
            <w:vAlign w:val="top"/>
          </w:tcPr>
          <w:p>
            <w:pPr>
              <w:spacing w:after="60"/>
              <w:jc w:val="both"/>
            </w:pPr>
            <w:r>
              <w:rPr>
                <w:rFonts w:ascii="Times New Roman" w:cs="Times New Roman" w:eastAsia="Times New Roman" w:hAnsi="Times New Roman"/>
                <w:b w:val="false"/>
                <w:bCs w:val="false"/>
                <w:sz w:val="22"/>
                <w:szCs w:val="22"/>
              </w:rPr>
              <w:t xml:space="preserve">[USN 2]</w:t>
            </w:r>
          </w:p>
        </w:tc>
      </w:tr>
      <w:tr>
        <w:tc>
          <w:tcPr>
            <w:tcW w:type="dxa" w:w="1500"/>
            <w:tcBorders>
              <w:top w:val="single" w:color="999999" w:sz="4"/>
              <w:left w:val="single" w:color="999999" w:sz="4"/>
              <w:bottom w:val="single" w:color="999999" w:sz="4"/>
              <w:right w:val="single" w:color="999999" w:sz="4"/>
            </w:tcBorders>
            <w:shd w:fill="F2F2F2" w:val="clear"/>
            <w:tcMar>
              <w:top w:type="dxa" w:w="100"/>
              <w:left w:type="dxa" w:w="120"/>
              <w:bottom w:type="dxa" w:w="100"/>
              <w:right w:type="dxa" w:w="120"/>
            </w:tcMar>
            <w:vAlign w:val="top"/>
          </w:tcPr>
          <w:p>
            <w:r>
              <w:rPr>
                <w:rFonts w:ascii="Times New Roman" w:cs="Times New Roman" w:eastAsia="Times New Roman" w:hAnsi="Times New Roman"/>
                <w:b/>
                <w:bCs/>
                <w:sz w:val="22"/>
                <w:szCs w:val="22"/>
              </w:rPr>
              <w:t xml:space="preserve">Guide Name:</w:t>
            </w:r>
          </w:p>
        </w:tc>
        <w:tc>
          <w:tcPr>
            <w:tcW w:type="dxa" w:w="3180"/>
            <w:tcBorders>
              <w:top w:val="single" w:color="999999" w:sz="4"/>
              <w:left w:val="single" w:color="999999" w:sz="4"/>
              <w:bottom w:val="single" w:color="999999" w:sz="4"/>
              <w:right w:val="single" w:color="999999" w:sz="4"/>
            </w:tcBorders>
            <w:tcMar>
              <w:top w:type="dxa" w:w="100"/>
              <w:left w:type="dxa" w:w="120"/>
              <w:bottom w:type="dxa" w:w="100"/>
              <w:right w:type="dxa" w:w="120"/>
            </w:tcMar>
            <w:vAlign w:val="top"/>
          </w:tcPr>
          <w:p>
            <w:pPr>
              <w:spacing w:after="60"/>
              <w:jc w:val="both"/>
            </w:pPr>
            <w:r>
              <w:rPr>
                <w:rFonts w:ascii="Times New Roman" w:cs="Times New Roman" w:eastAsia="Times New Roman" w:hAnsi="Times New Roman"/>
                <w:b w:val="false"/>
                <w:bCs w:val="false"/>
                <w:sz w:val="22"/>
                <w:szCs w:val="22"/>
              </w:rPr>
              <w:t xml:space="preserve">[Guide Name]</w:t>
            </w:r>
          </w:p>
        </w:tc>
        <w:tc>
          <w:tcPr>
            <w:tcW w:type="dxa" w:w="1500"/>
            <w:tcBorders>
              <w:top w:val="single" w:color="999999" w:sz="4"/>
              <w:left w:val="single" w:color="999999" w:sz="4"/>
              <w:bottom w:val="single" w:color="999999" w:sz="4"/>
              <w:right w:val="single" w:color="999999" w:sz="4"/>
            </w:tcBorders>
            <w:shd w:fill="F2F2F2" w:val="clear"/>
            <w:tcMar>
              <w:top w:type="dxa" w:w="100"/>
              <w:left w:type="dxa" w:w="120"/>
              <w:bottom w:type="dxa" w:w="100"/>
              <w:right w:type="dxa" w:w="120"/>
            </w:tcMar>
            <w:vAlign w:val="top"/>
          </w:tcPr>
          <w:p>
            <w:r>
              <w:rPr>
                <w:rFonts w:ascii="Times New Roman" w:cs="Times New Roman" w:eastAsia="Times New Roman" w:hAnsi="Times New Roman"/>
                <w:b/>
                <w:bCs/>
                <w:sz w:val="22"/>
                <w:szCs w:val="22"/>
              </w:rPr>
              <w:t xml:space="preserve">Date of Submission:</w:t>
            </w:r>
          </w:p>
        </w:tc>
        <w:tc>
          <w:tcPr>
            <w:tcW w:type="dxa" w:w="3180"/>
            <w:tcBorders>
              <w:top w:val="single" w:color="999999" w:sz="4"/>
              <w:left w:val="single" w:color="999999" w:sz="4"/>
              <w:bottom w:val="single" w:color="999999" w:sz="4"/>
              <w:right w:val="single" w:color="999999" w:sz="4"/>
            </w:tcBorders>
            <w:tcMar>
              <w:top w:type="dxa" w:w="100"/>
              <w:left w:type="dxa" w:w="120"/>
              <w:bottom w:type="dxa" w:w="100"/>
              <w:right w:type="dxa" w:w="120"/>
            </w:tcMar>
            <w:vAlign w:val="top"/>
          </w:tcPr>
          <w:p>
            <w:pPr>
              <w:spacing w:after="60"/>
              <w:jc w:val="both"/>
            </w:pPr>
            <w:r>
              <w:rPr>
                <w:rFonts w:ascii="Times New Roman" w:cs="Times New Roman" w:eastAsia="Times New Roman" w:hAnsi="Times New Roman"/>
                <w:b w:val="false"/>
                <w:bCs w:val="false"/>
                <w:sz w:val="22"/>
                <w:szCs w:val="22"/>
              </w:rPr>
              <w:t xml:space="preserve"/>
            </w:r>
          </w:p>
        </w:tc>
      </w:tr>
    </w:tbl>
    <w:p>
      <w:r>
        <w:rPr>
          <w:sz w:val="22"/>
          <w:szCs w:val="22"/>
        </w:rPr>
        <w:t xml:space="preserve"/>
      </w:r>
    </w:p>
    <w:p>
      <w:pPr>
        <w:spacing w:after="80"/>
      </w:pPr>
      <w:r>
        <w:rPr>
          <w:rFonts w:ascii="Times New Roman" w:cs="Times New Roman" w:eastAsia="Times New Roman" w:hAnsi="Times New Roman"/>
          <w:b/>
          <w:bCs/>
          <w:sz w:val="24"/>
          <w:szCs w:val="24"/>
        </w:rPr>
        <w:t xml:space="preserve">Project Title:	</w:t>
      </w:r>
      <w:r>
        <w:rPr>
          <w:rFonts w:ascii="Times New Roman" w:cs="Times New Roman" w:eastAsia="Times New Roman" w:hAnsi="Times New Roman"/>
          <w:sz w:val="24"/>
          <w:szCs w:val="24"/>
        </w:rPr>
        <w:t xml:space="preserve">SkillBridge — Personalized Skill Gap Analysis &amp; Adaptive Learning Platform</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6860"/>
      </w:tblGrid>
      <w:tr>
        <w:tc>
          <w:tcPr>
            <w:tcW w:type="dxa" w:w="700"/>
            <w:tcBorders>
              <w:top w:val="single" w:color="999999" w:sz="4"/>
              <w:left w:val="single" w:color="999999" w:sz="4"/>
              <w:bottom w:val="single" w:color="999999" w:sz="4"/>
              <w:right w:val="single" w:color="999999" w:sz="4"/>
            </w:tcBorders>
            <w:shd w:fill="D0D0D0" w:val="clear"/>
            <w:tcMar>
              <w:top w:type="dxa" w:w="100"/>
              <w:left w:type="dxa" w:w="120"/>
              <w:bottom w:type="dxa" w:w="100"/>
              <w:right w:type="dxa" w:w="120"/>
            </w:tcMar>
            <w:vAlign w:val="center"/>
          </w:tcPr>
          <w:p>
            <w:r>
              <w:rPr>
                <w:rFonts w:ascii="Times New Roman" w:cs="Times New Roman" w:eastAsia="Times New Roman" w:hAnsi="Times New Roman"/>
                <w:b/>
                <w:bCs/>
                <w:sz w:val="22"/>
                <w:szCs w:val="22"/>
              </w:rPr>
              <w:t xml:space="preserve">Sl. No</w:t>
            </w:r>
          </w:p>
        </w:tc>
        <w:tc>
          <w:tcPr>
            <w:tcW w:type="dxa" w:w="1800"/>
            <w:tcBorders>
              <w:top w:val="single" w:color="999999" w:sz="4"/>
              <w:left w:val="single" w:color="999999" w:sz="4"/>
              <w:bottom w:val="single" w:color="999999" w:sz="4"/>
              <w:right w:val="single" w:color="999999" w:sz="4"/>
            </w:tcBorders>
            <w:shd w:fill="D0D0D0" w:val="clear"/>
            <w:tcMar>
              <w:top w:type="dxa" w:w="100"/>
              <w:left w:type="dxa" w:w="120"/>
              <w:bottom w:type="dxa" w:w="100"/>
              <w:right w:type="dxa" w:w="120"/>
            </w:tcMar>
            <w:vAlign w:val="center"/>
          </w:tcPr>
          <w:p>
            <w:r>
              <w:rPr>
                <w:rFonts w:ascii="Times New Roman" w:cs="Times New Roman" w:eastAsia="Times New Roman" w:hAnsi="Times New Roman"/>
                <w:b/>
                <w:bCs/>
                <w:sz w:val="22"/>
                <w:szCs w:val="22"/>
              </w:rPr>
              <w:t xml:space="preserve">Particulars</w:t>
            </w:r>
          </w:p>
        </w:tc>
        <w:tc>
          <w:tcPr>
            <w:tcW w:type="dxa" w:w="6860"/>
            <w:tcBorders>
              <w:top w:val="single" w:color="999999" w:sz="4"/>
              <w:left w:val="single" w:color="999999" w:sz="4"/>
              <w:bottom w:val="single" w:color="999999" w:sz="4"/>
              <w:right w:val="single" w:color="999999" w:sz="4"/>
            </w:tcBorders>
            <w:shd w:fill="D0D0D0" w:val="clear"/>
            <w:tcMar>
              <w:top w:type="dxa" w:w="100"/>
              <w:left w:type="dxa" w:w="120"/>
              <w:bottom w:type="dxa" w:w="100"/>
              <w:right w:type="dxa" w:w="120"/>
            </w:tcMar>
            <w:vAlign w:val="center"/>
          </w:tcPr>
          <w:p>
            <w:r>
              <w:rPr>
                <w:rFonts w:ascii="Times New Roman" w:cs="Times New Roman" w:eastAsia="Times New Roman" w:hAnsi="Times New Roman"/>
                <w:b/>
                <w:bCs/>
                <w:sz w:val="22"/>
                <w:szCs w:val="22"/>
              </w:rPr>
              <w:t xml:space="preserve">Details</w:t>
            </w:r>
          </w:p>
        </w:tc>
      </w:tr>
      <w:tr>
        <w:tc>
          <w:tcPr>
            <w:tcW w:type="dxa" w:w="700"/>
            <w:tcBorders>
              <w:top w:val="single" w:color="999999" w:sz="4"/>
              <w:left w:val="single" w:color="999999" w:sz="4"/>
              <w:bottom w:val="single" w:color="999999" w:sz="4"/>
              <w:right w:val="single" w:color="999999" w:sz="4"/>
            </w:tcBorders>
            <w:tcMar>
              <w:top w:type="dxa" w:w="100"/>
              <w:left w:type="dxa" w:w="120"/>
              <w:bottom w:type="dxa" w:w="100"/>
              <w:right w:type="dxa" w:w="120"/>
            </w:tcMar>
            <w:vAlign w:val="top"/>
          </w:tcPr>
          <w:p>
            <w:pPr>
              <w:jc w:val="center"/>
            </w:pPr>
            <w:r>
              <w:rPr>
                <w:rFonts w:ascii="Times New Roman" w:cs="Times New Roman" w:eastAsia="Times New Roman" w:hAnsi="Times New Roman"/>
                <w:sz w:val="22"/>
                <w:szCs w:val="22"/>
              </w:rPr>
              <w:t xml:space="preserve">1</w:t>
            </w:r>
          </w:p>
        </w:tc>
        <w:tc>
          <w:tcPr>
            <w:tcW w:type="dxa" w:w="1800"/>
            <w:tcBorders>
              <w:top w:val="single" w:color="999999" w:sz="4"/>
              <w:left w:val="single" w:color="999999" w:sz="4"/>
              <w:bottom w:val="single" w:color="999999" w:sz="4"/>
              <w:right w:val="single" w:color="999999" w:sz="4"/>
            </w:tcBorders>
            <w:shd w:fill="F2F2F2" w:val="clear"/>
            <w:tcMar>
              <w:top w:type="dxa" w:w="100"/>
              <w:left w:type="dxa" w:w="120"/>
              <w:bottom w:type="dxa" w:w="100"/>
              <w:right w:type="dxa" w:w="120"/>
            </w:tcMar>
            <w:vAlign w:val="top"/>
          </w:tcPr>
          <w:p>
            <w:r>
              <w:rPr>
                <w:rFonts w:ascii="Times New Roman" w:cs="Times New Roman" w:eastAsia="Times New Roman" w:hAnsi="Times New Roman"/>
                <w:b/>
                <w:bCs/>
                <w:sz w:val="22"/>
                <w:szCs w:val="22"/>
              </w:rPr>
              <w:t xml:space="preserve">Introduction</w:t>
            </w:r>
          </w:p>
        </w:tc>
        <w:tc>
          <w:tcPr>
            <w:tcW w:type="dxa" w:w="6860"/>
            <w:tcBorders>
              <w:top w:val="single" w:color="999999" w:sz="4"/>
              <w:left w:val="single" w:color="999999" w:sz="4"/>
              <w:bottom w:val="single" w:color="999999" w:sz="4"/>
              <w:right w:val="single" w:color="999999" w:sz="4"/>
            </w:tcBorders>
            <w:tcMar>
              <w:top w:type="dxa" w:w="100"/>
              <w:left w:type="dxa" w:w="120"/>
              <w:bottom w:type="dxa" w:w="100"/>
              <w:right w:type="dxa" w:w="120"/>
            </w:tcMar>
            <w:vAlign w:val="top"/>
          </w:tcPr>
          <w:p>
            <w:pPr>
              <w:spacing w:after="60"/>
              <w:jc w:val="both"/>
            </w:pPr>
            <w:r>
              <w:rPr>
                <w:rFonts w:ascii="Times New Roman" w:cs="Times New Roman" w:eastAsia="Times New Roman" w:hAnsi="Times New Roman"/>
                <w:b w:val="false"/>
                <w:bCs w:val="false"/>
                <w:sz w:val="22"/>
                <w:szCs w:val="22"/>
              </w:rPr>
              <w:t xml:space="preserve">SkillBridge is a cloud-based, AI-powered web platform designed to help individual job seekers, career switchers, and self-directed learners identify the precise gap between their current skillset and the requirements of their target job roles.</w:t>
            </w:r>
          </w:p>
          <w:p>
            <w:r>
              <w:rPr>
                <w:sz w:val="22"/>
                <w:szCs w:val="22"/>
              </w:rPr>
              <w:t xml:space="preserve"/>
            </w:r>
          </w:p>
          <w:p>
            <w:pPr>
              <w:spacing w:after="60"/>
              <w:jc w:val="both"/>
            </w:pPr>
            <w:r>
              <w:rPr>
                <w:rFonts w:ascii="Times New Roman" w:cs="Times New Roman" w:eastAsia="Times New Roman" w:hAnsi="Times New Roman"/>
                <w:b w:val="false"/>
                <w:bCs w:val="false"/>
                <w:sz w:val="22"/>
                <w:szCs w:val="22"/>
              </w:rPr>
              <w:t xml:space="preserve">Unlike enterprise-focused tools built for HR departments, SkillBridge is built for the individual. Users create an account, upload their resume, and paste a job description. The platform automatically extracts skills from both, runs an intelligent assessment to validate actual proficiency, and generates a personalised gap report with a structured roadmap, recommended learning resources, deadlines, and re-assessment schedules.</w:t>
            </w:r>
          </w:p>
          <w:p>
            <w:r>
              <w:rPr>
                <w:sz w:val="22"/>
                <w:szCs w:val="22"/>
              </w:rPr>
              <w:t xml:space="preserve"/>
            </w:r>
          </w:p>
          <w:p>
            <w:pPr>
              <w:spacing w:after="60"/>
              <w:jc w:val="both"/>
            </w:pPr>
            <w:r>
              <w:rPr>
                <w:rFonts w:ascii="Times New Roman" w:cs="Times New Roman" w:eastAsia="Times New Roman" w:hAnsi="Times New Roman"/>
                <w:b w:val="false"/>
                <w:bCs w:val="false"/>
                <w:sz w:val="22"/>
                <w:szCs w:val="22"/>
              </w:rPr>
              <w:t xml:space="preserve">The platform addresses a clear market gap: existing solutions (iMocha, SkillsDB, Paradiso) serve organisations — none offer individual learners a job-specific gap analysis with adaptive, accountability-driven learning paths. SkillBridge fills this gap.</w:t>
            </w:r>
          </w:p>
        </w:tc>
      </w:tr>
      <w:tr>
        <w:tc>
          <w:tcPr>
            <w:tcW w:type="dxa" w:w="700"/>
            <w:tcBorders>
              <w:top w:val="single" w:color="999999" w:sz="4"/>
              <w:left w:val="single" w:color="999999" w:sz="4"/>
              <w:bottom w:val="single" w:color="999999" w:sz="4"/>
              <w:right w:val="single" w:color="999999" w:sz="4"/>
            </w:tcBorders>
            <w:tcMar>
              <w:top w:type="dxa" w:w="100"/>
              <w:left w:type="dxa" w:w="120"/>
              <w:bottom w:type="dxa" w:w="100"/>
              <w:right w:type="dxa" w:w="120"/>
            </w:tcMar>
            <w:vAlign w:val="top"/>
          </w:tcPr>
          <w:p>
            <w:pPr>
              <w:jc w:val="center"/>
            </w:pPr>
            <w:r>
              <w:rPr>
                <w:rFonts w:ascii="Times New Roman" w:cs="Times New Roman" w:eastAsia="Times New Roman" w:hAnsi="Times New Roman"/>
                <w:sz w:val="22"/>
                <w:szCs w:val="22"/>
              </w:rPr>
              <w:t xml:space="preserve">2</w:t>
            </w:r>
          </w:p>
        </w:tc>
        <w:tc>
          <w:tcPr>
            <w:tcW w:type="dxa" w:w="1800"/>
            <w:tcBorders>
              <w:top w:val="single" w:color="999999" w:sz="4"/>
              <w:left w:val="single" w:color="999999" w:sz="4"/>
              <w:bottom w:val="single" w:color="999999" w:sz="4"/>
              <w:right w:val="single" w:color="999999" w:sz="4"/>
            </w:tcBorders>
            <w:shd w:fill="F2F2F2" w:val="clear"/>
            <w:tcMar>
              <w:top w:type="dxa" w:w="100"/>
              <w:left w:type="dxa" w:w="120"/>
              <w:bottom w:type="dxa" w:w="100"/>
              <w:right w:type="dxa" w:w="120"/>
            </w:tcMar>
            <w:vAlign w:val="top"/>
          </w:tcPr>
          <w:p>
            <w:r>
              <w:rPr>
                <w:rFonts w:ascii="Times New Roman" w:cs="Times New Roman" w:eastAsia="Times New Roman" w:hAnsi="Times New Roman"/>
                <w:b/>
                <w:bCs/>
                <w:sz w:val="22"/>
                <w:szCs w:val="22"/>
              </w:rPr>
              <w:t xml:space="preserve">Objectives</w:t>
            </w:r>
          </w:p>
        </w:tc>
        <w:tc>
          <w:tcPr>
            <w:tcW w:type="dxa" w:w="6860"/>
            <w:tcBorders>
              <w:top w:val="single" w:color="999999" w:sz="4"/>
              <w:left w:val="single" w:color="999999" w:sz="4"/>
              <w:bottom w:val="single" w:color="999999" w:sz="4"/>
              <w:right w:val="single" w:color="999999" w:sz="4"/>
            </w:tcBorders>
            <w:tcMar>
              <w:top w:type="dxa" w:w="100"/>
              <w:left w:type="dxa" w:w="120"/>
              <w:bottom w:type="dxa" w:w="100"/>
              <w:right w:type="dxa" w:w="120"/>
            </w:tcMar>
            <w:vAlign w:val="top"/>
          </w:tcPr>
          <w:p>
            <w:pPr>
              <w:pStyle w:val="ListParagraph"/>
              <w:numPr>
                <w:ilvl w:val="0"/>
                <w:numId w:val="2"/>
              </w:numPr>
              <w:spacing w:after="40"/>
            </w:pPr>
            <w:r>
              <w:rPr>
                <w:rFonts w:ascii="Times New Roman" w:cs="Times New Roman" w:eastAsia="Times New Roman" w:hAnsi="Times New Roman"/>
                <w:sz w:val="22"/>
                <w:szCs w:val="22"/>
              </w:rPr>
              <w:t xml:space="preserve">Allow users to register, create profiles, and upload resumes for automated skill extraction.</w:t>
            </w:r>
          </w:p>
          <w:p>
            <w:pPr>
              <w:pStyle w:val="ListParagraph"/>
              <w:numPr>
                <w:ilvl w:val="0"/>
                <w:numId w:val="2"/>
              </w:numPr>
              <w:spacing w:after="40"/>
            </w:pPr>
            <w:r>
              <w:rPr>
                <w:rFonts w:ascii="Times New Roman" w:cs="Times New Roman" w:eastAsia="Times New Roman" w:hAnsi="Times New Roman"/>
                <w:sz w:val="22"/>
                <w:szCs w:val="22"/>
              </w:rPr>
              <w:t xml:space="preserve">Parse job descriptions to extract required skills and map them against the user’s current skillset.</w:t>
            </w:r>
          </w:p>
          <w:p>
            <w:pPr>
              <w:pStyle w:val="ListParagraph"/>
              <w:numPr>
                <w:ilvl w:val="0"/>
                <w:numId w:val="2"/>
              </w:numPr>
              <w:spacing w:after="40"/>
            </w:pPr>
            <w:r>
              <w:rPr>
                <w:rFonts w:ascii="Times New Roman" w:cs="Times New Roman" w:eastAsia="Times New Roman" w:hAnsi="Times New Roman"/>
                <w:sz w:val="22"/>
                <w:szCs w:val="22"/>
              </w:rPr>
              <w:t xml:space="preserve">Conduct adaptive quizzes and assessments to validate and score the user’s actual proficiency across identified skill domains.</w:t>
            </w:r>
          </w:p>
          <w:p>
            <w:pPr>
              <w:pStyle w:val="ListParagraph"/>
              <w:numPr>
                <w:ilvl w:val="0"/>
                <w:numId w:val="2"/>
              </w:numPr>
              <w:spacing w:after="40"/>
            </w:pPr>
            <w:r>
              <w:rPr>
                <w:rFonts w:ascii="Times New Roman" w:cs="Times New Roman" w:eastAsia="Times New Roman" w:hAnsi="Times New Roman"/>
                <w:sz w:val="22"/>
                <w:szCs w:val="22"/>
              </w:rPr>
              <w:t xml:space="preserve">Generate a personalised Skill Gap Dashboard showing a Job Readiness Score, skill-wise gap severity, and a time-to-ready estimate.</w:t>
            </w:r>
          </w:p>
          <w:p>
            <w:pPr>
              <w:pStyle w:val="ListParagraph"/>
              <w:numPr>
                <w:ilvl w:val="0"/>
                <w:numId w:val="2"/>
              </w:numPr>
              <w:spacing w:after="40"/>
            </w:pPr>
            <w:r>
              <w:rPr>
                <w:rFonts w:ascii="Times New Roman" w:cs="Times New Roman" w:eastAsia="Times New Roman" w:hAnsi="Times New Roman"/>
                <w:sz w:val="22"/>
                <w:szCs w:val="22"/>
              </w:rPr>
              <w:t xml:space="preserve">Recommend curated learning resources and structured roadmaps to bridge each identified gap.</w:t>
            </w:r>
          </w:p>
          <w:p>
            <w:pPr>
              <w:pStyle w:val="ListParagraph"/>
              <w:numPr>
                <w:ilvl w:val="0"/>
                <w:numId w:val="2"/>
              </w:numPr>
              <w:spacing w:after="40"/>
            </w:pPr>
            <w:r>
              <w:rPr>
                <w:rFonts w:ascii="Times New Roman" w:cs="Times New Roman" w:eastAsia="Times New Roman" w:hAnsi="Times New Roman"/>
                <w:sz w:val="22"/>
                <w:szCs w:val="22"/>
              </w:rPr>
              <w:t xml:space="preserve">Issue deadlines and schedule periodic re-assessments to track measurable improvement over time.</w:t>
            </w:r>
          </w:p>
          <w:p>
            <w:pPr>
              <w:pStyle w:val="ListParagraph"/>
              <w:numPr>
                <w:ilvl w:val="0"/>
                <w:numId w:val="2"/>
              </w:numPr>
              <w:spacing w:after="40"/>
            </w:pPr>
            <w:r>
              <w:rPr>
                <w:rFonts w:ascii="Times New Roman" w:cs="Times New Roman" w:eastAsia="Times New Roman" w:hAnsi="Times New Roman"/>
                <w:sz w:val="22"/>
                <w:szCs w:val="22"/>
              </w:rPr>
              <w:t xml:space="preserve">Provide an analytics view of skill progress across multiple sessions and target roles.</w:t>
            </w:r>
          </w:p>
        </w:tc>
      </w:tr>
      <w:tr>
        <w:tc>
          <w:tcPr>
            <w:tcW w:type="dxa" w:w="700"/>
            <w:tcBorders>
              <w:top w:val="single" w:color="999999" w:sz="4"/>
              <w:left w:val="single" w:color="999999" w:sz="4"/>
              <w:bottom w:val="single" w:color="999999" w:sz="4"/>
              <w:right w:val="single" w:color="999999" w:sz="4"/>
            </w:tcBorders>
            <w:tcMar>
              <w:top w:type="dxa" w:w="100"/>
              <w:left w:type="dxa" w:w="120"/>
              <w:bottom w:type="dxa" w:w="100"/>
              <w:right w:type="dxa" w:w="120"/>
            </w:tcMar>
            <w:vAlign w:val="top"/>
          </w:tcPr>
          <w:p>
            <w:pPr>
              <w:jc w:val="center"/>
            </w:pPr>
            <w:r>
              <w:rPr>
                <w:rFonts w:ascii="Times New Roman" w:cs="Times New Roman" w:eastAsia="Times New Roman" w:hAnsi="Times New Roman"/>
                <w:sz w:val="22"/>
                <w:szCs w:val="22"/>
              </w:rPr>
              <w:t xml:space="preserve">3</w:t>
            </w:r>
          </w:p>
        </w:tc>
        <w:tc>
          <w:tcPr>
            <w:tcW w:type="dxa" w:w="1800"/>
            <w:tcBorders>
              <w:top w:val="single" w:color="999999" w:sz="4"/>
              <w:left w:val="single" w:color="999999" w:sz="4"/>
              <w:bottom w:val="single" w:color="999999" w:sz="4"/>
              <w:right w:val="single" w:color="999999" w:sz="4"/>
            </w:tcBorders>
            <w:shd w:fill="F2F2F2" w:val="clear"/>
            <w:tcMar>
              <w:top w:type="dxa" w:w="100"/>
              <w:left w:type="dxa" w:w="120"/>
              <w:bottom w:type="dxa" w:w="100"/>
              <w:right w:type="dxa" w:w="120"/>
            </w:tcMar>
            <w:vAlign w:val="top"/>
          </w:tcPr>
          <w:p>
            <w:r>
              <w:rPr>
                <w:rFonts w:ascii="Times New Roman" w:cs="Times New Roman" w:eastAsia="Times New Roman" w:hAnsi="Times New Roman"/>
                <w:b/>
                <w:bCs/>
                <w:sz w:val="22"/>
                <w:szCs w:val="22"/>
              </w:rPr>
              <w:t xml:space="preserve">Existing System</w:t>
            </w:r>
          </w:p>
        </w:tc>
        <w:tc>
          <w:tcPr>
            <w:tcW w:type="dxa" w:w="6860"/>
            <w:tcBorders>
              <w:top w:val="single" w:color="999999" w:sz="4"/>
              <w:left w:val="single" w:color="999999" w:sz="4"/>
              <w:bottom w:val="single" w:color="999999" w:sz="4"/>
              <w:right w:val="single" w:color="999999" w:sz="4"/>
            </w:tcBorders>
            <w:tcMar>
              <w:top w:type="dxa" w:w="100"/>
              <w:left w:type="dxa" w:w="120"/>
              <w:bottom w:type="dxa" w:w="100"/>
              <w:right w:type="dxa" w:w="120"/>
            </w:tcMar>
            <w:vAlign w:val="top"/>
          </w:tcPr>
          <w:p>
            <w:pPr>
              <w:spacing w:after="60"/>
              <w:jc w:val="both"/>
            </w:pPr>
            <w:r>
              <w:rPr>
                <w:rFonts w:ascii="Times New Roman" w:cs="Times New Roman" w:eastAsia="Times New Roman" w:hAnsi="Times New Roman"/>
                <w:b w:val="false"/>
                <w:bCs w:val="false"/>
                <w:sz w:val="22"/>
                <w:szCs w:val="22"/>
              </w:rPr>
              <w:t xml:space="preserve">Current skill gap analysis solutions suffer from two major limitations:</w:t>
            </w:r>
          </w:p>
          <w:p>
            <w:r>
              <w:rPr>
                <w:sz w:val="22"/>
                <w:szCs w:val="22"/>
              </w:rPr>
              <w:t xml:space="preserve"/>
            </w:r>
          </w:p>
          <w:p>
            <w:pPr>
              <w:spacing w:after="60"/>
              <w:jc w:val="both"/>
            </w:pPr>
            <w:r>
              <w:rPr>
                <w:rFonts w:ascii="Times New Roman" w:cs="Times New Roman" w:eastAsia="Times New Roman" w:hAnsi="Times New Roman"/>
                <w:b w:val="false"/>
                <w:bCs w:val="false"/>
                <w:sz w:val="22"/>
                <w:szCs w:val="22"/>
              </w:rPr>
              <w:t xml:space="preserve">1. Enterprise-only orientation: Platforms such as iMocha, SkillsDB, and Paradiso Solutions are designed exclusively for HR teams and L&amp;D departments to evaluate their workforce. They require organisational accounts, integrate with HR systems (Workday, SAP SuccessFactors), and are priced for enterprises — making them inaccessible and irrelevant to individual learners.</w:t>
            </w:r>
          </w:p>
          <w:p>
            <w:r>
              <w:rPr>
                <w:sz w:val="22"/>
                <w:szCs w:val="22"/>
              </w:rPr>
              <w:t xml:space="preserve"/>
            </w:r>
          </w:p>
          <w:p>
            <w:pPr>
              <w:spacing w:after="60"/>
              <w:jc w:val="both"/>
            </w:pPr>
            <w:r>
              <w:rPr>
                <w:rFonts w:ascii="Times New Roman" w:cs="Times New Roman" w:eastAsia="Times New Roman" w:hAnsi="Times New Roman"/>
                <w:b w:val="false"/>
                <w:bCs w:val="false"/>
                <w:sz w:val="22"/>
                <w:szCs w:val="22"/>
              </w:rPr>
              <w:t xml:space="preserve">2. No job-specific gap mapping: Existing tools compare employees against internal role profiles defined by HR teams. None of them allow an individual to paste a real job listing and receive a precise, personalised skill gap analysis for that specific role.</w:t>
            </w:r>
          </w:p>
          <w:p>
            <w:r>
              <w:rPr>
                <w:sz w:val="22"/>
                <w:szCs w:val="22"/>
              </w:rPr>
              <w:t xml:space="preserve"/>
            </w:r>
          </w:p>
          <w:p>
            <w:pPr>
              <w:spacing w:after="60"/>
              <w:jc w:val="both"/>
            </w:pPr>
            <w:r>
              <w:rPr>
                <w:rFonts w:ascii="Times New Roman" w:cs="Times New Roman" w:eastAsia="Times New Roman" w:hAnsi="Times New Roman"/>
                <w:b w:val="false"/>
                <w:bCs w:val="false"/>
                <w:sz w:val="22"/>
                <w:szCs w:val="22"/>
              </w:rPr>
              <w:t xml:space="preserve">Additionally, most platforms rely on self-reported skill ratings, lack resume parsing intelligence, offer no scheduled re-assessment mechanism, and provide static course catalogs rather than adaptive, deadline-driven learning paths. This leaves individual users — the largest population of learners — without a meaningful solution.</w:t>
            </w:r>
          </w:p>
        </w:tc>
      </w:tr>
      <w:tr>
        <w:tc>
          <w:tcPr>
            <w:tcW w:type="dxa" w:w="700"/>
            <w:tcBorders>
              <w:top w:val="single" w:color="999999" w:sz="4"/>
              <w:left w:val="single" w:color="999999" w:sz="4"/>
              <w:bottom w:val="single" w:color="999999" w:sz="4"/>
              <w:right w:val="single" w:color="999999" w:sz="4"/>
            </w:tcBorders>
            <w:tcMar>
              <w:top w:type="dxa" w:w="100"/>
              <w:left w:type="dxa" w:w="120"/>
              <w:bottom w:type="dxa" w:w="100"/>
              <w:right w:type="dxa" w:w="120"/>
            </w:tcMar>
            <w:vAlign w:val="top"/>
          </w:tcPr>
          <w:p>
            <w:pPr>
              <w:jc w:val="center"/>
            </w:pPr>
            <w:r>
              <w:rPr>
                <w:rFonts w:ascii="Times New Roman" w:cs="Times New Roman" w:eastAsia="Times New Roman" w:hAnsi="Times New Roman"/>
                <w:sz w:val="22"/>
                <w:szCs w:val="22"/>
              </w:rPr>
              <w:t xml:space="preserve">4</w:t>
            </w:r>
          </w:p>
        </w:tc>
        <w:tc>
          <w:tcPr>
            <w:tcW w:type="dxa" w:w="1800"/>
            <w:tcBorders>
              <w:top w:val="single" w:color="999999" w:sz="4"/>
              <w:left w:val="single" w:color="999999" w:sz="4"/>
              <w:bottom w:val="single" w:color="999999" w:sz="4"/>
              <w:right w:val="single" w:color="999999" w:sz="4"/>
            </w:tcBorders>
            <w:shd w:fill="F2F2F2" w:val="clear"/>
            <w:tcMar>
              <w:top w:type="dxa" w:w="100"/>
              <w:left w:type="dxa" w:w="120"/>
              <w:bottom w:type="dxa" w:w="100"/>
              <w:right w:type="dxa" w:w="120"/>
            </w:tcMar>
            <w:vAlign w:val="top"/>
          </w:tcPr>
          <w:p>
            <w:r>
              <w:rPr>
                <w:rFonts w:ascii="Times New Roman" w:cs="Times New Roman" w:eastAsia="Times New Roman" w:hAnsi="Times New Roman"/>
                <w:b/>
                <w:bCs/>
                <w:sz w:val="22"/>
                <w:szCs w:val="22"/>
              </w:rPr>
              <w:t xml:space="preserve">Literature Survey</w:t>
            </w:r>
          </w:p>
        </w:tc>
        <w:tc>
          <w:tcPr>
            <w:tcW w:type="dxa" w:w="6860"/>
            <w:tcBorders>
              <w:top w:val="single" w:color="999999" w:sz="4"/>
              <w:left w:val="single" w:color="999999" w:sz="4"/>
              <w:bottom w:val="single" w:color="999999" w:sz="4"/>
              <w:right w:val="single" w:color="999999" w:sz="4"/>
            </w:tcBorders>
            <w:tcMar>
              <w:top w:type="dxa" w:w="100"/>
              <w:left w:type="dxa" w:w="120"/>
              <w:bottom w:type="dxa" w:w="100"/>
              <w:right w:type="dxa" w:w="120"/>
            </w:tcMar>
            <w:vAlign w:val="top"/>
          </w:tcPr>
          <w:p>
            <w:pPr>
              <w:spacing w:after="60"/>
              <w:jc w:val="both"/>
            </w:pPr>
            <w:r>
              <w:rPr>
                <w:rFonts w:ascii="Times New Roman" w:cs="Times New Roman" w:eastAsia="Times New Roman" w:hAnsi="Times New Roman"/>
                <w:b w:val="false"/>
                <w:bCs w:val="false"/>
                <w:sz w:val="22"/>
                <w:szCs w:val="22"/>
              </w:rPr>
              <w:t xml:space="preserve">Research in personalised learning systems demonstrates the effectiveness of adaptive assessment models in improving learner outcomes compared to static quiz banks (Chrysafiadi &amp; Virvou, 2013).</w:t>
            </w:r>
          </w:p>
          <w:p>
            <w:r>
              <w:rPr>
                <w:sz w:val="22"/>
                <w:szCs w:val="22"/>
              </w:rPr>
              <w:t xml:space="preserve"/>
            </w:r>
          </w:p>
          <w:p>
            <w:pPr>
              <w:spacing w:after="60"/>
              <w:jc w:val="both"/>
            </w:pPr>
            <w:r>
              <w:rPr>
                <w:rFonts w:ascii="Times New Roman" w:cs="Times New Roman" w:eastAsia="Times New Roman" w:hAnsi="Times New Roman"/>
                <w:b w:val="false"/>
                <w:bCs w:val="false"/>
                <w:sz w:val="22"/>
                <w:szCs w:val="22"/>
              </w:rPr>
              <w:t xml:space="preserve">Studies on resume parsing and information extraction highlight the use of NLP techniques (Named Entity Recognition, dependency parsing) to accurately extract skills and qualifications from unstructured text (Sinha et al., 2021).</w:t>
            </w:r>
          </w:p>
          <w:p>
            <w:r>
              <w:rPr>
                <w:sz w:val="22"/>
                <w:szCs w:val="22"/>
              </w:rPr>
              <w:t xml:space="preserve"/>
            </w:r>
          </w:p>
          <w:p>
            <w:pPr>
              <w:spacing w:after="60"/>
              <w:jc w:val="both"/>
            </w:pPr>
            <w:r>
              <w:rPr>
                <w:rFonts w:ascii="Times New Roman" w:cs="Times New Roman" w:eastAsia="Times New Roman" w:hAnsi="Times New Roman"/>
                <w:b w:val="false"/>
                <w:bCs w:val="false"/>
                <w:sz w:val="22"/>
                <w:szCs w:val="22"/>
              </w:rPr>
              <w:t xml:space="preserve">Work on skill ontologies and job market analysis (Burning Glass Technologies, 2020) demonstrates how structured skill taxonomies can be used to match candidate profiles to job requirements at a granular level.</w:t>
            </w:r>
          </w:p>
          <w:p>
            <w:r>
              <w:rPr>
                <w:sz w:val="22"/>
                <w:szCs w:val="22"/>
              </w:rPr>
              <w:t xml:space="preserve"/>
            </w:r>
          </w:p>
          <w:p>
            <w:pPr>
              <w:spacing w:after="60"/>
              <w:jc w:val="both"/>
            </w:pPr>
            <w:r>
              <w:rPr>
                <w:rFonts w:ascii="Times New Roman" w:cs="Times New Roman" w:eastAsia="Times New Roman" w:hAnsi="Times New Roman"/>
                <w:b w:val="false"/>
                <w:bCs w:val="false"/>
                <w:sz w:val="22"/>
                <w:szCs w:val="22"/>
              </w:rPr>
              <w:t xml:space="preserve">Research on learning path recommendation systems (Chen et al., 2018) supports the use of gap-severity weighting to prioritise learning resources, improving completion rates and knowledge retention.</w:t>
            </w:r>
          </w:p>
          <w:p>
            <w:r>
              <w:rPr>
                <w:sz w:val="22"/>
                <w:szCs w:val="22"/>
              </w:rPr>
              <w:t xml:space="preserve"/>
            </w:r>
          </w:p>
          <w:p>
            <w:pPr>
              <w:spacing w:after="60"/>
              <w:jc w:val="both"/>
            </w:pPr>
            <w:r>
              <w:rPr>
                <w:rFonts w:ascii="Times New Roman" w:cs="Times New Roman" w:eastAsia="Times New Roman" w:hAnsi="Times New Roman"/>
                <w:b w:val="false"/>
                <w:bCs w:val="false"/>
                <w:sz w:val="22"/>
                <w:szCs w:val="22"/>
              </w:rPr>
              <w:t xml:space="preserve">Studies on accountability mechanisms in e-learning (Hattie &amp; Timperley, 2007) confirm that structured feedback loops — including deadlines and periodic re-testing — significantly improve skill acquisition and self-directed learning outcomes.</w:t>
            </w:r>
          </w:p>
        </w:tc>
      </w:tr>
      <w:tr>
        <w:tc>
          <w:tcPr>
            <w:tcW w:type="dxa" w:w="700"/>
            <w:tcBorders>
              <w:top w:val="single" w:color="999999" w:sz="4"/>
              <w:left w:val="single" w:color="999999" w:sz="4"/>
              <w:bottom w:val="single" w:color="999999" w:sz="4"/>
              <w:right w:val="single" w:color="999999" w:sz="4"/>
            </w:tcBorders>
            <w:tcMar>
              <w:top w:type="dxa" w:w="100"/>
              <w:left w:type="dxa" w:w="120"/>
              <w:bottom w:type="dxa" w:w="100"/>
              <w:right w:type="dxa" w:w="120"/>
            </w:tcMar>
            <w:vAlign w:val="top"/>
          </w:tcPr>
          <w:p>
            <w:pPr>
              <w:jc w:val="center"/>
            </w:pPr>
            <w:r>
              <w:rPr>
                <w:rFonts w:ascii="Times New Roman" w:cs="Times New Roman" w:eastAsia="Times New Roman" w:hAnsi="Times New Roman"/>
                <w:sz w:val="22"/>
                <w:szCs w:val="22"/>
              </w:rPr>
              <w:t xml:space="preserve">5</w:t>
            </w:r>
          </w:p>
        </w:tc>
        <w:tc>
          <w:tcPr>
            <w:tcW w:type="dxa" w:w="1800"/>
            <w:tcBorders>
              <w:top w:val="single" w:color="999999" w:sz="4"/>
              <w:left w:val="single" w:color="999999" w:sz="4"/>
              <w:bottom w:val="single" w:color="999999" w:sz="4"/>
              <w:right w:val="single" w:color="999999" w:sz="4"/>
            </w:tcBorders>
            <w:shd w:fill="F2F2F2" w:val="clear"/>
            <w:tcMar>
              <w:top w:type="dxa" w:w="100"/>
              <w:left w:type="dxa" w:w="120"/>
              <w:bottom w:type="dxa" w:w="100"/>
              <w:right w:type="dxa" w:w="120"/>
            </w:tcMar>
            <w:vAlign w:val="top"/>
          </w:tcPr>
          <w:p>
            <w:r>
              <w:rPr>
                <w:rFonts w:ascii="Times New Roman" w:cs="Times New Roman" w:eastAsia="Times New Roman" w:hAnsi="Times New Roman"/>
                <w:b/>
                <w:bCs/>
                <w:sz w:val="22"/>
                <w:szCs w:val="22"/>
              </w:rPr>
              <w:t xml:space="preserve">Proposed System</w:t>
            </w:r>
          </w:p>
        </w:tc>
        <w:tc>
          <w:tcPr>
            <w:tcW w:type="dxa" w:w="6860"/>
            <w:tcBorders>
              <w:top w:val="single" w:color="999999" w:sz="4"/>
              <w:left w:val="single" w:color="999999" w:sz="4"/>
              <w:bottom w:val="single" w:color="999999" w:sz="4"/>
              <w:right w:val="single" w:color="999999" w:sz="4"/>
            </w:tcBorders>
            <w:tcMar>
              <w:top w:type="dxa" w:w="100"/>
              <w:left w:type="dxa" w:w="120"/>
              <w:bottom w:type="dxa" w:w="100"/>
              <w:right w:type="dxa" w:w="120"/>
            </w:tcMar>
            <w:vAlign w:val="top"/>
          </w:tcPr>
          <w:p>
            <w:pPr>
              <w:spacing w:after="60"/>
              <w:jc w:val="both"/>
            </w:pPr>
            <w:r>
              <w:rPr>
                <w:rFonts w:ascii="Times New Roman" w:cs="Times New Roman" w:eastAsia="Times New Roman" w:hAnsi="Times New Roman"/>
                <w:b w:val="false"/>
                <w:bCs w:val="false"/>
                <w:sz w:val="22"/>
                <w:szCs w:val="22"/>
              </w:rPr>
              <w:t xml:space="preserve">SkillBridge is built on a three-layer architecture:</w:t>
            </w:r>
          </w:p>
          <w:p>
            <w:r>
              <w:rPr>
                <w:sz w:val="22"/>
                <w:szCs w:val="22"/>
              </w:rPr>
              <w:t xml:space="preserve"/>
            </w:r>
          </w:p>
          <w:p>
            <w:pPr>
              <w:spacing w:after="60"/>
              <w:jc w:val="both"/>
            </w:pPr>
            <w:r>
              <w:rPr>
                <w:rFonts w:ascii="Times New Roman" w:cs="Times New Roman" w:eastAsia="Times New Roman" w:hAnsi="Times New Roman"/>
                <w:b/>
                <w:bCs/>
                <w:sz w:val="22"/>
                <w:szCs w:val="22"/>
              </w:rPr>
              <w:t xml:space="preserve">Frontend Layer</w:t>
            </w:r>
          </w:p>
          <w:p>
            <w:pPr>
              <w:spacing w:after="60"/>
              <w:jc w:val="both"/>
            </w:pPr>
            <w:r>
              <w:rPr>
                <w:rFonts w:ascii="Times New Roman" w:cs="Times New Roman" w:eastAsia="Times New Roman" w:hAnsi="Times New Roman"/>
                <w:b w:val="false"/>
                <w:bCs w:val="false"/>
                <w:sz w:val="22"/>
                <w:szCs w:val="22"/>
              </w:rPr>
              <w:t xml:space="preserve">A responsive React.js web dashboard providing: user onboarding and resume upload, job description input, interactive skill gap visualisations (radar charts, progress bars, readiness score), roadmap and deadline views, and re-assessment scheduling interface.</w:t>
            </w:r>
          </w:p>
          <w:p>
            <w:r>
              <w:rPr>
                <w:sz w:val="22"/>
                <w:szCs w:val="22"/>
              </w:rPr>
              <w:t xml:space="preserve"/>
            </w:r>
          </w:p>
          <w:p>
            <w:pPr>
              <w:spacing w:after="60"/>
              <w:jc w:val="both"/>
            </w:pPr>
            <w:r>
              <w:rPr>
                <w:rFonts w:ascii="Times New Roman" w:cs="Times New Roman" w:eastAsia="Times New Roman" w:hAnsi="Times New Roman"/>
                <w:b/>
                <w:bCs/>
                <w:sz w:val="22"/>
                <w:szCs w:val="22"/>
              </w:rPr>
              <w:t xml:space="preserve">Backend Layer</w:t>
            </w:r>
          </w:p>
          <w:p>
            <w:pPr>
              <w:spacing w:after="60"/>
              <w:jc w:val="both"/>
            </w:pPr>
            <w:r>
              <w:rPr>
                <w:rFonts w:ascii="Times New Roman" w:cs="Times New Roman" w:eastAsia="Times New Roman" w:hAnsi="Times New Roman"/>
                <w:b w:val="false"/>
                <w:bCs w:val="false"/>
                <w:sz w:val="22"/>
                <w:szCs w:val="22"/>
              </w:rPr>
              <w:t xml:space="preserve">A Node.js + Express.js REST API handling: user authentication (JWT-based), resume and JD parsing via NLP pipelines, skill extraction, quiz delivery and scoring, and database operations.</w:t>
            </w:r>
          </w:p>
          <w:p>
            <w:r>
              <w:rPr>
                <w:sz w:val="22"/>
                <w:szCs w:val="22"/>
              </w:rPr>
              <w:t xml:space="preserve"/>
            </w:r>
          </w:p>
          <w:p>
            <w:pPr>
              <w:spacing w:after="60"/>
              <w:jc w:val="both"/>
            </w:pPr>
            <w:r>
              <w:rPr>
                <w:rFonts w:ascii="Times New Roman" w:cs="Times New Roman" w:eastAsia="Times New Roman" w:hAnsi="Times New Roman"/>
                <w:b/>
                <w:bCs/>
                <w:sz w:val="22"/>
                <w:szCs w:val="22"/>
              </w:rPr>
              <w:t xml:space="preserve">AI / Analytics Layer</w:t>
            </w:r>
          </w:p>
          <w:p>
            <w:pPr>
              <w:spacing w:after="60"/>
              <w:jc w:val="both"/>
            </w:pPr>
            <w:r>
              <w:rPr>
                <w:rFonts w:ascii="Times New Roman" w:cs="Times New Roman" w:eastAsia="Times New Roman" w:hAnsi="Times New Roman"/>
                <w:b w:val="false"/>
                <w:bCs w:val="false"/>
                <w:sz w:val="22"/>
                <w:szCs w:val="22"/>
              </w:rPr>
              <w:t xml:space="preserve">A Python-based service using NLP (spaCy / BERT-based models) for skill extraction from resumes and job descriptions, gap scoring algorithms with weighted severity ranking, and a recommendation engine that maps gaps to curated learning resources. A re-assessment module compares pre- and post-learning scores to quantify improvement.</w:t>
            </w:r>
          </w:p>
          <w:p>
            <w:r>
              <w:rPr>
                <w:sz w:val="22"/>
                <w:szCs w:val="22"/>
              </w:rPr>
              <w:t xml:space="preserve"/>
            </w:r>
          </w:p>
          <w:p>
            <w:pPr>
              <w:spacing w:after="60"/>
              <w:jc w:val="both"/>
            </w:pPr>
            <w:r>
              <w:rPr>
                <w:rFonts w:ascii="Times New Roman" w:cs="Times New Roman" w:eastAsia="Times New Roman" w:hAnsi="Times New Roman"/>
                <w:b w:val="false"/>
                <w:bCs w:val="false"/>
                <w:sz w:val="22"/>
                <w:szCs w:val="22"/>
              </w:rPr>
              <w:t xml:space="preserve">The full stack is cloud-deployed for scalability and remote access.</w:t>
            </w:r>
          </w:p>
        </w:tc>
      </w:tr>
      <w:tr>
        <w:tc>
          <w:tcPr>
            <w:tcW w:type="dxa" w:w="700"/>
            <w:tcBorders>
              <w:top w:val="single" w:color="999999" w:sz="4"/>
              <w:left w:val="single" w:color="999999" w:sz="4"/>
              <w:bottom w:val="single" w:color="999999" w:sz="4"/>
              <w:right w:val="single" w:color="999999" w:sz="4"/>
            </w:tcBorders>
            <w:tcMar>
              <w:top w:type="dxa" w:w="100"/>
              <w:left w:type="dxa" w:w="120"/>
              <w:bottom w:type="dxa" w:w="100"/>
              <w:right w:type="dxa" w:w="120"/>
            </w:tcMar>
            <w:vAlign w:val="top"/>
          </w:tcPr>
          <w:p>
            <w:pPr>
              <w:jc w:val="center"/>
            </w:pPr>
            <w:r>
              <w:rPr>
                <w:rFonts w:ascii="Times New Roman" w:cs="Times New Roman" w:eastAsia="Times New Roman" w:hAnsi="Times New Roman"/>
                <w:sz w:val="22"/>
                <w:szCs w:val="22"/>
              </w:rPr>
              <w:t xml:space="preserve">6</w:t>
            </w:r>
          </w:p>
        </w:tc>
        <w:tc>
          <w:tcPr>
            <w:tcW w:type="dxa" w:w="1800"/>
            <w:tcBorders>
              <w:top w:val="single" w:color="999999" w:sz="4"/>
              <w:left w:val="single" w:color="999999" w:sz="4"/>
              <w:bottom w:val="single" w:color="999999" w:sz="4"/>
              <w:right w:val="single" w:color="999999" w:sz="4"/>
            </w:tcBorders>
            <w:shd w:fill="F2F2F2" w:val="clear"/>
            <w:tcMar>
              <w:top w:type="dxa" w:w="100"/>
              <w:left w:type="dxa" w:w="120"/>
              <w:bottom w:type="dxa" w:w="100"/>
              <w:right w:type="dxa" w:w="120"/>
            </w:tcMar>
            <w:vAlign w:val="top"/>
          </w:tcPr>
          <w:p>
            <w:r>
              <w:rPr>
                <w:rFonts w:ascii="Times New Roman" w:cs="Times New Roman" w:eastAsia="Times New Roman" w:hAnsi="Times New Roman"/>
                <w:b/>
                <w:bCs/>
                <w:sz w:val="22"/>
                <w:szCs w:val="22"/>
              </w:rPr>
              <w:t xml:space="preserve">Modules Identified</w:t>
            </w:r>
          </w:p>
        </w:tc>
        <w:tc>
          <w:tcPr>
            <w:tcW w:type="dxa" w:w="6860"/>
            <w:tcBorders>
              <w:top w:val="single" w:color="999999" w:sz="4"/>
              <w:left w:val="single" w:color="999999" w:sz="4"/>
              <w:bottom w:val="single" w:color="999999" w:sz="4"/>
              <w:right w:val="single" w:color="999999" w:sz="4"/>
            </w:tcBorders>
            <w:tcMar>
              <w:top w:type="dxa" w:w="100"/>
              <w:left w:type="dxa" w:w="120"/>
              <w:bottom w:type="dxa" w:w="100"/>
              <w:right w:type="dxa" w:w="120"/>
            </w:tcMar>
            <w:vAlign w:val="top"/>
          </w:tcPr>
          <w:p>
            <w:pPr>
              <w:pStyle w:val="ListParagraph"/>
              <w:numPr>
                <w:ilvl w:val="0"/>
                <w:numId w:val="2"/>
              </w:numPr>
              <w:spacing w:after="40"/>
            </w:pPr>
            <w:r>
              <w:rPr>
                <w:rFonts w:ascii="Times New Roman" w:cs="Times New Roman" w:eastAsia="Times New Roman" w:hAnsi="Times New Roman"/>
                <w:sz w:val="22"/>
                <w:szCs w:val="22"/>
              </w:rPr>
              <w:t xml:space="preserve">User Authentication &amp; Profile Module (registration, login, profile management)</w:t>
            </w:r>
          </w:p>
          <w:p>
            <w:pPr>
              <w:pStyle w:val="ListParagraph"/>
              <w:numPr>
                <w:ilvl w:val="0"/>
                <w:numId w:val="2"/>
              </w:numPr>
              <w:spacing w:after="40"/>
            </w:pPr>
            <w:r>
              <w:rPr>
                <w:rFonts w:ascii="Times New Roman" w:cs="Times New Roman" w:eastAsia="Times New Roman" w:hAnsi="Times New Roman"/>
                <w:sz w:val="22"/>
                <w:szCs w:val="22"/>
              </w:rPr>
              <w:t xml:space="preserve">Resume Parsing &amp; Skill Extraction Module (NLP-based, automatic)</w:t>
            </w:r>
          </w:p>
          <w:p>
            <w:pPr>
              <w:pStyle w:val="ListParagraph"/>
              <w:numPr>
                <w:ilvl w:val="0"/>
                <w:numId w:val="2"/>
              </w:numPr>
              <w:spacing w:after="40"/>
            </w:pPr>
            <w:r>
              <w:rPr>
                <w:rFonts w:ascii="Times New Roman" w:cs="Times New Roman" w:eastAsia="Times New Roman" w:hAnsi="Times New Roman"/>
                <w:sz w:val="22"/>
                <w:szCs w:val="22"/>
              </w:rPr>
              <w:t xml:space="preserve">Job Description Parsing &amp; Gap Mapping Module</w:t>
            </w:r>
          </w:p>
          <w:p>
            <w:pPr>
              <w:pStyle w:val="ListParagraph"/>
              <w:numPr>
                <w:ilvl w:val="0"/>
                <w:numId w:val="2"/>
              </w:numPr>
              <w:spacing w:after="40"/>
            </w:pPr>
            <w:r>
              <w:rPr>
                <w:rFonts w:ascii="Times New Roman" w:cs="Times New Roman" w:eastAsia="Times New Roman" w:hAnsi="Times New Roman"/>
                <w:sz w:val="22"/>
                <w:szCs w:val="22"/>
              </w:rPr>
              <w:t xml:space="preserve">Adaptive Quiz &amp; Assessment Module (skill-domain quizzes, proficiency scoring)</w:t>
            </w:r>
          </w:p>
          <w:p>
            <w:pPr>
              <w:pStyle w:val="ListParagraph"/>
              <w:numPr>
                <w:ilvl w:val="0"/>
                <w:numId w:val="2"/>
              </w:numPr>
              <w:spacing w:after="40"/>
            </w:pPr>
            <w:r>
              <w:rPr>
                <w:rFonts w:ascii="Times New Roman" w:cs="Times New Roman" w:eastAsia="Times New Roman" w:hAnsi="Times New Roman"/>
                <w:sz w:val="22"/>
                <w:szCs w:val="22"/>
              </w:rPr>
              <w:t xml:space="preserve">Skill Gap Dashboard &amp; Readiness Score Module</w:t>
            </w:r>
          </w:p>
          <w:p>
            <w:pPr>
              <w:pStyle w:val="ListParagraph"/>
              <w:numPr>
                <w:ilvl w:val="0"/>
                <w:numId w:val="2"/>
              </w:numPr>
              <w:spacing w:after="40"/>
            </w:pPr>
            <w:r>
              <w:rPr>
                <w:rFonts w:ascii="Times New Roman" w:cs="Times New Roman" w:eastAsia="Times New Roman" w:hAnsi="Times New Roman"/>
                <w:sz w:val="22"/>
                <w:szCs w:val="22"/>
              </w:rPr>
              <w:t xml:space="preserve">Personalised Roadmap &amp; Learning Resource Recommendation Module</w:t>
            </w:r>
          </w:p>
          <w:p>
            <w:pPr>
              <w:pStyle w:val="ListParagraph"/>
              <w:numPr>
                <w:ilvl w:val="0"/>
                <w:numId w:val="2"/>
              </w:numPr>
              <w:spacing w:after="40"/>
            </w:pPr>
            <w:r>
              <w:rPr>
                <w:rFonts w:ascii="Times New Roman" w:cs="Times New Roman" w:eastAsia="Times New Roman" w:hAnsi="Times New Roman"/>
                <w:sz w:val="22"/>
                <w:szCs w:val="22"/>
              </w:rPr>
              <w:t xml:space="preserve">Deadline Management &amp; Re-Assessment Scheduling Module</w:t>
            </w:r>
          </w:p>
          <w:p>
            <w:pPr>
              <w:pStyle w:val="ListParagraph"/>
              <w:numPr>
                <w:ilvl w:val="0"/>
                <w:numId w:val="2"/>
              </w:numPr>
              <w:spacing w:after="40"/>
            </w:pPr>
            <w:r>
              <w:rPr>
                <w:rFonts w:ascii="Times New Roman" w:cs="Times New Roman" w:eastAsia="Times New Roman" w:hAnsi="Times New Roman"/>
                <w:sz w:val="22"/>
                <w:szCs w:val="22"/>
              </w:rPr>
              <w:t xml:space="preserve">Progress Analytics &amp; Improvement Tracking Module</w:t>
            </w:r>
          </w:p>
        </w:tc>
      </w:tr>
      <w:tr>
        <w:tc>
          <w:tcPr>
            <w:tcW w:type="dxa" w:w="700"/>
            <w:tcBorders>
              <w:top w:val="single" w:color="999999" w:sz="4"/>
              <w:left w:val="single" w:color="999999" w:sz="4"/>
              <w:bottom w:val="single" w:color="999999" w:sz="4"/>
              <w:right w:val="single" w:color="999999" w:sz="4"/>
            </w:tcBorders>
            <w:tcMar>
              <w:top w:type="dxa" w:w="100"/>
              <w:left w:type="dxa" w:w="120"/>
              <w:bottom w:type="dxa" w:w="100"/>
              <w:right w:type="dxa" w:w="120"/>
            </w:tcMar>
            <w:vAlign w:val="top"/>
          </w:tcPr>
          <w:p>
            <w:pPr>
              <w:jc w:val="center"/>
            </w:pPr>
            <w:r>
              <w:rPr>
                <w:rFonts w:ascii="Times New Roman" w:cs="Times New Roman" w:eastAsia="Times New Roman" w:hAnsi="Times New Roman"/>
                <w:sz w:val="22"/>
                <w:szCs w:val="22"/>
              </w:rPr>
              <w:t xml:space="preserve">7</w:t>
            </w:r>
          </w:p>
        </w:tc>
        <w:tc>
          <w:tcPr>
            <w:tcW w:type="dxa" w:w="1800"/>
            <w:tcBorders>
              <w:top w:val="single" w:color="999999" w:sz="4"/>
              <w:left w:val="single" w:color="999999" w:sz="4"/>
              <w:bottom w:val="single" w:color="999999" w:sz="4"/>
              <w:right w:val="single" w:color="999999" w:sz="4"/>
            </w:tcBorders>
            <w:shd w:fill="F2F2F2" w:val="clear"/>
            <w:tcMar>
              <w:top w:type="dxa" w:w="100"/>
              <w:left w:type="dxa" w:w="120"/>
              <w:bottom w:type="dxa" w:w="100"/>
              <w:right w:type="dxa" w:w="120"/>
            </w:tcMar>
            <w:vAlign w:val="top"/>
          </w:tcPr>
          <w:p>
            <w:r>
              <w:rPr>
                <w:rFonts w:ascii="Times New Roman" w:cs="Times New Roman" w:eastAsia="Times New Roman" w:hAnsi="Times New Roman"/>
                <w:b/>
                <w:bCs/>
                <w:sz w:val="22"/>
                <w:szCs w:val="22"/>
              </w:rPr>
              <w:t xml:space="preserve">Hardware and Software Requirements</w:t>
            </w:r>
          </w:p>
        </w:tc>
        <w:tc>
          <w:tcPr>
            <w:tcW w:type="dxa" w:w="6860"/>
            <w:tcBorders>
              <w:top w:val="single" w:color="999999" w:sz="4"/>
              <w:left w:val="single" w:color="999999" w:sz="4"/>
              <w:bottom w:val="single" w:color="999999" w:sz="4"/>
              <w:right w:val="single" w:color="999999" w:sz="4"/>
            </w:tcBorders>
            <w:tcMar>
              <w:top w:type="dxa" w:w="100"/>
              <w:left w:type="dxa" w:w="120"/>
              <w:bottom w:type="dxa" w:w="100"/>
              <w:right w:type="dxa" w:w="120"/>
            </w:tcMar>
            <w:vAlign w:val="top"/>
          </w:tcPr>
          <w:p>
            <w:pPr>
              <w:spacing w:after="60"/>
              <w:jc w:val="both"/>
            </w:pPr>
            <w:r>
              <w:rPr>
                <w:rFonts w:ascii="Times New Roman" w:cs="Times New Roman" w:eastAsia="Times New Roman" w:hAnsi="Times New Roman"/>
                <w:b/>
                <w:bCs/>
                <w:sz w:val="22"/>
                <w:szCs w:val="22"/>
              </w:rPr>
              <w:t xml:space="preserve">Hardware</w:t>
            </w:r>
          </w:p>
          <w:p>
            <w:pPr>
              <w:pStyle w:val="ListParagraph"/>
              <w:numPr>
                <w:ilvl w:val="0"/>
                <w:numId w:val="2"/>
              </w:numPr>
              <w:spacing w:after="40"/>
            </w:pPr>
            <w:r>
              <w:rPr>
                <w:rFonts w:ascii="Times New Roman" w:cs="Times New Roman" w:eastAsia="Times New Roman" w:hAnsi="Times New Roman"/>
                <w:sz w:val="22"/>
                <w:szCs w:val="22"/>
              </w:rPr>
              <w:t xml:space="preserve">Personal Computer / Laptop (minimum 8 GB RAM, Intel i5 or equivalent)</w:t>
            </w:r>
          </w:p>
          <w:p>
            <w:pPr>
              <w:pStyle w:val="ListParagraph"/>
              <w:numPr>
                <w:ilvl w:val="0"/>
                <w:numId w:val="2"/>
              </w:numPr>
              <w:spacing w:after="40"/>
            </w:pPr>
            <w:r>
              <w:rPr>
                <w:rFonts w:ascii="Times New Roman" w:cs="Times New Roman" w:eastAsia="Times New Roman" w:hAnsi="Times New Roman"/>
                <w:sz w:val="22"/>
                <w:szCs w:val="22"/>
              </w:rPr>
              <w:t xml:space="preserve">Internet connectivity for cloud deployment and API access</w:t>
            </w:r>
          </w:p>
          <w:p>
            <w:r>
              <w:rPr>
                <w:sz w:val="22"/>
                <w:szCs w:val="22"/>
              </w:rPr>
              <w:t xml:space="preserve"/>
            </w:r>
          </w:p>
          <w:p>
            <w:pPr>
              <w:spacing w:after="60"/>
              <w:jc w:val="both"/>
            </w:pPr>
            <w:r>
              <w:rPr>
                <w:rFonts w:ascii="Times New Roman" w:cs="Times New Roman" w:eastAsia="Times New Roman" w:hAnsi="Times New Roman"/>
                <w:b/>
                <w:bCs/>
                <w:sz w:val="22"/>
                <w:szCs w:val="22"/>
              </w:rPr>
              <w:t xml:space="preserve">Software</w:t>
            </w:r>
          </w:p>
          <w:p>
            <w:pPr>
              <w:pStyle w:val="ListParagraph"/>
              <w:numPr>
                <w:ilvl w:val="0"/>
                <w:numId w:val="2"/>
              </w:numPr>
              <w:spacing w:after="40"/>
            </w:pPr>
            <w:r>
              <w:rPr>
                <w:rFonts w:ascii="Times New Roman" w:cs="Times New Roman" w:eastAsia="Times New Roman" w:hAnsi="Times New Roman"/>
                <w:sz w:val="22"/>
                <w:szCs w:val="22"/>
              </w:rPr>
              <w:t xml:space="preserve">Frontend: React.js, HTML5, CSS3, Tailwind CSS</w:t>
            </w:r>
          </w:p>
          <w:p>
            <w:pPr>
              <w:pStyle w:val="ListParagraph"/>
              <w:numPr>
                <w:ilvl w:val="0"/>
                <w:numId w:val="2"/>
              </w:numPr>
              <w:spacing w:after="40"/>
            </w:pPr>
            <w:r>
              <w:rPr>
                <w:rFonts w:ascii="Times New Roman" w:cs="Times New Roman" w:eastAsia="Times New Roman" w:hAnsi="Times New Roman"/>
                <w:sz w:val="22"/>
                <w:szCs w:val="22"/>
              </w:rPr>
              <w:t xml:space="preserve">Backend: Node.js, Express.js</w:t>
            </w:r>
          </w:p>
          <w:p>
            <w:pPr>
              <w:pStyle w:val="ListParagraph"/>
              <w:numPr>
                <w:ilvl w:val="0"/>
                <w:numId w:val="2"/>
              </w:numPr>
              <w:spacing w:after="40"/>
            </w:pPr>
            <w:r>
              <w:rPr>
                <w:rFonts w:ascii="Times New Roman" w:cs="Times New Roman" w:eastAsia="Times New Roman" w:hAnsi="Times New Roman"/>
                <w:sz w:val="22"/>
                <w:szCs w:val="22"/>
              </w:rPr>
              <w:t xml:space="preserve">AI / NLP: Python 3.x, spaCy, Transformers (HuggingFace), scikit-learn</w:t>
            </w:r>
          </w:p>
          <w:p>
            <w:pPr>
              <w:pStyle w:val="ListParagraph"/>
              <w:numPr>
                <w:ilvl w:val="0"/>
                <w:numId w:val="2"/>
              </w:numPr>
              <w:spacing w:after="40"/>
            </w:pPr>
            <w:r>
              <w:rPr>
                <w:rFonts w:ascii="Times New Roman" w:cs="Times New Roman" w:eastAsia="Times New Roman" w:hAnsi="Times New Roman"/>
                <w:sz w:val="22"/>
                <w:szCs w:val="22"/>
              </w:rPr>
              <w:t xml:space="preserve">Database: MongoDB (user data, assessments, progress records)</w:t>
            </w:r>
          </w:p>
          <w:p>
            <w:pPr>
              <w:pStyle w:val="ListParagraph"/>
              <w:numPr>
                <w:ilvl w:val="0"/>
                <w:numId w:val="2"/>
              </w:numPr>
              <w:spacing w:after="40"/>
            </w:pPr>
            <w:r>
              <w:rPr>
                <w:rFonts w:ascii="Times New Roman" w:cs="Times New Roman" w:eastAsia="Times New Roman" w:hAnsi="Times New Roman"/>
                <w:sz w:val="22"/>
                <w:szCs w:val="22"/>
              </w:rPr>
              <w:t xml:space="preserve">Authentication: JSON Web Tokens (JWT)</w:t>
            </w:r>
          </w:p>
          <w:p>
            <w:pPr>
              <w:pStyle w:val="ListParagraph"/>
              <w:numPr>
                <w:ilvl w:val="0"/>
                <w:numId w:val="2"/>
              </w:numPr>
              <w:spacing w:after="40"/>
            </w:pPr>
            <w:r>
              <w:rPr>
                <w:rFonts w:ascii="Times New Roman" w:cs="Times New Roman" w:eastAsia="Times New Roman" w:hAnsi="Times New Roman"/>
                <w:sz w:val="22"/>
                <w:szCs w:val="22"/>
              </w:rPr>
              <w:t xml:space="preserve">Tools: VS Code, Git, GitHub, Postman</w:t>
            </w:r>
          </w:p>
          <w:p>
            <w:pPr>
              <w:pStyle w:val="ListParagraph"/>
              <w:numPr>
                <w:ilvl w:val="0"/>
                <w:numId w:val="2"/>
              </w:numPr>
              <w:spacing w:after="40"/>
            </w:pPr>
            <w:r>
              <w:rPr>
                <w:rFonts w:ascii="Times New Roman" w:cs="Times New Roman" w:eastAsia="Times New Roman" w:hAnsi="Times New Roman"/>
                <w:sz w:val="22"/>
                <w:szCs w:val="22"/>
              </w:rPr>
              <w:t xml:space="preserve">Deployment: AWS / Render / Railway (Cloud)</w:t>
            </w:r>
          </w:p>
          <w:p>
            <w:pPr>
              <w:pStyle w:val="ListParagraph"/>
              <w:numPr>
                <w:ilvl w:val="0"/>
                <w:numId w:val="2"/>
              </w:numPr>
              <w:spacing w:after="40"/>
            </w:pPr>
            <w:r>
              <w:rPr>
                <w:rFonts w:ascii="Times New Roman" w:cs="Times New Roman" w:eastAsia="Times New Roman" w:hAnsi="Times New Roman"/>
                <w:sz w:val="22"/>
                <w:szCs w:val="22"/>
              </w:rPr>
              <w:t xml:space="preserve">OS: Windows 10 / Ubuntu 20.04+</w:t>
            </w:r>
          </w:p>
        </w:tc>
      </w:tr>
    </w:tbl>
    <w:p>
      <w:r>
        <w:rPr>
          <w:sz w:val="22"/>
          <w:szCs w:val="22"/>
        </w:rPr>
        <w:t xml:space="preserve"/>
      </w:r>
    </w:p>
    <w:p>
      <w:pPr>
        <w:spacing w:after="60"/>
        <w:jc w:val="both"/>
      </w:pPr>
      <w:r>
        <w:rPr>
          <w:rFonts w:ascii="Times New Roman" w:cs="Times New Roman" w:eastAsia="Times New Roman" w:hAnsi="Times New Roman"/>
          <w:b w:val="false"/>
          <w:bCs w:val="false"/>
          <w:sz w:val="22"/>
          <w:szCs w:val="22"/>
        </w:rPr>
        <w:t xml:space="preserve">Recommendations: Accepted (Y/N) ___________</w:t>
      </w:r>
    </w:p>
    <w:p>
      <w:r>
        <w:rPr>
          <w:sz w:val="22"/>
          <w:szCs w:val="22"/>
        </w:rPr>
        <w:t xml:space="preserve"/>
      </w:r>
    </w:p>
    <w:p>
      <w:pPr>
        <w:spacing w:after="60"/>
        <w:jc w:val="both"/>
      </w:pPr>
      <w:r>
        <w:rPr>
          <w:rFonts w:ascii="Times New Roman" w:cs="Times New Roman" w:eastAsia="Times New Roman" w:hAnsi="Times New Roman"/>
          <w:b w:val="false"/>
          <w:bCs w:val="false"/>
          <w:sz w:val="22"/>
          <w:szCs w:val="22"/>
        </w:rPr>
        <w:t xml:space="preserve">Suggestions by the coordinators:</w:t>
      </w:r>
    </w:p>
    <w:p>
      <w:r>
        <w:rPr>
          <w:sz w:val="22"/>
          <w:szCs w:val="22"/>
        </w:rPr>
        <w:t xml:space="preserve"/>
      </w:r>
    </w:p>
    <w:p>
      <w:r>
        <w:rPr>
          <w:sz w:val="22"/>
          <w:szCs w:val="22"/>
        </w:rPr>
        <w:t xml:space="preserve"/>
      </w:r>
    </w:p>
    <w:p>
      <w:pPr>
        <w:spacing w:after="60"/>
        <w:jc w:val="both"/>
      </w:pPr>
      <w:r>
        <w:rPr>
          <w:rFonts w:ascii="Times New Roman" w:cs="Times New Roman" w:eastAsia="Times New Roman" w:hAnsi="Times New Roman"/>
          <w:b w:val="false"/>
          <w:bCs w:val="false"/>
          <w:sz w:val="22"/>
          <w:szCs w:val="22"/>
        </w:rPr>
        <w:t xml:space="preserve">Marks Awarded: _______ / 10</w:t>
      </w:r>
    </w:p>
    <w:p>
      <w:r>
        <w:rPr>
          <w:sz w:val="22"/>
          <w:szCs w:val="22"/>
        </w:rPr>
        <w:t xml:space="preserve"/>
      </w:r>
    </w:p>
    <w:p>
      <w:r>
        <w:rPr>
          <w:rFonts w:ascii="Times New Roman" w:cs="Times New Roman" w:eastAsia="Times New Roman" w:hAnsi="Times New Roman"/>
          <w:sz w:val="22"/>
          <w:szCs w:val="22"/>
        </w:rPr>
        <w:t xml:space="preserve">Evaluation by Guide: ___________</w:t>
      </w:r>
    </w:p>
    <w:p>
      <w:r>
        <w:rPr>
          <w:sz w:val="22"/>
          <w:szCs w:val="22"/>
        </w:rPr>
        <w:t xml:space="preserve"/>
      </w:r>
    </w:p>
    <w:p>
      <w:r>
        <w:rPr>
          <w:sz w:val="22"/>
          <w:szCs w:val="22"/>
        </w:rPr>
        <w:t xml:space="preserve"/>
      </w:r>
    </w:p>
    <w:p>
      <w:r>
        <w:rPr>
          <w:rFonts w:ascii="Times New Roman" w:cs="Times New Roman" w:eastAsia="Times New Roman" w:hAnsi="Times New Roman"/>
          <w:sz w:val="22"/>
          <w:szCs w:val="22"/>
        </w:rPr>
        <w:t xml:space="preserve">Signature of Coordinators</w:t>
      </w:r>
      <w:r>
        <w:rPr>
          <w:sz w:val="22"/>
          <w:szCs w:val="22"/>
        </w:rPr>
        <w:t xml:space="preserve">					</w:t>
      </w:r>
      <w:r>
        <w:rPr>
          <w:rFonts w:ascii="Times New Roman" w:cs="Times New Roman" w:eastAsia="Times New Roman" w:hAnsi="Times New Roman"/>
          <w:sz w:val="22"/>
          <w:szCs w:val="22"/>
        </w:rPr>
        <w:t xml:space="preserve">Signature of Guide</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2026-04-29T18:29:12.297Z</dcterms:created>
  <dcterms:modified xsi:type="dcterms:W3CDTF">2026-04-29T18:29:12.298Z</dcterms:modified>
</cp:coreProperties>
</file>

<file path=docProps/custom.xml><?xml version="1.0" encoding="utf-8"?>
<Properties xmlns="http://schemas.openxmlformats.org/officeDocument/2006/custom-properties" xmlns:vt="http://schemas.openxmlformats.org/officeDocument/2006/docPropsVTypes"/>
</file>