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Montserrat" w:cs="Montserrat" w:eastAsia="Montserrat" w:hAnsi="Montserrat"/>
          <w:b/>
          <w:bCs/>
          <w:color w:val="231F20"/>
          <w:sz w:val="52"/>
          <w:szCs w:val="52"/>
        </w:rPr>
        <w:t xml:space="preserve">ATOMIK</w:t>
      </w:r>
    </w:p>
    <w:p>
      <w:pPr>
        <w:pBdr>
          <w:bottom w:val="single" w:color="ED2227" w:sz="18" w:space="10"/>
        </w:pBdr>
        <w:spacing w:after="500"/>
      </w:pPr>
      <w:r>
        <w:rPr>
          <w:rFonts w:ascii="Montserrat" w:cs="Montserrat" w:eastAsia="Montserrat" w:hAnsi="Montserrat"/>
          <w:b/>
          <w:bCs/>
          <w:color w:val="ED2227"/>
          <w:sz w:val="24"/>
          <w:szCs w:val="24"/>
        </w:rPr>
        <w:t xml:space="preserve">SIMULATION ENGINE</w:t>
      </w:r>
    </w:p>
    <w:p>
      <w:pPr>
        <w:spacing w:after="180"/>
      </w:pPr>
      <w:r>
        <w:rPr>
          <w:rFonts w:ascii="Montserrat" w:cs="Montserrat" w:eastAsia="Montserrat" w:hAnsi="Montserrat"/>
          <w:b/>
          <w:bCs/>
          <w:color w:val="231F20"/>
          <w:sz w:val="40"/>
          <w:szCs w:val="40"/>
        </w:rPr>
        <w:t xml:space="preserve">Making the SPL Map Three-Dimensional</w:t>
      </w:r>
    </w:p>
    <w:p>
      <w:pPr>
        <w:spacing w:after="700"/>
      </w:pPr>
      <w:r>
        <w:rPr>
          <w:rFonts w:ascii="Montserrat" w:cs="Montserrat" w:eastAsia="Montserrat" w:hAnsi="Montserrat"/>
          <w:color w:val="5A5A5E"/>
          <w:sz w:val="24"/>
          <w:szCs w:val="24"/>
        </w:rPr>
        <w:t xml:space="preserve">Research, data requirements, and how the industry places sub, mid and top</w:t>
      </w:r>
    </w:p>
    <w:p>
      <w:pPr>
        <w:spacing w:after="40" w:line="280"/>
      </w:pPr>
      <w:r>
        <w:rPr>
          <w:rFonts w:ascii="Montserrat" w:cs="Montserrat" w:eastAsia="Montserrat" w:hAnsi="Montserrat"/>
          <w:b w:val="false"/>
          <w:bCs w:val="false"/>
          <w:i w:val="false"/>
          <w:iCs w:val="false"/>
          <w:color w:val="5A5A5E"/>
          <w:sz w:val="19"/>
          <w:szCs w:val="19"/>
        </w:rPr>
        <w:t xml:space="preserve">Prepared 29 September 2026</w:t>
      </w:r>
    </w:p>
    <w:p>
      <w:pPr>
        <w:spacing w:after="40" w:line="280"/>
      </w:pPr>
      <w:r>
        <w:rPr>
          <w:rFonts w:ascii="Montserrat" w:cs="Montserrat" w:eastAsia="Montserrat" w:hAnsi="Montserrat"/>
          <w:b w:val="false"/>
          <w:bCs w:val="false"/>
          <w:i w:val="false"/>
          <w:iCs w:val="false"/>
          <w:color w:val="5A5A5E"/>
          <w:sz w:val="19"/>
          <w:szCs w:val="19"/>
        </w:rPr>
        <w:t xml:space="preserve">Branch: BEM-2inch  ·  Engine version 1.4.0.7</w:t>
      </w:r>
    </w:p>
    <w:p>
      <w:pPr>
        <w:spacing w:after="400" w:line="280"/>
      </w:pPr>
      <w:r>
        <w:rPr>
          <w:rFonts w:ascii="Montserrat" w:cs="Montserrat" w:eastAsia="Montserrat" w:hAnsi="Montserrat"/>
          <w:b w:val="false"/>
          <w:bCs w:val="false"/>
          <w:i w:val="false"/>
          <w:iCs w:val="false"/>
          <w:color w:val="5A5A5E"/>
          <w:sz w:val="19"/>
          <w:szCs w:val="19"/>
        </w:rPr>
        <w:t xml:space="preserve">Audience: the Atomik team — whoever sets scope, and whoever builds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6E6" w:sz="4"/>
              <w:left w:val="single" w:color="ED2227" w:sz="18"/>
              <w:bottom w:val="single" w:color="E6E6E6" w:sz="4"/>
              <w:right w:val="single" w:color="E6E6E6" w:sz="4"/>
            </w:tcBorders>
            <w:shd w:fill="F0F0F0" w:color="auto" w:val="clear"/>
            <w:tcMar>
              <w:top w:type="dxa" w:w="140"/>
              <w:left w:type="dxa" w:w="160"/>
              <w:bottom w:type="dxa" w:w="140"/>
              <w:right w:type="dxa" w:w="160"/>
            </w:tcMar>
          </w:tcPr>
          <w:p>
            <w:pPr>
              <w:spacing w:after="80"/>
            </w:pPr>
            <w:r>
              <w:rPr>
                <w:rFonts w:ascii="Montserrat" w:cs="Montserrat" w:eastAsia="Montserrat" w:hAnsi="Montserrat"/>
                <w:b/>
                <w:bCs/>
                <w:color w:val="ED2227"/>
                <w:sz w:val="20"/>
                <w:szCs w:val="20"/>
              </w:rPr>
              <w:t xml:space="preserve">The one-sentence answer</w:t>
            </w:r>
          </w:p>
          <w:p>
            <w:pPr>
              <w:spacing w:after="60" w:line="280"/>
            </w:pPr>
            <w:r>
              <w:rPr>
                <w:rFonts w:ascii="Montserrat" w:cs="Montserrat" w:eastAsia="Montserrat" w:hAnsi="Montserrat"/>
                <w:color w:val="231F20"/>
                <w:sz w:val="19"/>
                <w:szCs w:val="19"/>
              </w:rPr>
              <w:t xml:space="preserve">A 3D SPL map is not a rendering problem. It is a data problem: every loudspeaker in the engine is currently described by a single horizontal slice of directivity, because that is all the BEM study produced. To predict sound anywhere off that plane, we need the BEM solver re-run with receivers on a sphere rather than on one flat cut. Everything else in this document follows from that.</w:t>
            </w:r>
          </w:p>
        </w:tc>
      </w:tr>
    </w:tbl>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200" w:line="280"/>
      </w:pPr>
      <w:r>
        <w:rPr>
          <w:rFonts w:ascii="Montserrat" w:cs="Montserrat" w:eastAsia="Montserrat" w:hAnsi="Montserrat"/>
          <w:b w:val="false"/>
          <w:bCs w:val="false"/>
          <w:i w:val="false"/>
          <w:iCs w:val="false"/>
          <w:color w:val="5A5A5E"/>
          <w:sz w:val="17"/>
          <w:szCs w:val="17"/>
        </w:rPr>
        <w:t xml:space="preserve">(Right-click → Update Field in Word to populate page numbers.)</w:t>
      </w:r>
    </w:p>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1. Executive summary</w:t>
      </w:r>
    </w:p>
    <w:p>
      <w:pPr>
        <w:spacing w:after="120" w:line="280"/>
      </w:pPr>
      <w:r>
        <w:rPr>
          <w:rFonts w:ascii="Montserrat" w:cs="Montserrat" w:eastAsia="Montserrat" w:hAnsi="Montserrat"/>
          <w:b w:val="false"/>
          <w:bCs w:val="false"/>
          <w:i w:val="false"/>
          <w:iCs w:val="false"/>
          <w:color w:val="231F20"/>
          <w:sz w:val="20"/>
          <w:szCs w:val="20"/>
        </w:rPr>
        <w:t xml:space="preserve">You asked three things: what it would take to make the SPL map 3D and what data you would have to supply; what the reference tools in this industry do; and how sub, mid and top cabinets are placed as standard practice. This document answers all three, and states plainly where we are blocked.</w:t>
      </w:r>
    </w:p>
    <w:p>
      <w:pPr>
        <w:pStyle w:val="Heading2"/>
        <w:spacing w:after="120" w:before="260"/>
      </w:pPr>
      <w:r>
        <w:rPr>
          <w:rFonts w:ascii="Montserrat" w:cs="Montserrat" w:eastAsia="Montserrat" w:hAnsi="Montserrat"/>
          <w:b/>
          <w:bCs/>
          <w:color w:val="ED2227"/>
          <w:sz w:val="23"/>
          <w:szCs w:val="23"/>
        </w:rPr>
        <w:t xml:space="preserve">1.1  What is actually in the way</w:t>
      </w:r>
    </w:p>
    <w:p>
      <w:pPr>
        <w:spacing w:after="120" w:line="280"/>
      </w:pPr>
      <w:r>
        <w:rPr>
          <w:rFonts w:ascii="Montserrat" w:cs="Montserrat" w:eastAsia="Montserrat" w:hAnsi="Montserrat"/>
          <w:b w:val="false"/>
          <w:bCs w:val="false"/>
          <w:i w:val="false"/>
          <w:iCs w:val="false"/>
          <w:color w:val="231F20"/>
          <w:sz w:val="20"/>
          <w:szCs w:val="20"/>
        </w:rPr>
        <w:t xml:space="preserve">The engine's physics are better than you might expect. It already sums sources as complex pressure — amplitude and phase — with per-source gain, delay, polarity, position and azimuth. That is the same class of summation the professional tools use, and it is why the engine can already show comb filtering and power alleys correctly.</w:t>
      </w:r>
    </w:p>
    <w:p>
      <w:pPr>
        <w:spacing w:after="120" w:line="280"/>
      </w:pPr>
      <w:r>
        <w:rPr>
          <w:rFonts w:ascii="Montserrat" w:cs="Montserrat" w:eastAsia="Montserrat" w:hAnsi="Montserrat"/>
          <w:b w:val="false"/>
          <w:bCs w:val="false"/>
          <w:i w:val="false"/>
          <w:iCs w:val="false"/>
          <w:color w:val="231F20"/>
          <w:sz w:val="20"/>
          <w:szCs w:val="20"/>
        </w:rPr>
        <w:t xml:space="preserve">What it cannot do is look up or down. Every speaker's directivity is stored as </w:t>
      </w:r>
      <w:r>
        <w:rPr>
          <w:rFonts w:ascii="Montserrat" w:cs="Montserrat" w:eastAsia="Montserrat" w:hAnsi="Montserrat"/>
          <w:b/>
          <w:bCs/>
          <w:i w:val="false"/>
          <w:iCs w:val="false"/>
          <w:color w:val="231F20"/>
          <w:sz w:val="20"/>
          <w:szCs w:val="20"/>
        </w:rPr>
        <w:t xml:space="preserve">D(θ)</w:t>
      </w:r>
      <w:r>
        <w:rPr>
          <w:rFonts w:ascii="Montserrat" w:cs="Montserrat" w:eastAsia="Montserrat" w:hAnsi="Montserrat"/>
          <w:b w:val="false"/>
          <w:bCs w:val="false"/>
          <w:i w:val="false"/>
          <w:iCs w:val="false"/>
          <w:color w:val="231F20"/>
          <w:sz w:val="20"/>
          <w:szCs w:val="20"/>
        </w:rPr>
        <w:t xml:space="preserve"> — a function of azimuth only. There is no </w:t>
      </w:r>
      <w:r>
        <w:rPr>
          <w:rFonts w:ascii="Montserrat" w:cs="Montserrat" w:eastAsia="Montserrat" w:hAnsi="Montserrat"/>
          <w:b/>
          <w:bCs/>
          <w:i w:val="false"/>
          <w:iCs w:val="false"/>
          <w:color w:val="231F20"/>
          <w:sz w:val="20"/>
          <w:szCs w:val="20"/>
        </w:rPr>
        <w:t xml:space="preserve">D(θ, φ)</w:t>
      </w:r>
      <w:r>
        <w:rPr>
          <w:rFonts w:ascii="Montserrat" w:cs="Montserrat" w:eastAsia="Montserrat" w:hAnsi="Montserrat"/>
          <w:b w:val="false"/>
          <w:bCs w:val="false"/>
          <w:i w:val="false"/>
          <w:iCs w:val="false"/>
          <w:color w:val="231F20"/>
          <w:sz w:val="20"/>
          <w:szCs w:val="20"/>
        </w:rPr>
        <w:t xml:space="preserve">, because the BEM study sampled one flat plane. The engine even stores a height and a down-tilt per cabinet already, and the solver deliberately ignores them, because there is no vertical pattern to apply them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6E6" w:sz="4"/>
              <w:left w:val="single" w:color="46C37B" w:sz="18"/>
              <w:bottom w:val="single" w:color="E6E6E6" w:sz="4"/>
              <w:right w:val="single" w:color="E6E6E6" w:sz="4"/>
            </w:tcBorders>
            <w:shd w:fill="F0F0F0" w:color="auto" w:val="clear"/>
            <w:tcMar>
              <w:top w:type="dxa" w:w="140"/>
              <w:left w:type="dxa" w:w="160"/>
              <w:bottom w:type="dxa" w:w="140"/>
              <w:right w:type="dxa" w:w="160"/>
            </w:tcMar>
          </w:tcPr>
          <w:p>
            <w:pPr>
              <w:spacing w:after="80"/>
            </w:pPr>
            <w:r>
              <w:rPr>
                <w:rFonts w:ascii="Montserrat" w:cs="Montserrat" w:eastAsia="Montserrat" w:hAnsi="Montserrat"/>
                <w:b/>
                <w:bCs/>
                <w:color w:val="46C37B"/>
                <w:sz w:val="20"/>
                <w:szCs w:val="20"/>
              </w:rPr>
              <w:t xml:space="preserve">The good news, and it is genuinely good</w:t>
            </w:r>
          </w:p>
          <w:p>
            <w:pPr>
              <w:spacing w:after="60" w:line="280"/>
            </w:pPr>
            <w:r>
              <w:rPr>
                <w:rFonts w:ascii="Montserrat" w:cs="Montserrat" w:eastAsia="Montserrat" w:hAnsi="Montserrat"/>
                <w:color w:val="231F20"/>
                <w:sz w:val="19"/>
                <w:szCs w:val="19"/>
              </w:rPr>
              <w:t xml:space="preserve">Your BEM solver already outputs complex pressure (real and imaginary parts, in Pascals). That is the hard part, and it is the same thing the best commercial format (GLL) carries. You are not missing physics. You are missing sampling directions.</w:t>
            </w:r>
          </w:p>
          <w:p>
            <w:pPr>
              <w:spacing w:after="60" w:line="280"/>
            </w:pPr>
            <w:r>
              <w:rPr>
                <w:rFonts w:ascii="Montserrat" w:cs="Montserrat" w:eastAsia="Montserrat" w:hAnsi="Montserrat"/>
                <w:color w:val="231F20"/>
                <w:sz w:val="19"/>
                <w:szCs w:val="19"/>
              </w:rPr>
              <w:t xml:space="preserve">Better still: a 5° × 5° full sphere is about 2,664 receiver points per frequency. The current single-plane dump is 40,961 points per frequency. The data we need is roughly fifteen times SMALLER than what you already generate — it is just pointed in every direction instead of one.</w:t>
            </w:r>
          </w:p>
        </w:tc>
      </w:tr>
    </w:tbl>
    <w:p>
      <w:pPr>
        <w:pStyle w:val="Heading2"/>
        <w:spacing w:after="120" w:before="260"/>
      </w:pPr>
      <w:r>
        <w:rPr>
          <w:rFonts w:ascii="Montserrat" w:cs="Montserrat" w:eastAsia="Montserrat" w:hAnsi="Montserrat"/>
          <w:b/>
          <w:bCs/>
          <w:color w:val="ED2227"/>
          <w:sz w:val="23"/>
          <w:szCs w:val="23"/>
        </w:rPr>
        <w:t xml:space="preserve">1.2  What we recommend</w:t>
      </w:r>
    </w:p>
    <w:p>
      <w:pPr>
        <w:pStyle w:val="ListParagraph"/>
        <w:numPr>
          <w:ilvl w:val="0"/>
          <w:numId w:val="2"/>
        </w:numPr>
        <w:spacing w:after="80" w:line="280"/>
      </w:pPr>
      <w:r>
        <w:rPr>
          <w:rFonts w:ascii="Montserrat" w:cs="Montserrat" w:eastAsia="Montserrat" w:hAnsi="Montserrat"/>
          <w:color w:val="231F20"/>
          <w:sz w:val="20"/>
          <w:szCs w:val="20"/>
        </w:rPr>
        <w:t xml:space="preserve">Do not build a volumetric 3D cloud. It looks impressive, it is expensive to compute, and designers cannot read it. Nobody in the industry ships it as the primary view.</w:t>
      </w:r>
    </w:p>
    <w:p>
      <w:pPr>
        <w:pStyle w:val="ListParagraph"/>
        <w:numPr>
          <w:ilvl w:val="0"/>
          <w:numId w:val="2"/>
        </w:numPr>
        <w:spacing w:after="80" w:line="280"/>
      </w:pPr>
      <w:r>
        <w:rPr>
          <w:rFonts w:ascii="Montserrat" w:cs="Montserrat" w:eastAsia="Montserrat" w:hAnsi="Montserrat"/>
          <w:color w:val="231F20"/>
          <w:sz w:val="20"/>
          <w:szCs w:val="20"/>
        </w:rPr>
        <w:t xml:space="preserve">Build audience surfaces instead — inclined and curved planes through the venue, with SPL painted on them. That is what ArrayCalc, EASE Focus and Venue Synthesis all actually show, and it answers the real question: is the balcony covered?</w:t>
      </w:r>
    </w:p>
    <w:p>
      <w:pPr>
        <w:pStyle w:val="ListParagraph"/>
        <w:numPr>
          <w:ilvl w:val="0"/>
          <w:numId w:val="2"/>
        </w:numPr>
        <w:spacing w:after="80" w:line="280"/>
      </w:pPr>
      <w:r>
        <w:rPr>
          <w:rFonts w:ascii="Montserrat" w:cs="Montserrat" w:eastAsia="Montserrat" w:hAnsi="Montserrat"/>
          <w:color w:val="231F20"/>
          <w:sz w:val="20"/>
          <w:szCs w:val="20"/>
        </w:rPr>
        <w:t xml:space="preserve">Stage it. Multiple horizontal planes first (cheap, reuses today's solver), then audience surfaces, then full-sphere directivity, then the 3D view itself.</w:t>
      </w:r>
    </w:p>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2. Where the engine stands today</w:t>
      </w:r>
    </w:p>
    <w:p>
      <w:pPr>
        <w:spacing w:after="120" w:line="280"/>
      </w:pPr>
      <w:r>
        <w:rPr>
          <w:rFonts w:ascii="Montserrat" w:cs="Montserrat" w:eastAsia="Montserrat" w:hAnsi="Montserrat"/>
          <w:b w:val="false"/>
          <w:bCs w:val="false"/>
          <w:i w:val="false"/>
          <w:iCs w:val="false"/>
          <w:color w:val="231F20"/>
          <w:sz w:val="20"/>
          <w:szCs w:val="20"/>
        </w:rPr>
        <w:t xml:space="preserve">An honest inventory, read out of the source rather than remembered. This matters because several of these gaps block 3D and would equally be worth closing in 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30"/>
        <w:gridCol w:w="3130"/>
      </w:tblGrid>
      <w:tr>
        <w:trPr>
          <w:tblHeader/>
        </w:trPr>
        <w:tc>
          <w:tcPr>
            <w:tcW w:type="dxa" w:w="19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Component</w:t>
            </w:r>
          </w:p>
        </w:tc>
        <w:tc>
          <w:tcPr>
            <w:tcW w:type="dxa" w:w="433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What it does today</w:t>
            </w:r>
          </w:p>
        </w:tc>
        <w:tc>
          <w:tcPr>
            <w:tcW w:type="dxa" w:w="313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Needed for 3D</w:t>
            </w:r>
          </w:p>
        </w:tc>
      </w:tr>
      <w:tr>
        <w:tc>
          <w:tcPr>
            <w:tcW w:type="dxa" w:w="19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Directivity</w:t>
            </w:r>
          </w:p>
        </w:tc>
        <w:tc>
          <w:tcPr>
            <w:tcW w:type="dxa" w:w="43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Measured per model, azimuth only: D(θ)</w:t>
            </w:r>
          </w:p>
        </w:tc>
        <w:tc>
          <w:tcPr>
            <w:tcW w:type="dxa" w:w="31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bCs/>
                <w:color w:val="ED2227"/>
                <w:sz w:val="18"/>
                <w:szCs w:val="18"/>
              </w:rPr>
              <w:t xml:space="preserve">Full sphere D(θ, φ)</w:t>
            </w:r>
          </w:p>
        </w:tc>
      </w:tr>
      <w:tr>
        <w:tc>
          <w:tcPr>
            <w:tcW w:type="dxa" w:w="19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Source data</w:t>
            </w:r>
          </w:p>
        </w:tc>
        <w:tc>
          <w:tcPr>
            <w:tcW w:type="dxa" w:w="43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BEM field on one plane (Y = 0), 287 × 287 grid at ~35 mm, checkerboard-sampled to 40,961 points; front and rear both present</w:t>
            </w:r>
          </w:p>
        </w:tc>
        <w:tc>
          <w:tcPr>
            <w:tcW w:type="dxa" w:w="31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bCs/>
                <w:color w:val="ED2227"/>
                <w:sz w:val="18"/>
                <w:szCs w:val="18"/>
              </w:rPr>
              <w:t xml:space="preserve">Receivers on a sphere</w:t>
            </w:r>
          </w:p>
        </w:tc>
      </w:tr>
      <w:tr>
        <w:tc>
          <w:tcPr>
            <w:tcW w:type="dxa" w:w="19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Summation</w:t>
            </w:r>
          </w:p>
        </w:tc>
        <w:tc>
          <w:tcPr>
            <w:tcW w:type="dxa" w:w="43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Complex, phase-accurate: gain, 1/r spreading, delay, polarity, per-source facing</w:t>
            </w:r>
          </w:p>
        </w:tc>
        <w:tc>
          <w:tcPr>
            <w:tcW w:type="dxa" w:w="31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Same maths, 3D geometry</w:t>
            </w:r>
          </w:p>
        </w:tc>
      </w:tr>
      <w:tr>
        <w:tc>
          <w:tcPr>
            <w:tcW w:type="dxa" w:w="19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Propagation</w:t>
            </w:r>
          </w:p>
        </w:tc>
        <w:tc>
          <w:tcPr>
            <w:tcW w:type="dxa" w:w="43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ED2227"/>
                <w:sz w:val="18"/>
                <w:szCs w:val="18"/>
              </w:rPr>
              <w:t xml:space="preserve">1/r spreading only — no air absorption, no ground reflection</w:t>
            </w:r>
          </w:p>
        </w:tc>
        <w:tc>
          <w:tcPr>
            <w:tcW w:type="dxa" w:w="31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Air absorption becomes essential</w:t>
            </w:r>
          </w:p>
        </w:tc>
      </w:tr>
      <w:tr>
        <w:tc>
          <w:tcPr>
            <w:tcW w:type="dxa" w:w="19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Solve region</w:t>
            </w:r>
          </w:p>
        </w:tc>
        <w:tc>
          <w:tcPr>
            <w:tcW w:type="dxa" w:w="43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400 × 400 cells over one horizontal rectangle</w:t>
            </w:r>
          </w:p>
        </w:tc>
        <w:tc>
          <w:tcPr>
            <w:tcW w:type="dxa" w:w="31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Arbitrary surfaces</w:t>
            </w:r>
          </w:p>
        </w:tc>
      </w:tr>
      <w:tr>
        <w:tc>
          <w:tcPr>
            <w:tcW w:type="dxa" w:w="19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Per-speaker state</w:t>
            </w:r>
          </w:p>
        </w:tc>
        <w:tc>
          <w:tcPr>
            <w:tcW w:type="dxa" w:w="43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x, y, gain, delay, polarity, azimuth, enabled, model, base height, tilt</w:t>
            </w:r>
          </w:p>
        </w:tc>
        <w:tc>
          <w:tcPr>
            <w:tcW w:type="dxa" w:w="31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Height and tilt already stored — just unused</w:t>
            </w:r>
          </w:p>
        </w:tc>
      </w:tr>
      <w:tr>
        <w:tc>
          <w:tcPr>
            <w:tcW w:type="dxa" w:w="19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Q21S bands</w:t>
            </w:r>
          </w:p>
        </w:tc>
        <w:tc>
          <w:tcPr>
            <w:tcW w:type="dxa" w:w="43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12 bands used, 20–400 Hz (48 solved, log-spaced, ratio 1.0658 ≈ 1/11 octave)</w:t>
            </w:r>
          </w:p>
        </w:tc>
        <w:tc>
          <w:tcPr>
            <w:tcW w:type="dxa" w:w="31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Wider range wanted</w:t>
            </w:r>
          </w:p>
        </w:tc>
      </w:tr>
      <w:tr>
        <w:tc>
          <w:tcPr>
            <w:tcW w:type="dxa" w:w="19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BEM 2-inch bands</w:t>
            </w:r>
          </w:p>
        </w:tc>
        <w:tc>
          <w:tcPr>
            <w:tcW w:type="dxa" w:w="43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9 bands, 64 Hz – 17.3 kHz</w:t>
            </w:r>
          </w:p>
        </w:tc>
        <w:tc>
          <w:tcPr>
            <w:tcW w:type="dxa" w:w="31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Finer resolution wanted</w:t>
            </w:r>
          </w:p>
        </w:tc>
      </w:tr>
      <w:tr>
        <w:tc>
          <w:tcPr>
            <w:tcW w:type="dxa" w:w="19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Calibration</w:t>
            </w:r>
          </w:p>
        </w:tc>
        <w:tc>
          <w:tcPr>
            <w:tcW w:type="dxa" w:w="43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ED2227"/>
                <w:sz w:val="18"/>
                <w:szCs w:val="18"/>
              </w:rPr>
              <w:t xml:space="preserve">Q21S absolute; 2-inch sensitivity UNKNOWN, absolute SPL disabled</w:t>
            </w:r>
          </w:p>
        </w:tc>
        <w:tc>
          <w:tcPr>
            <w:tcW w:type="dxa" w:w="31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bCs/>
                <w:color w:val="ED2227"/>
                <w:sz w:val="18"/>
                <w:szCs w:val="18"/>
              </w:rPr>
              <w:t xml:space="preserve">Blocking, already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6E6" w:sz="4"/>
              <w:left w:val="single" w:color="ED2227" w:sz="18"/>
              <w:bottom w:val="single" w:color="E6E6E6" w:sz="4"/>
              <w:right w:val="single" w:color="E6E6E6" w:sz="4"/>
            </w:tcBorders>
            <w:shd w:fill="F0F0F0" w:color="auto" w:val="clear"/>
            <w:tcMar>
              <w:top w:type="dxa" w:w="140"/>
              <w:left w:type="dxa" w:w="160"/>
              <w:bottom w:type="dxa" w:w="140"/>
              <w:right w:type="dxa" w:w="160"/>
            </w:tcMar>
          </w:tcPr>
          <w:p>
            <w:pPr>
              <w:spacing w:after="80"/>
            </w:pPr>
            <w:r>
              <w:rPr>
                <w:rFonts w:ascii="Montserrat" w:cs="Montserrat" w:eastAsia="Montserrat" w:hAnsi="Montserrat"/>
                <w:b/>
                <w:bCs/>
                <w:color w:val="ED2227"/>
                <w:sz w:val="20"/>
                <w:szCs w:val="20"/>
              </w:rPr>
              <w:t xml:space="preserve">Two things worth saying out loud</w:t>
            </w:r>
          </w:p>
          <w:p>
            <w:pPr>
              <w:spacing w:after="60" w:line="280"/>
            </w:pPr>
            <w:r>
              <w:rPr>
                <w:rFonts w:ascii="Montserrat" w:cs="Montserrat" w:eastAsia="Montserrat" w:hAnsi="Montserrat"/>
                <w:color w:val="231F20"/>
                <w:sz w:val="19"/>
                <w:szCs w:val="19"/>
              </w:rPr>
              <w:t xml:space="preserve">1.  The 2-inch horn's sensitivity has been outstanding for a while now. Until it arrives, the engine cannot show absolute SPL for that device in two dimensions, let alone three. A 3D map of relative levels is a much weaker product.</w:t>
            </w:r>
          </w:p>
          <w:p>
            <w:pPr>
              <w:spacing w:after="60" w:line="280"/>
            </w:pPr>
            <w:r>
              <w:rPr>
                <w:rFonts w:ascii="Montserrat" w:cs="Montserrat" w:eastAsia="Montserrat" w:hAnsi="Montserrat"/>
                <w:color w:val="231F20"/>
                <w:sz w:val="19"/>
                <w:szCs w:val="19"/>
              </w:rPr>
              <w:t xml:space="preserve">2.  The Q21S catalogue stops at 400 Hz and the 2-inch starts at 64 Hz. For a subwoofer 400 Hz is a reasonable ceiling; for anything described as a system prediction it is not. Worth confirming whether 400 Hz was a hard limit of the study or simply its scope.</w:t>
            </w:r>
          </w:p>
        </w:tc>
      </w:tr>
    </w:tbl>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3. What “3D” could mean</w:t>
      </w:r>
    </w:p>
    <w:p>
      <w:pPr>
        <w:spacing w:after="120" w:line="280"/>
      </w:pPr>
      <w:r>
        <w:rPr>
          <w:rFonts w:ascii="Montserrat" w:cs="Montserrat" w:eastAsia="Montserrat" w:hAnsi="Montserrat"/>
          <w:b w:val="false"/>
          <w:bCs w:val="false"/>
          <w:i w:val="false"/>
          <w:iCs w:val="false"/>
          <w:color w:val="231F20"/>
          <w:sz w:val="20"/>
          <w:szCs w:val="20"/>
        </w:rPr>
        <w:t xml:space="preserve">Three genuinely different products hide behind the same word. They cost very different amounts and they are not equally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2200"/>
        <w:gridCol w:w="1900"/>
      </w:tblGrid>
      <w:tr>
        <w:trPr>
          <w:tblHeader/>
        </w:trPr>
        <w:tc>
          <w:tcPr>
            <w:tcW w:type="dxa" w:w="17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Option</w:t>
            </w:r>
          </w:p>
        </w:tc>
        <w:tc>
          <w:tcPr>
            <w:tcW w:type="dxa" w:w="356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What you get</w:t>
            </w:r>
          </w:p>
        </w:tc>
        <w:tc>
          <w:tcPr>
            <w:tcW w:type="dxa" w:w="22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Cost</w:t>
            </w:r>
          </w:p>
        </w:tc>
        <w:tc>
          <w:tcPr>
            <w:tcW w:type="dxa" w:w="19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Verdict</w:t>
            </w:r>
          </w:p>
        </w:tc>
      </w:tr>
      <w:tr>
        <w:tc>
          <w:tcPr>
            <w:tcW w:type="dxa" w:w="17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 — Stacked planes
(2.5D)</w:t>
            </w:r>
          </w:p>
        </w:tc>
        <w:tc>
          <w:tcPr>
            <w:tcW w:type="dxa" w:w="35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Solve the existing horizontal map at several heights: ear height seated, ear height standing, balcony level, stage level.</w:t>
            </w:r>
          </w:p>
        </w:tc>
        <w:tc>
          <w:tcPr>
            <w:tcW w:type="dxa" w:w="22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Low — reuses today's solver almost unchanged</w:t>
            </w:r>
          </w:p>
        </w:tc>
        <w:tc>
          <w:tcPr>
            <w:tcW w:type="dxa" w:w="19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bCs/>
                <w:color w:val="46C37B"/>
                <w:sz w:val="18"/>
                <w:szCs w:val="18"/>
              </w:rPr>
              <w:t xml:space="preserve">Start here</w:t>
            </w:r>
          </w:p>
        </w:tc>
      </w:tr>
      <w:tr>
        <w:tc>
          <w:tcPr>
            <w:tcW w:type="dxa" w:w="17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B — Volumetric cloud</w:t>
            </w:r>
          </w:p>
        </w:tc>
        <w:tc>
          <w:tcPr>
            <w:tcW w:type="dxa" w:w="356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Sample a whole volume, draw isosurfaces or slices through it.</w:t>
            </w:r>
          </w:p>
        </w:tc>
        <w:tc>
          <w:tcPr>
            <w:tcW w:type="dxa" w:w="22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High — roughly 64 million points at today's density</w:t>
            </w:r>
          </w:p>
        </w:tc>
        <w:tc>
          <w:tcPr>
            <w:tcW w:type="dxa" w:w="19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bCs/>
                <w:color w:val="ED2227"/>
                <w:sz w:val="18"/>
                <w:szCs w:val="18"/>
              </w:rPr>
              <w:t xml:space="preserve">Avoid</w:t>
            </w:r>
          </w:p>
        </w:tc>
      </w:tr>
      <w:tr>
        <w:tc>
          <w:tcPr>
            <w:tcW w:type="dxa" w:w="17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 — Balloon data over venue geometry</w:t>
            </w:r>
          </w:p>
        </w:tc>
        <w:tc>
          <w:tcPr>
            <w:tcW w:type="dxa" w:w="35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Full-sphere directivity per cabinet, venue surfaces, audience areas, SPL painted on them. What the industry actually does.</w:t>
            </w:r>
          </w:p>
        </w:tc>
        <w:tc>
          <w:tcPr>
            <w:tcW w:type="dxa" w:w="22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High, but staged</w:t>
            </w:r>
          </w:p>
        </w:tc>
        <w:tc>
          <w:tcPr>
            <w:tcW w:type="dxa" w:w="19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bCs/>
                <w:color w:val="ED2227"/>
                <w:sz w:val="18"/>
                <w:szCs w:val="18"/>
              </w:rPr>
              <w:t xml:space="preserve">The destination</w:t>
            </w:r>
          </w:p>
        </w:tc>
      </w:tr>
    </w:tbl>
    <w:p>
      <w:pPr>
        <w:spacing w:after="200"/>
      </w:pPr>
    </w:p>
    <w:p>
      <w:pPr>
        <w:spacing w:after="120" w:line="280"/>
      </w:pPr>
      <w:r>
        <w:rPr>
          <w:rFonts w:ascii="Montserrat" w:cs="Montserrat" w:eastAsia="Montserrat" w:hAnsi="Montserrat"/>
          <w:b w:val="false"/>
          <w:bCs w:val="false"/>
          <w:i w:val="false"/>
          <w:iCs w:val="false"/>
          <w:color w:val="231F20"/>
          <w:sz w:val="20"/>
          <w:szCs w:val="20"/>
        </w:rPr>
        <w:t xml:space="preserve">Option B is the trap. A cloud of translucent colour through a room reads as a fog and tells a designer almost nothing they can act on. Every serious tool in this market renders SPL onto surfaces, not through air, and it does so for that reason rather than for want of compute.</w:t>
      </w:r>
    </w:p>
    <w:p>
      <w:pPr>
        <w:spacing w:after="120" w:line="280"/>
      </w:pPr>
      <w:r>
        <w:rPr>
          <w:rFonts w:ascii="Montserrat" w:cs="Montserrat" w:eastAsia="Montserrat" w:hAnsi="Montserrat"/>
          <w:b w:val="false"/>
          <w:bCs w:val="false"/>
          <w:i w:val="false"/>
          <w:iCs w:val="false"/>
          <w:color w:val="231F20"/>
          <w:sz w:val="20"/>
          <w:szCs w:val="20"/>
        </w:rPr>
        <w:t xml:space="preserve">Option A is worth shipping on its own merits even if C never happens. “What does the balcony get?” is a question you can answer with a second horizontal plane and the height field the engine already stores — provided the directivity data can be evaluated off-axis vertically, which brings us back to the data.</w:t>
      </w:r>
    </w:p>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4. The data we need from you</w:t>
      </w:r>
    </w:p>
    <w:p>
      <w:pPr>
        <w:spacing w:after="120" w:line="280"/>
      </w:pPr>
      <w:r>
        <w:rPr>
          <w:rFonts w:ascii="Montserrat" w:cs="Montserrat" w:eastAsia="Montserrat" w:hAnsi="Montserrat"/>
          <w:b w:val="false"/>
          <w:bCs w:val="false"/>
          <w:i w:val="false"/>
          <w:iCs w:val="false"/>
          <w:color w:val="231F20"/>
          <w:sz w:val="20"/>
          <w:szCs w:val="20"/>
        </w:rPr>
        <w:t xml:space="preserve">This is the section that matters. Everything is ordered by whether it blocks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3100"/>
        <w:gridCol w:w="3730"/>
        <w:gridCol w:w="2100"/>
      </w:tblGrid>
      <w:tr>
        <w:trPr>
          <w:tblHeader/>
        </w:trPr>
        <w:tc>
          <w:tcPr>
            <w:tcW w:type="dxa" w:w="43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w:t>
            </w:r>
          </w:p>
        </w:tc>
        <w:tc>
          <w:tcPr>
            <w:tcW w:type="dxa" w:w="31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What we need</w:t>
            </w:r>
          </w:p>
        </w:tc>
        <w:tc>
          <w:tcPr>
            <w:tcW w:type="dxa" w:w="373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Why</w:t>
            </w:r>
          </w:p>
        </w:tc>
        <w:tc>
          <w:tcPr>
            <w:tcW w:type="dxa" w:w="21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Priority</w:t>
            </w:r>
          </w:p>
        </w:tc>
      </w:tr>
      <w:tr>
        <w:tc>
          <w:tcPr>
            <w:tcW w:type="dxa" w:w="4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1</w:t>
            </w:r>
          </w:p>
        </w:tc>
        <w:tc>
          <w:tcPr>
            <w:tcW w:type="dxa" w:w="31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BEM re-run with receivers on a sphere around the cabinet, emitting complex pressure (Re, Im) exactly as today</w:t>
            </w:r>
          </w:p>
        </w:tc>
        <w:tc>
          <w:tcPr>
            <w:tcW w:type="dxa" w:w="37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This is the whole thing. It turns D(θ) into D(θ, φ).</w:t>
            </w:r>
          </w:p>
        </w:tc>
        <w:tc>
          <w:tcPr>
            <w:tcW w:type="dxa" w:w="21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bCs/>
                <w:color w:val="ED2227"/>
                <w:sz w:val="18"/>
                <w:szCs w:val="18"/>
              </w:rPr>
              <w:t xml:space="preserve">BLOCKING</w:t>
            </w:r>
          </w:p>
        </w:tc>
      </w:tr>
      <w:tr>
        <w:tc>
          <w:tcPr>
            <w:tcW w:type="dxa" w:w="4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2</w:t>
            </w:r>
          </w:p>
        </w:tc>
        <w:tc>
          <w:tcPr>
            <w:tcW w:type="dxa" w:w="31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Angular resolution: 5° azimuth × 5° elevation over the full sphere, minimum. 2° for the 2-inch horn above ~2 kHz if affordable.</w:t>
            </w:r>
          </w:p>
        </w:tc>
        <w:tc>
          <w:tcPr>
            <w:tcW w:type="dxa" w:w="37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5° is the CLF CF2 standard grid; JBL measures high-frequency balloons at 2°.</w:t>
            </w:r>
          </w:p>
        </w:tc>
        <w:tc>
          <w:tcPr>
            <w:tcW w:type="dxa" w:w="21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bCs/>
                <w:color w:val="ED2227"/>
                <w:sz w:val="18"/>
                <w:szCs w:val="18"/>
              </w:rPr>
              <w:t xml:space="preserve">BLOCKING</w:t>
            </w:r>
          </w:p>
        </w:tc>
      </w:tr>
      <w:tr>
        <w:tc>
          <w:tcPr>
            <w:tcW w:type="dxa" w:w="4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3</w:t>
            </w:r>
          </w:p>
        </w:tc>
        <w:tc>
          <w:tcPr>
            <w:tcW w:type="dxa" w:w="31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The radius that sphere was sampled at, stated explicitly, and far enough out to be in the far field</w:t>
            </w:r>
          </w:p>
        </w:tc>
        <w:tc>
          <w:tcPr>
            <w:tcW w:type="dxa" w:w="37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Needed to normalise to 1 m and to keep the point-source assumption honest.</w:t>
            </w:r>
          </w:p>
        </w:tc>
        <w:tc>
          <w:tcPr>
            <w:tcW w:type="dxa" w:w="21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bCs/>
                <w:color w:val="ED2227"/>
                <w:sz w:val="18"/>
                <w:szCs w:val="18"/>
              </w:rPr>
              <w:t xml:space="preserve">BLOCKING</w:t>
            </w:r>
          </w:p>
        </w:tc>
      </w:tr>
      <w:tr>
        <w:tc>
          <w:tcPr>
            <w:tcW w:type="dxa" w:w="4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4</w:t>
            </w:r>
          </w:p>
        </w:tc>
        <w:tc>
          <w:tcPr>
            <w:tcW w:type="dxa" w:w="31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Sensitivity of the 2-inch horn: dB SPL at 1 W / 1 m, or absolute SPL on axis at a stated drive level and distance</w:t>
            </w:r>
          </w:p>
        </w:tc>
        <w:tc>
          <w:tcPr>
            <w:tcW w:type="dxa" w:w="37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Long outstanding. Without it there is no absolute SPL for that device at all.</w:t>
            </w:r>
          </w:p>
        </w:tc>
        <w:tc>
          <w:tcPr>
            <w:tcW w:type="dxa" w:w="21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bCs/>
                <w:color w:val="ED2227"/>
                <w:sz w:val="18"/>
                <w:szCs w:val="18"/>
              </w:rPr>
              <w:t xml:space="preserve">BLOCKING</w:t>
            </w:r>
          </w:p>
        </w:tc>
      </w:tr>
      <w:tr>
        <w:tc>
          <w:tcPr>
            <w:tcW w:type="dxa" w:w="4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5</w:t>
            </w:r>
          </w:p>
        </w:tc>
        <w:tc>
          <w:tcPr>
            <w:tcW w:type="dxa" w:w="31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Frequency coverage: ideally third-octave from 40 Hz to 16 kHz per device</w:t>
            </w:r>
          </w:p>
        </w:tc>
        <w:tc>
          <w:tcPr>
            <w:tcW w:type="dxa" w:w="37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Today Q21S stops at 400 Hz. Third-octave is the industry floor; 1/12-octave is the current best practice.</w:t>
            </w:r>
          </w:p>
        </w:tc>
        <w:tc>
          <w:tcPr>
            <w:tcW w:type="dxa" w:w="21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IMPORTANT</w:t>
            </w:r>
          </w:p>
        </w:tc>
      </w:tr>
      <w:tr>
        <w:tc>
          <w:tcPr>
            <w:tcW w:type="dxa" w:w="4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6</w:t>
            </w:r>
          </w:p>
        </w:tc>
        <w:tc>
          <w:tcPr>
            <w:tcW w:type="dxa" w:w="31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The cabinet's acoustic origin — where the sphere's centre sits relative to the physical box</w:t>
            </w:r>
          </w:p>
        </w:tc>
        <w:tc>
          <w:tcPr>
            <w:tcW w:type="dxa" w:w="37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Array summation is wrong by exactly this offset if we guess it.</w:t>
            </w:r>
          </w:p>
        </w:tc>
        <w:tc>
          <w:tcPr>
            <w:tcW w:type="dxa" w:w="21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IMPORTANT</w:t>
            </w:r>
          </w:p>
        </w:tc>
      </w:tr>
      <w:tr>
        <w:tc>
          <w:tcPr>
            <w:tcW w:type="dxa" w:w="4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7</w:t>
            </w:r>
          </w:p>
        </w:tc>
        <w:tc>
          <w:tcPr>
            <w:tcW w:type="dxa" w:w="31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Maximum SPL and limiter behaviour per device</w:t>
            </w:r>
          </w:p>
        </w:tc>
        <w:tc>
          <w:tcPr>
            <w:tcW w:type="dxa" w:w="373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Turns “relative coverage” into “can the rig actually do this”.</w:t>
            </w:r>
          </w:p>
        </w:tc>
        <w:tc>
          <w:tcPr>
            <w:tcW w:type="dxa" w:w="21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IMPORTANT</w:t>
            </w:r>
          </w:p>
        </w:tc>
      </w:tr>
      <w:tr>
        <w:tc>
          <w:tcPr>
            <w:tcW w:type="dxa" w:w="4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8</w:t>
            </w:r>
          </w:p>
        </w:tc>
        <w:tc>
          <w:tcPr>
            <w:tcW w:type="dxa" w:w="31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Rigging and mechanical data: weight, centre of gravity, splay range, pickup points</w:t>
            </w:r>
          </w:p>
        </w:tc>
        <w:tc>
          <w:tcPr>
            <w:tcW w:type="dxa" w:w="373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Needed for arrays and for anything safety-related.</w:t>
            </w:r>
          </w:p>
        </w:tc>
        <w:tc>
          <w:tcPr>
            <w:tcW w:type="dxa" w:w="21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LATER</w:t>
            </w:r>
          </w:p>
        </w:tc>
      </w:tr>
    </w:tbl>
    <w:p>
      <w:pPr>
        <w:spacing w:after="220"/>
      </w:pPr>
    </w:p>
    <w:p>
      <w:pPr>
        <w:pStyle w:val="Heading2"/>
        <w:spacing w:after="120" w:before="260"/>
      </w:pPr>
      <w:r>
        <w:rPr>
          <w:rFonts w:ascii="Montserrat" w:cs="Montserrat" w:eastAsia="Montserrat" w:hAnsi="Montserrat"/>
          <w:b/>
          <w:bCs/>
          <w:color w:val="ED2227"/>
          <w:sz w:val="23"/>
          <w:szCs w:val="23"/>
        </w:rPr>
        <w:t xml:space="preserve">4.1  If a full sphere is not affordable</w:t>
      </w:r>
    </w:p>
    <w:p>
      <w:pPr>
        <w:spacing w:after="120" w:line="280"/>
      </w:pPr>
      <w:r>
        <w:rPr>
          <w:rFonts w:ascii="Montserrat" w:cs="Montserrat" w:eastAsia="Montserrat" w:hAnsi="Montserrat"/>
          <w:b w:val="false"/>
          <w:bCs w:val="false"/>
          <w:i w:val="false"/>
          <w:iCs w:val="false"/>
          <w:color w:val="231F20"/>
          <w:sz w:val="20"/>
          <w:szCs w:val="20"/>
        </w:rPr>
        <w:t xml:space="preserve">Two legitimate reductions, in order of preference:</w:t>
      </w:r>
    </w:p>
    <w:p>
      <w:pPr>
        <w:pStyle w:val="ListParagraph"/>
        <w:numPr>
          <w:ilvl w:val="0"/>
          <w:numId w:val="2"/>
        </w:numPr>
        <w:spacing w:after="80" w:line="280"/>
      </w:pPr>
      <w:r>
        <w:rPr>
          <w:rFonts w:ascii="Montserrat" w:cs="Montserrat" w:eastAsia="Montserrat" w:hAnsi="Montserrat"/>
          <w:b/>
          <w:bCs/>
          <w:i w:val="false"/>
          <w:iCs w:val="false"/>
          <w:color w:val="231F20"/>
          <w:sz w:val="20"/>
          <w:szCs w:val="20"/>
        </w:rPr>
        <w:t xml:space="preserve">Exploit symmetry. </w:t>
      </w:r>
      <w:r>
        <w:rPr>
          <w:rFonts w:ascii="Montserrat" w:cs="Montserrat" w:eastAsia="Montserrat" w:hAnsi="Montserrat"/>
          <w:b w:val="false"/>
          <w:bCs w:val="false"/>
          <w:i w:val="false"/>
          <w:iCs w:val="false"/>
          <w:color w:val="231F20"/>
          <w:sz w:val="20"/>
          <w:szCs w:val="20"/>
        </w:rPr>
        <w:t xml:space="preserve">If the cabinet is left–right symmetric, only half the azimuth range needs solving and we mirror the rest; if it is also top–bottom symmetric, a quarter. This is not a hack — the GLL format formalises exactly these cases as full, half, quarter and axial symmetry. Please tell us which symmetries each cabinet genuinely has.</w:t>
      </w:r>
    </w:p>
    <w:p>
      <w:pPr>
        <w:pStyle w:val="ListParagraph"/>
        <w:numPr>
          <w:ilvl w:val="0"/>
          <w:numId w:val="2"/>
        </w:numPr>
        <w:spacing w:after="80" w:line="280"/>
      </w:pPr>
      <w:r>
        <w:rPr>
          <w:rFonts w:ascii="Montserrat" w:cs="Montserrat" w:eastAsia="Montserrat" w:hAnsi="Montserrat"/>
          <w:b/>
          <w:bCs/>
          <w:i w:val="false"/>
          <w:iCs w:val="false"/>
          <w:color w:val="231F20"/>
          <w:sz w:val="20"/>
          <w:szCs w:val="20"/>
        </w:rPr>
        <w:t xml:space="preserve">Ship a stack of elevation planes instead of a sphere. </w:t>
      </w:r>
      <w:r>
        <w:rPr>
          <w:rFonts w:ascii="Montserrat" w:cs="Montserrat" w:eastAsia="Montserrat" w:hAnsi="Montserrat"/>
          <w:b w:val="false"/>
          <w:bCs w:val="false"/>
          <w:i w:val="false"/>
          <w:iCs w:val="false"/>
          <w:color w:val="231F20"/>
          <w:sz w:val="20"/>
          <w:szCs w:val="20"/>
        </w:rPr>
        <w:t xml:space="preserve">Solve the existing horizontal cut at, say, φ = −40° to +40° in 10° steps. That is nine planes, it covers the elevations a real audience occupies, and it unlocks Option A immediately while the full sphere is generated.</w:t>
      </w:r>
    </w:p>
    <w:p>
      <w:pPr>
        <w:pStyle w:val="Heading2"/>
        <w:spacing w:after="120" w:before="260"/>
      </w:pPr>
      <w:r>
        <w:rPr>
          <w:rFonts w:ascii="Montserrat" w:cs="Montserrat" w:eastAsia="Montserrat" w:hAnsi="Montserrat"/>
          <w:b/>
          <w:bCs/>
          <w:color w:val="ED2227"/>
          <w:sz w:val="23"/>
          <w:szCs w:val="23"/>
        </w:rPr>
        <w:t xml:space="preserve">4.2  What format to hand it over in</w:t>
      </w:r>
    </w:p>
    <w:p>
      <w:pPr>
        <w:spacing w:after="120" w:line="280"/>
      </w:pPr>
      <w:r>
        <w:rPr>
          <w:rFonts w:ascii="Montserrat" w:cs="Montserrat" w:eastAsia="Montserrat" w:hAnsi="Montserrat"/>
          <w:b w:val="false"/>
          <w:bCs w:val="false"/>
          <w:i w:val="false"/>
          <w:iCs w:val="false"/>
          <w:color w:val="231F20"/>
          <w:sz w:val="20"/>
          <w:szCs w:val="20"/>
        </w:rPr>
        <w:t xml:space="preserve">Simplest first: the same CSV or Parquet you already produce, with two extra columns. One row per receiver:</w:t>
      </w:r>
    </w:p>
    <w:p>
      <w:pPr>
        <w:spacing w:after="160" w:line="280"/>
        <w:ind w:left="360"/>
      </w:pPr>
      <w:r>
        <w:rPr>
          <w:rFonts w:ascii="Montserrat" w:cs="Montserrat" w:eastAsia="Montserrat" w:hAnsi="Montserrat"/>
          <w:b/>
          <w:bCs/>
          <w:i w:val="false"/>
          <w:iCs w:val="false"/>
          <w:color w:val="231F20"/>
          <w:sz w:val="18"/>
          <w:szCs w:val="18"/>
        </w:rPr>
        <w:t xml:space="preserve">frequency_hz,  azimuth_deg,  elevation_deg,  radius_m,  pressure_re_pa,  pressure_im_pa</w:t>
      </w:r>
    </w:p>
    <w:p>
      <w:pPr>
        <w:spacing w:after="120" w:line="280"/>
      </w:pPr>
      <w:r>
        <w:rPr>
          <w:rFonts w:ascii="Montserrat" w:cs="Montserrat" w:eastAsia="Montserrat" w:hAnsi="Montserrat"/>
          <w:b w:val="false"/>
          <w:bCs w:val="false"/>
          <w:i w:val="false"/>
          <w:iCs w:val="false"/>
          <w:color w:val="231F20"/>
          <w:sz w:val="20"/>
          <w:szCs w:val="20"/>
        </w:rPr>
        <w:t xml:space="preserve">That is the current schema plus azimuth and elevation, and it is the least work for everyone. Producing a GLL or CLF file is worth doing later for interoperability — it would let the cabinets be used inside EASE Focus and similar — but it should not be on the critical path for our own 3D view.</w:t>
      </w:r>
    </w:p>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5. The reference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6E6" w:sz="4"/>
              <w:left w:val="single" w:color="ED2227" w:sz="18"/>
              <w:bottom w:val="single" w:color="E6E6E6" w:sz="4"/>
              <w:right w:val="single" w:color="E6E6E6" w:sz="4"/>
            </w:tcBorders>
            <w:shd w:fill="F0F0F0" w:color="auto" w:val="clear"/>
            <w:tcMar>
              <w:top w:type="dxa" w:w="140"/>
              <w:left w:type="dxa" w:w="160"/>
              <w:bottom w:type="dxa" w:w="140"/>
              <w:right w:type="dxa" w:w="160"/>
            </w:tcMar>
          </w:tcPr>
          <w:p>
            <w:pPr>
              <w:spacing w:after="80"/>
            </w:pPr>
            <w:r>
              <w:rPr>
                <w:rFonts w:ascii="Montserrat" w:cs="Montserrat" w:eastAsia="Montserrat" w:hAnsi="Montserrat"/>
                <w:b/>
                <w:bCs/>
                <w:color w:val="ED2227"/>
                <w:sz w:val="20"/>
                <w:szCs w:val="20"/>
              </w:rPr>
              <w:t xml:space="preserve">A naming correction, offered only because it affects what to study</w:t>
            </w:r>
          </w:p>
          <w:p>
            <w:pPr>
              <w:spacing w:after="60" w:line="280"/>
            </w:pPr>
            <w:r>
              <w:rPr>
                <w:rFonts w:ascii="Montserrat" w:cs="Montserrat" w:eastAsia="Montserrat" w:hAnsi="Montserrat"/>
                <w:color w:val="231F20"/>
                <w:sz w:val="19"/>
                <w:szCs w:val="19"/>
              </w:rPr>
              <w:t xml:space="preserve">ArrayCalc is d&amp;b audiotechnik's software, not JBL's, and it is current rather than obsolete — the latest release line is V7.6.x.</w:t>
            </w:r>
          </w:p>
          <w:p>
            <w:pPr>
              <w:spacing w:after="60" w:line="280"/>
            </w:pPr>
            <w:r>
              <w:rPr>
                <w:rFonts w:ascii="Montserrat" w:cs="Montserrat" w:eastAsia="Montserrat" w:hAnsi="Montserrat"/>
                <w:color w:val="231F20"/>
                <w:sz w:val="19"/>
                <w:szCs w:val="19"/>
              </w:rPr>
              <w:t xml:space="preserve">The JBL tool that is obsolete is Line Array Calculator III (LAC-III). JBL themselves state it is no longer under active development and that its acoustic and mechanical results may not reflect current product data. Its replacement is Venue Synthesis.</w:t>
            </w:r>
          </w:p>
          <w:p>
            <w:pPr>
              <w:spacing w:after="60" w:line="280"/>
            </w:pPr>
            <w:r>
              <w:rPr>
                <w:rFonts w:ascii="Montserrat" w:cs="Montserrat" w:eastAsia="Montserrat" w:hAnsi="Montserrat"/>
                <w:color w:val="231F20"/>
                <w:sz w:val="19"/>
                <w:szCs w:val="19"/>
              </w:rPr>
              <w:t xml:space="preserve">Both families are worth learning from, so this document covers both.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50"/>
        <w:gridCol w:w="1000"/>
        <w:gridCol w:w="5060"/>
      </w:tblGrid>
      <w:tr>
        <w:trPr>
          <w:tblHeader/>
        </w:trPr>
        <w:tc>
          <w:tcPr>
            <w:tcW w:type="dxa" w:w="175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Tool</w:t>
            </w:r>
          </w:p>
        </w:tc>
        <w:tc>
          <w:tcPr>
            <w:tcW w:type="dxa" w:w="155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Vendor</w:t>
            </w:r>
          </w:p>
        </w:tc>
        <w:tc>
          <w:tcPr>
            <w:tcW w:type="dxa" w:w="10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Status</w:t>
            </w:r>
          </w:p>
        </w:tc>
        <w:tc>
          <w:tcPr>
            <w:tcW w:type="dxa" w:w="506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What is notable for us</w:t>
            </w:r>
          </w:p>
        </w:tc>
      </w:tr>
      <w:tr>
        <w:tc>
          <w:tcPr>
            <w:tcW w:type="dxa" w:w="17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ArrayCalc</w:t>
            </w:r>
          </w:p>
        </w:tc>
        <w:tc>
          <w:tcPr>
            <w:tcW w:type="dxa" w:w="15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d&amp;b audiotechnik</w:t>
            </w:r>
          </w:p>
        </w:tc>
        <w:tc>
          <w:tcPr>
            <w:tcW w:type="dxa" w:w="10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Current</w:t>
            </w:r>
          </w:p>
        </w:tc>
        <w:tc>
          <w:tcPr>
            <w:tcW w:type="dxa" w:w="50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Up to 14 flown arrays or subwoofer columns per project. Computes the per-subwoofer delays needed to achieve a chosen directivity, and gives the sub-array alignment its own test point so you can watch the alignment change. Simulates air absorption, DSP presets (Arc, Line, CUT, CPL, HFC, INFRA) and limiter activity. Explicitly covers rigging and safety.</w:t>
            </w:r>
          </w:p>
        </w:tc>
      </w:tr>
      <w:tr>
        <w:tc>
          <w:tcPr>
            <w:tcW w:type="dxa" w:w="175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Line Array Calculator III</w:t>
            </w:r>
          </w:p>
        </w:tc>
        <w:tc>
          <w:tcPr>
            <w:tcW w:type="dxa" w:w="155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JBL</w:t>
            </w:r>
          </w:p>
        </w:tc>
        <w:tc>
          <w:tcPr>
            <w:tcW w:type="dxa" w:w="10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Legacy</w:t>
            </w:r>
          </w:p>
        </w:tc>
        <w:tc>
          <w:tcPr>
            <w:tcW w:type="dxa" w:w="506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Colour SPL mapping, 0 dB isobar view, SPL attenuation modes. Frequency response and SPL predictions tied to supported DSP presets.</w:t>
            </w:r>
          </w:p>
        </w:tc>
      </w:tr>
      <w:tr>
        <w:tc>
          <w:tcPr>
            <w:tcW w:type="dxa" w:w="17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Venue Synthesis</w:t>
            </w:r>
          </w:p>
        </w:tc>
        <w:tc>
          <w:tcPr>
            <w:tcW w:type="dxa" w:w="15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JBL</w:t>
            </w:r>
          </w:p>
        </w:tc>
        <w:tc>
          <w:tcPr>
            <w:tcW w:type="dxa" w:w="10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Current</w:t>
            </w:r>
          </w:p>
        </w:tc>
        <w:tc>
          <w:tcPr>
            <w:tcW w:type="dxa" w:w="50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Direct SPL mapped at 1/12-octave resolution — four times finer than the 1/3-octave industry norm — with high-frequency balloon data measured to 2°. Imports venue geometry from SketchUp, DWG, DXF, GCF, EASE and CATT-Acoustics. Users assign audience areas explicitly.</w:t>
            </w:r>
          </w:p>
        </w:tc>
      </w:tr>
      <w:tr>
        <w:tc>
          <w:tcPr>
            <w:tcW w:type="dxa" w:w="175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EASE Focus 3</w:t>
            </w:r>
          </w:p>
        </w:tc>
        <w:tc>
          <w:tcPr>
            <w:tcW w:type="dxa" w:w="155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AFMG</w:t>
            </w:r>
          </w:p>
        </w:tc>
        <w:tc>
          <w:tcPr>
            <w:tcW w:type="dxa" w:w="10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Current</w:t>
            </w:r>
          </w:p>
        </w:tc>
        <w:tc>
          <w:tcPr>
            <w:tcW w:type="dxa" w:w="506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Multiple audience areas, curved and inclined seating, auto-splay, Virtual EQ. Driven by GLL files.</w:t>
            </w:r>
          </w:p>
        </w:tc>
      </w:tr>
      <w:tr>
        <w:tc>
          <w:tcPr>
            <w:tcW w:type="dxa" w:w="17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Soundvision</w:t>
            </w:r>
          </w:p>
        </w:tc>
        <w:tc>
          <w:tcPr>
            <w:tcW w:type="dxa" w:w="15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L-Acoustics</w:t>
            </w:r>
          </w:p>
        </w:tc>
        <w:tc>
          <w:tcPr>
            <w:tcW w:type="dxa" w:w="10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Current</w:t>
            </w:r>
          </w:p>
        </w:tc>
        <w:tc>
          <w:tcPr>
            <w:tcW w:type="dxa" w:w="50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The equivalent 3D design tool in the L-Acoustics ecosystem.</w:t>
            </w:r>
          </w:p>
        </w:tc>
      </w:tr>
    </w:tbl>
    <w:p>
      <w:pPr>
        <w:spacing w:after="220"/>
      </w:pPr>
    </w:p>
    <w:p>
      <w:pPr>
        <w:pStyle w:val="Heading2"/>
        <w:spacing w:after="120" w:before="260"/>
      </w:pPr>
      <w:r>
        <w:rPr>
          <w:rFonts w:ascii="Montserrat" w:cs="Montserrat" w:eastAsia="Montserrat" w:hAnsi="Montserrat"/>
          <w:b/>
          <w:bCs/>
          <w:color w:val="ED2227"/>
          <w:sz w:val="23"/>
          <w:szCs w:val="23"/>
        </w:rPr>
        <w:t xml:space="preserve">5.1  The data formats they run on</w:t>
      </w:r>
    </w:p>
    <w:p>
      <w:pPr>
        <w:spacing w:after="120" w:line="280"/>
      </w:pPr>
      <w:r>
        <w:rPr>
          <w:rFonts w:ascii="Montserrat" w:cs="Montserrat" w:eastAsia="Montserrat" w:hAnsi="Montserrat"/>
          <w:b w:val="false"/>
          <w:bCs w:val="false"/>
          <w:i w:val="false"/>
          <w:iCs w:val="false"/>
          <w:color w:val="231F20"/>
          <w:sz w:val="20"/>
          <w:szCs w:val="20"/>
        </w:rPr>
        <w:t xml:space="preserve">If we ever want our cabinets usable outside our own software, these are the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Format</w:t>
            </w:r>
          </w:p>
        </w:tc>
        <w:tc>
          <w:tcPr>
            <w:tcW w:type="dxa" w:w="12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Owner</w:t>
            </w:r>
          </w:p>
        </w:tc>
        <w:tc>
          <w:tcPr>
            <w:tcW w:type="dxa" w:w="696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What it carries</w:t>
            </w:r>
          </w:p>
        </w:tc>
      </w:tr>
      <w:tr>
        <w:tc>
          <w:tcPr>
            <w:tcW w:type="dxa" w:w="12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GLL</w:t>
            </w:r>
          </w:p>
        </w:tc>
        <w:tc>
          <w:tcPr>
            <w:tcW w:type="dxa" w:w="12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AFMG</w:t>
            </w:r>
          </w:p>
        </w:tc>
        <w:tc>
          <w:tcPr>
            <w:tcW w:type="dxa" w:w="69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Directivity balloons at 1° to 90° angular resolution; frequency resolution from 1/1 octave up to 64,000 impulse responses; full complex phase data; full / half / quarter / axial symmetry; IIR and FIR crossovers and EQ; input variants and manufacturer presets; rigging hardware, weight and centre of gravity. AFMG recommend multi-source measurement — each driver or pass-band measured separately rather than the cabinet as a whole.</w:t>
            </w:r>
          </w:p>
        </w:tc>
      </w:tr>
      <w:tr>
        <w:tc>
          <w:tcPr>
            <w:tcW w:type="dxa" w:w="12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CLF</w:t>
            </w:r>
          </w:p>
        </w:tc>
        <w:tc>
          <w:tcPr>
            <w:tcW w:type="dxa" w:w="12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CLF Group</w:t>
            </w:r>
          </w:p>
        </w:tc>
        <w:tc>
          <w:tcPr>
            <w:tcW w:type="dxa" w:w="696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Spherical grid of sound pressure levels in polar coordinates. CF1 uses a 10° grid, CF2 a 5° grid. Simpler and more limited than GLL.</w:t>
            </w:r>
          </w:p>
        </w:tc>
      </w:tr>
    </w:tbl>
    <w:p>
      <w:pPr>
        <w:spacing w:after="200"/>
      </w:pPr>
    </w:p>
    <w:p>
      <w:pPr>
        <w:spacing w:after="120" w:line="280"/>
      </w:pPr>
      <w:r>
        <w:rPr>
          <w:rFonts w:ascii="Montserrat" w:cs="Montserrat" w:eastAsia="Montserrat" w:hAnsi="Montserrat"/>
          <w:b w:val="false"/>
          <w:bCs w:val="false"/>
          <w:i w:val="false"/>
          <w:iCs w:val="false"/>
          <w:color w:val="231F20"/>
          <w:sz w:val="20"/>
          <w:szCs w:val="20"/>
        </w:rPr>
        <w:t xml:space="preserve">The benchmark to have in mind: </w:t>
      </w:r>
      <w:r>
        <w:rPr>
          <w:rFonts w:ascii="Montserrat" w:cs="Montserrat" w:eastAsia="Montserrat" w:hAnsi="Montserrat"/>
          <w:b/>
          <w:bCs/>
          <w:i w:val="false"/>
          <w:iCs w:val="false"/>
          <w:color w:val="231F20"/>
          <w:sz w:val="20"/>
          <w:szCs w:val="20"/>
        </w:rPr>
        <w:t xml:space="preserve">1/3-octave is the industry floor, 5° is the standard angular grid, and the current best practice is 1/12-octave with 2° high-frequency balloons.</w:t>
      </w:r>
      <w:r>
        <w:rPr>
          <w:rFonts w:ascii="Montserrat" w:cs="Montserrat" w:eastAsia="Montserrat" w:hAnsi="Montserrat"/>
          <w:b w:val="false"/>
          <w:bCs w:val="false"/>
          <w:i w:val="false"/>
          <w:iCs w:val="false"/>
          <w:color w:val="231F20"/>
          <w:sz w:val="20"/>
          <w:szCs w:val="20"/>
        </w:rPr>
        <w:t xml:space="preserve"> Our 9 bands for the 2-inch horn and 12 for the Q21S sit well below that, and that gap will show up as smooth, slightly fictional-looking coverage at high frequencies.</w:t>
      </w:r>
    </w:p>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6. How sub, mid and top are placed as standard</w:t>
      </w:r>
    </w:p>
    <w:p>
      <w:pPr>
        <w:spacing w:after="120" w:line="280"/>
      </w:pPr>
      <w:r>
        <w:rPr>
          <w:rFonts w:ascii="Montserrat" w:cs="Montserrat" w:eastAsia="Montserrat" w:hAnsi="Montserrat"/>
          <w:b w:val="false"/>
          <w:bCs w:val="false"/>
          <w:i w:val="false"/>
          <w:iCs w:val="false"/>
          <w:color w:val="231F20"/>
          <w:sz w:val="20"/>
          <w:szCs w:val="20"/>
        </w:rPr>
        <w:t xml:space="preserve">This is settled practice in live sound, and it is what a designer opening our software will expect to be able to lay out. Note one thing about our own inventory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6E6" w:sz="4"/>
              <w:left w:val="single" w:color="ED2227" w:sz="18"/>
              <w:bottom w:val="single" w:color="E6E6E6" w:sz="4"/>
              <w:right w:val="single" w:color="E6E6E6" w:sz="4"/>
            </w:tcBorders>
            <w:shd w:fill="F0F0F0" w:color="auto" w:val="clear"/>
            <w:tcMar>
              <w:top w:type="dxa" w:w="140"/>
              <w:left w:type="dxa" w:w="160"/>
              <w:bottom w:type="dxa" w:w="140"/>
              <w:right w:type="dxa" w:w="160"/>
            </w:tcMar>
          </w:tcPr>
          <w:p>
            <w:pPr>
              <w:spacing w:after="80"/>
            </w:pPr>
            <w:r>
              <w:rPr>
                <w:rFonts w:ascii="Montserrat" w:cs="Montserrat" w:eastAsia="Montserrat" w:hAnsi="Montserrat"/>
                <w:b/>
                <w:bCs/>
                <w:color w:val="ED2227"/>
                <w:sz w:val="20"/>
                <w:szCs w:val="20"/>
              </w:rPr>
              <w:t xml:space="preserve">Our two devices are not a sub and a top</w:t>
            </w:r>
          </w:p>
          <w:p>
            <w:pPr>
              <w:spacing w:after="60" w:line="280"/>
            </w:pPr>
            <w:r>
              <w:rPr>
                <w:rFonts w:ascii="Montserrat" w:cs="Montserrat" w:eastAsia="Montserrat" w:hAnsi="Montserrat"/>
                <w:color w:val="231F20"/>
                <w:sz w:val="19"/>
                <w:szCs w:val="19"/>
              </w:rPr>
              <w:t xml:space="preserve">The Q21S is the subwoofer. The BEM 2-inch device is a horn — a mid/high element, not a sub. So the two cabinets we can currently model are at opposite ends of the rig with nothing in between. A realistic system design would need at least one main cabinet between them.</w:t>
            </w:r>
          </w:p>
        </w:tc>
      </w:tr>
    </w:tbl>
    <w:p>
      <w:pPr>
        <w:spacing w:after="200"/>
      </w:pPr>
    </w:p>
    <w:p>
      <w:pPr>
        <w:pStyle w:val="Heading2"/>
        <w:spacing w:after="120" w:before="260"/>
      </w:pPr>
      <w:r>
        <w:rPr>
          <w:rFonts w:ascii="Montserrat" w:cs="Montserrat" w:eastAsia="Montserrat" w:hAnsi="Montserrat"/>
          <w:b/>
          <w:bCs/>
          <w:color w:val="ED2227"/>
          <w:sz w:val="23"/>
          <w:szCs w:val="23"/>
        </w:rPr>
        <w:t xml:space="preserve">6.1  The standard positions</w:t>
      </w:r>
    </w:p>
    <w:p>
      <w:pPr>
        <w:pStyle w:val="Heading3"/>
        <w:spacing w:after="100" w:before="200"/>
      </w:pPr>
      <w:r>
        <w:rPr>
          <w:rFonts w:ascii="Montserrat" w:cs="Montserrat" w:eastAsia="Montserrat" w:hAnsi="Montserrat"/>
          <w:b/>
          <w:bCs/>
          <w:color w:val="231F20"/>
          <w:sz w:val="21"/>
          <w:szCs w:val="21"/>
        </w:rPr>
        <w:t xml:space="preserve">Main hang (the tops)</w:t>
      </w:r>
    </w:p>
    <w:p>
      <w:pPr>
        <w:spacing w:after="120" w:line="280"/>
      </w:pPr>
      <w:r>
        <w:rPr>
          <w:rFonts w:ascii="Montserrat" w:cs="Montserrat" w:eastAsia="Montserrat" w:hAnsi="Montserrat"/>
          <w:b w:val="false"/>
          <w:bCs w:val="false"/>
          <w:i w:val="false"/>
          <w:iCs w:val="false"/>
          <w:color w:val="231F20"/>
          <w:sz w:val="20"/>
          <w:szCs w:val="20"/>
        </w:rPr>
        <w:t xml:space="preserve">Flown left and right. Array length, box count and trim height are chosen from the depth of the audience and from sightlines. Everything else in the design is arranged around this decision.</w:t>
      </w:r>
    </w:p>
    <w:p>
      <w:pPr>
        <w:pStyle w:val="Heading3"/>
        <w:spacing w:after="100" w:before="200"/>
      </w:pPr>
      <w:r>
        <w:rPr>
          <w:rFonts w:ascii="Montserrat" w:cs="Montserrat" w:eastAsia="Montserrat" w:hAnsi="Montserrat"/>
          <w:b/>
          <w:bCs/>
          <w:color w:val="231F20"/>
          <w:sz w:val="21"/>
          <w:szCs w:val="21"/>
        </w:rPr>
        <w:t xml:space="preserve">Subwoofers</w:t>
      </w:r>
    </w:p>
    <w:p>
      <w:pPr>
        <w:spacing w:after="120" w:line="280"/>
      </w:pPr>
      <w:r>
        <w:rPr>
          <w:rFonts w:ascii="Montserrat" w:cs="Montserrat" w:eastAsia="Montserrat" w:hAnsi="Montserrat"/>
          <w:b w:val="false"/>
          <w:bCs w:val="false"/>
          <w:i w:val="false"/>
          <w:iCs w:val="false"/>
          <w:color w:val="231F20"/>
          <w:sz w:val="20"/>
          <w:szCs w:val="20"/>
        </w:rPr>
        <w:t xml:space="preserve">Three standard patterns, and the choice between them is really a choice about how much low-frequency unevenness you will tolerate:</w:t>
      </w:r>
    </w:p>
    <w:p>
      <w:pPr>
        <w:pStyle w:val="ListParagraph"/>
        <w:numPr>
          <w:ilvl w:val="0"/>
          <w:numId w:val="2"/>
        </w:numPr>
        <w:spacing w:after="80" w:line="280"/>
      </w:pPr>
      <w:r>
        <w:rPr>
          <w:rFonts w:ascii="Montserrat" w:cs="Montserrat" w:eastAsia="Montserrat" w:hAnsi="Montserrat"/>
          <w:b/>
          <w:bCs/>
          <w:i w:val="false"/>
          <w:iCs w:val="false"/>
          <w:color w:val="231F20"/>
          <w:sz w:val="20"/>
          <w:szCs w:val="20"/>
        </w:rPr>
        <w:t xml:space="preserve">Centre-clustered</w:t>
      </w:r>
      <w:r>
        <w:rPr>
          <w:rFonts w:ascii="Montserrat" w:cs="Montserrat" w:eastAsia="Montserrat" w:hAnsi="Montserrat"/>
          <w:b w:val="false"/>
          <w:bCs w:val="false"/>
          <w:i w:val="false"/>
          <w:iCs w:val="false"/>
          <w:color w:val="231F20"/>
          <w:sz w:val="20"/>
          <w:szCs w:val="20"/>
        </w:rPr>
        <w:t xml:space="preserve"> beneath or behind the main hang. The most even coverage across the audience, and the usual default.</w:t>
      </w:r>
    </w:p>
    <w:p>
      <w:pPr>
        <w:pStyle w:val="ListParagraph"/>
        <w:numPr>
          <w:ilvl w:val="0"/>
          <w:numId w:val="2"/>
        </w:numPr>
        <w:spacing w:after="80" w:line="280"/>
      </w:pPr>
      <w:r>
        <w:rPr>
          <w:rFonts w:ascii="Montserrat" w:cs="Montserrat" w:eastAsia="Montserrat" w:hAnsi="Montserrat"/>
          <w:b/>
          <w:bCs/>
          <w:i w:val="false"/>
          <w:iCs w:val="false"/>
          <w:color w:val="231F20"/>
          <w:sz w:val="20"/>
          <w:szCs w:val="20"/>
        </w:rPr>
        <w:t xml:space="preserve">Flown left/right sub arrays</w:t>
      </w:r>
      <w:r>
        <w:rPr>
          <w:rFonts w:ascii="Montserrat" w:cs="Montserrat" w:eastAsia="Montserrat" w:hAnsi="Montserrat"/>
          <w:b w:val="false"/>
          <w:bCs w:val="false"/>
          <w:i w:val="false"/>
          <w:iCs w:val="false"/>
          <w:color w:val="231F20"/>
          <w:sz w:val="20"/>
          <w:szCs w:val="20"/>
        </w:rPr>
        <w:t xml:space="preserve"> — typically hangs of eight or more boxes, just outside or behind the main hangs.</w:t>
      </w:r>
    </w:p>
    <w:p>
      <w:pPr>
        <w:pStyle w:val="ListParagraph"/>
        <w:numPr>
          <w:ilvl w:val="0"/>
          <w:numId w:val="2"/>
        </w:numPr>
        <w:spacing w:after="80" w:line="280"/>
      </w:pPr>
      <w:r>
        <w:rPr>
          <w:rFonts w:ascii="Montserrat" w:cs="Montserrat" w:eastAsia="Montserrat" w:hAnsi="Montserrat"/>
          <w:b/>
          <w:bCs/>
          <w:i w:val="false"/>
          <w:iCs w:val="false"/>
          <w:color w:val="231F20"/>
          <w:sz w:val="20"/>
          <w:szCs w:val="20"/>
        </w:rPr>
        <w:t xml:space="preserve">Ground-stacked left and right</w:t>
      </w:r>
      <w:r>
        <w:rPr>
          <w:rFonts w:ascii="Montserrat" w:cs="Montserrat" w:eastAsia="Montserrat" w:hAnsi="Montserrat"/>
          <w:b w:val="false"/>
          <w:bCs w:val="false"/>
          <w:i w:val="false"/>
          <w:iCs w:val="false"/>
          <w:color w:val="231F20"/>
          <w:sz w:val="20"/>
          <w:szCs w:val="20"/>
        </w:rPr>
        <w:t xml:space="preserve"> — simplest to rig, and the worst for the power alley down the centre line caused by two spaced sources arriving in and out of phase across the room.</w:t>
      </w:r>
    </w:p>
    <w:p>
      <w:pPr>
        <w:spacing w:after="120" w:line="280"/>
      </w:pPr>
      <w:r>
        <w:rPr>
          <w:rFonts w:ascii="Montserrat" w:cs="Montserrat" w:eastAsia="Montserrat" w:hAnsi="Montserrat"/>
          <w:b w:val="false"/>
          <w:bCs w:val="false"/>
          <w:i w:val="false"/>
          <w:iCs w:val="false"/>
          <w:color w:val="231F20"/>
          <w:sz w:val="20"/>
          <w:szCs w:val="20"/>
        </w:rPr>
        <w:t xml:space="preserve">For very long throws, sub hangs can be distributed or flown adjacent to the mains and delay-matched to stay coherent with them.</w:t>
      </w:r>
    </w:p>
    <w:p>
      <w:pPr>
        <w:pStyle w:val="Heading3"/>
        <w:spacing w:after="100" w:before="200"/>
      </w:pPr>
      <w:r>
        <w:rPr>
          <w:rFonts w:ascii="Montserrat" w:cs="Montserrat" w:eastAsia="Montserrat" w:hAnsi="Montserrat"/>
          <w:b/>
          <w:bCs/>
          <w:color w:val="231F20"/>
          <w:sz w:val="21"/>
          <w:szCs w:val="21"/>
        </w:rPr>
        <w:t xml:space="preserve">Front fill</w:t>
      </w:r>
    </w:p>
    <w:p>
      <w:pPr>
        <w:spacing w:after="120" w:line="280"/>
      </w:pPr>
      <w:r>
        <w:rPr>
          <w:rFonts w:ascii="Montserrat" w:cs="Montserrat" w:eastAsia="Montserrat" w:hAnsi="Montserrat"/>
          <w:b w:val="false"/>
          <w:bCs w:val="false"/>
          <w:i w:val="false"/>
          <w:iCs w:val="false"/>
          <w:color w:val="231F20"/>
          <w:sz w:val="20"/>
          <w:szCs w:val="20"/>
        </w:rPr>
        <w:t xml:space="preserve">Small cabinets along the stage lip. They exist because the main hang is trimmed high to get front-to-back coverage, which necessarily means it fires over the heads of the first several rows.</w:t>
      </w:r>
    </w:p>
    <w:p>
      <w:pPr>
        <w:pStyle w:val="Heading3"/>
        <w:spacing w:after="100" w:before="200"/>
      </w:pPr>
      <w:r>
        <w:rPr>
          <w:rFonts w:ascii="Montserrat" w:cs="Montserrat" w:eastAsia="Montserrat" w:hAnsi="Montserrat"/>
          <w:b/>
          <w:bCs/>
          <w:color w:val="231F20"/>
          <w:sz w:val="21"/>
          <w:szCs w:val="21"/>
        </w:rPr>
        <w:t xml:space="preserve">Delay towers</w:t>
      </w:r>
    </w:p>
    <w:p>
      <w:pPr>
        <w:spacing w:after="120" w:line="280"/>
      </w:pPr>
      <w:r>
        <w:rPr>
          <w:rFonts w:ascii="Montserrat" w:cs="Montserrat" w:eastAsia="Montserrat" w:hAnsi="Montserrat"/>
          <w:b w:val="false"/>
          <w:bCs w:val="false"/>
          <w:i w:val="false"/>
          <w:iCs w:val="false"/>
          <w:color w:val="231F20"/>
          <w:sz w:val="20"/>
          <w:szCs w:val="20"/>
        </w:rPr>
        <w:t xml:space="preserve">Mid-field and far-field positions, delayed so their output time-aligns with the wavefront arriving from the main hang. The conversion every designer uses is </w:t>
      </w:r>
      <w:r>
        <w:rPr>
          <w:rFonts w:ascii="Montserrat" w:cs="Montserrat" w:eastAsia="Montserrat" w:hAnsi="Montserrat"/>
          <w:b/>
          <w:bCs/>
          <w:i w:val="false"/>
          <w:iCs w:val="false"/>
          <w:color w:val="231F20"/>
          <w:sz w:val="20"/>
          <w:szCs w:val="20"/>
        </w:rPr>
        <w:t xml:space="preserve">2.915 ms per metre (0.889 ms per foot)</w:t>
      </w:r>
      <w:r>
        <w:rPr>
          <w:rFonts w:ascii="Montserrat" w:cs="Montserrat" w:eastAsia="Montserrat" w:hAnsi="Montserrat"/>
          <w:b w:val="false"/>
          <w:bCs w:val="false"/>
          <w:i w:val="false"/>
          <w:iCs w:val="false"/>
          <w:color w:val="231F20"/>
          <w:sz w:val="20"/>
          <w:szCs w:val="20"/>
        </w:rPr>
        <w:t xml:space="preserve">, which turns geometry directly into a delay setting.</w:t>
      </w:r>
    </w:p>
    <w:p>
      <w:pPr>
        <w:pStyle w:val="Heading3"/>
        <w:spacing w:after="100" w:before="200"/>
      </w:pPr>
      <w:r>
        <w:rPr>
          <w:rFonts w:ascii="Montserrat" w:cs="Montserrat" w:eastAsia="Montserrat" w:hAnsi="Montserrat"/>
          <w:b/>
          <w:bCs/>
          <w:color w:val="231F20"/>
          <w:sz w:val="21"/>
          <w:szCs w:val="21"/>
        </w:rPr>
        <w:t xml:space="preserve">Out fill and side fill</w:t>
      </w:r>
    </w:p>
    <w:p>
      <w:pPr>
        <w:spacing w:after="120" w:line="280"/>
      </w:pPr>
      <w:r>
        <w:rPr>
          <w:rFonts w:ascii="Montserrat" w:cs="Montserrat" w:eastAsia="Montserrat" w:hAnsi="Montserrat"/>
          <w:b w:val="false"/>
          <w:bCs w:val="false"/>
          <w:i w:val="false"/>
          <w:iCs w:val="false"/>
          <w:color w:val="231F20"/>
          <w:sz w:val="20"/>
          <w:szCs w:val="20"/>
        </w:rPr>
        <w:t xml:space="preserve">Horizontal coverage beyond the reach of the main hang — the seats at the extreme sides.</w:t>
      </w:r>
    </w:p>
    <w:p>
      <w:pPr>
        <w:pStyle w:val="Heading2"/>
        <w:spacing w:after="120" w:before="260"/>
      </w:pPr>
      <w:r>
        <w:rPr>
          <w:rFonts w:ascii="Montserrat" w:cs="Montserrat" w:eastAsia="Montserrat" w:hAnsi="Montserrat"/>
          <w:b/>
          <w:bCs/>
          <w:color w:val="ED2227"/>
          <w:sz w:val="23"/>
          <w:szCs w:val="23"/>
        </w:rPr>
        <w:t xml:space="preserve">6.2  Directional subwoofer arrays</w:t>
      </w:r>
    </w:p>
    <w:p>
      <w:pPr>
        <w:spacing w:after="120" w:line="280"/>
      </w:pPr>
      <w:r>
        <w:rPr>
          <w:rFonts w:ascii="Montserrat" w:cs="Montserrat" w:eastAsia="Montserrat" w:hAnsi="Montserrat"/>
          <w:b w:val="false"/>
          <w:bCs w:val="false"/>
          <w:i w:val="false"/>
          <w:iCs w:val="false"/>
          <w:color w:val="231F20"/>
          <w:sz w:val="20"/>
          <w:szCs w:val="20"/>
        </w:rPr>
        <w:t xml:space="preserve">This is where placement stops being a position and becomes a pattern, and it is the most interesting part for us: our engine already has the physics to model all of these correctly in the horizontal plane, today. Complex summation, per-source delay, polarity, position and azimuth are all present. What is missing is a way to place them as a group rather than one box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Array type</w:t>
            </w:r>
          </w:p>
        </w:tc>
        <w:tc>
          <w:tcPr>
            <w:tcW w:type="dxa" w:w="42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How it is built</w:t>
            </w:r>
          </w:p>
        </w:tc>
        <w:tc>
          <w:tcPr>
            <w:tcW w:type="dxa" w:w="346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Behaviour</w:t>
            </w:r>
          </w:p>
        </w:tc>
      </w:tr>
      <w:tr>
        <w:tc>
          <w:tcPr>
            <w:tcW w:type="dxa" w:w="17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Broadside</w:t>
            </w:r>
          </w:p>
        </w:tc>
        <w:tc>
          <w:tcPr>
            <w:tcW w:type="dxa" w:w="42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 row of subs side by side; the main radiation comes off at right angles to the row.</w:t>
            </w:r>
          </w:p>
        </w:tc>
        <w:tc>
          <w:tcPr>
            <w:tcW w:type="dxa" w:w="34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Narrows coverage horizontally. Simple, no delay required.</w:t>
            </w:r>
          </w:p>
        </w:tc>
      </w:tr>
      <w:tr>
        <w:tc>
          <w:tcPr>
            <w:tcW w:type="dxa" w:w="17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End-fire</w:t>
            </w:r>
          </w:p>
        </w:tc>
        <w:tc>
          <w:tcPr>
            <w:tcW w:type="dxa" w:w="42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 spaced row pointing in the direction you want output. Each box is delayed by the time sound takes to travel from the one behind it. Typical spacing 0.9–1.2 m (3–4 ft), with at least three or four boxes and amplifier channels.</w:t>
            </w:r>
          </w:p>
        </w:tc>
        <w:tc>
          <w:tcPr>
            <w:tcW w:type="dxa" w:w="346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Projects powerful, directional bass over long distances. The most efficient of the directional options.</w:t>
            </w:r>
          </w:p>
        </w:tc>
      </w:tr>
      <w:tr>
        <w:tc>
          <w:tcPr>
            <w:tcW w:type="dxa" w:w="17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Gradient / cardioid</w:t>
            </w:r>
          </w:p>
        </w:tc>
        <w:tc>
          <w:tcPr>
            <w:tcW w:type="dxa" w:w="42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Rear boxes spaced a quarter wavelength behind the front ones and delayed by a quarter wavelength, so the electronic delay and the propagation delay together cancel to the rear and sum to the front.</w:t>
            </w:r>
          </w:p>
        </w:tc>
        <w:tc>
          <w:tcPr>
            <w:tcW w:type="dxa" w:w="34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Genuine rear rejection, but less efficient than end-fire, and time smear is a known drawback.</w:t>
            </w:r>
          </w:p>
        </w:tc>
      </w:tr>
      <w:tr>
        <w:tc>
          <w:tcPr>
            <w:tcW w:type="dxa" w:w="17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Adjustable-arc end-fire</w:t>
            </w:r>
          </w:p>
        </w:tc>
        <w:tc>
          <w:tcPr>
            <w:tcW w:type="dxa" w:w="42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An end-fire row laid out on an arc rather than a straight line, so the aim can be steered.</w:t>
            </w:r>
          </w:p>
        </w:tc>
        <w:tc>
          <w:tcPr>
            <w:tcW w:type="dxa" w:w="346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 refinement of end-fire, associated with Dave Rat.</w:t>
            </w:r>
          </w:p>
        </w:tc>
      </w:tr>
    </w:tbl>
    <w:p>
      <w:pPr>
        <w:spacing w:after="220"/>
      </w:pPr>
    </w:p>
    <w:p>
      <w:pPr>
        <w:spacing w:after="120" w:line="280"/>
      </w:pPr>
      <w:r>
        <w:rPr>
          <w:rFonts w:ascii="Montserrat" w:cs="Montserrat" w:eastAsia="Montserrat" w:hAnsi="Montserrat"/>
          <w:b w:val="false"/>
          <w:bCs w:val="false"/>
          <w:i w:val="false"/>
          <w:iCs w:val="false"/>
          <w:color w:val="231F20"/>
          <w:sz w:val="20"/>
          <w:szCs w:val="20"/>
        </w:rPr>
        <w:t xml:space="preserve">Coverage target, for whatever we display as a pass/fail: designers aim to hold variation within </w:t>
      </w:r>
      <w:r>
        <w:rPr>
          <w:rFonts w:ascii="Montserrat" w:cs="Montserrat" w:eastAsia="Montserrat" w:hAnsi="Montserrat"/>
          <w:b/>
          <w:bCs/>
          <w:i w:val="false"/>
          <w:iCs w:val="false"/>
          <w:color w:val="231F20"/>
          <w:sz w:val="20"/>
          <w:szCs w:val="20"/>
        </w:rPr>
        <w:t xml:space="preserve">±2 dB using A-weighted pink noise</w:t>
      </w:r>
      <w:r>
        <w:rPr>
          <w:rFonts w:ascii="Montserrat" w:cs="Montserrat" w:eastAsia="Montserrat" w:hAnsi="Montserrat"/>
          <w:b w:val="false"/>
          <w:bCs w:val="false"/>
          <w:i w:val="false"/>
          <w:iCs w:val="false"/>
          <w:color w:val="231F20"/>
          <w:sz w:val="20"/>
          <w:szCs w:val="20"/>
        </w:rPr>
        <w:t xml:space="preserve">, with typical front-of-house levels in the </w:t>
      </w:r>
      <w:r>
        <w:rPr>
          <w:rFonts w:ascii="Montserrat" w:cs="Montserrat" w:eastAsia="Montserrat" w:hAnsi="Montserrat"/>
          <w:b/>
          <w:bCs/>
          <w:i w:val="false"/>
          <w:iCs w:val="false"/>
          <w:color w:val="231F20"/>
          <w:sz w:val="20"/>
          <w:szCs w:val="20"/>
        </w:rPr>
        <w:t xml:space="preserve">95–105 dB(A)</w:t>
      </w:r>
      <w:r>
        <w:rPr>
          <w:rFonts w:ascii="Montserrat" w:cs="Montserrat" w:eastAsia="Montserrat" w:hAnsi="Montserrat"/>
          <w:b w:val="false"/>
          <w:bCs w:val="false"/>
          <w:i w:val="false"/>
          <w:iCs w:val="false"/>
          <w:color w:val="231F20"/>
          <w:sz w:val="20"/>
          <w:szCs w:val="20"/>
        </w:rPr>
        <w:t xml:space="preserve"> range and lower targets for distant zones.</w:t>
      </w:r>
    </w:p>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7. What else we will need, beyond loudspeaker data</w:t>
      </w:r>
    </w:p>
    <w:p>
      <w:pPr>
        <w:spacing w:after="120" w:line="280"/>
      </w:pPr>
      <w:r>
        <w:rPr>
          <w:rFonts w:ascii="Montserrat" w:cs="Montserrat" w:eastAsia="Montserrat" w:hAnsi="Montserrat"/>
          <w:b w:val="false"/>
          <w:bCs w:val="false"/>
          <w:i w:val="false"/>
          <w:iCs w:val="false"/>
          <w:color w:val="231F20"/>
          <w:sz w:val="20"/>
          <w:szCs w:val="20"/>
        </w:rPr>
        <w:t xml:space="preserve">Data is the blocker, but it is not the only gap between what we have and something a designer would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400"/>
        <w:gridCol w:w="5210"/>
      </w:tblGrid>
      <w:tr>
        <w:trPr>
          <w:tblHeader/>
        </w:trPr>
        <w:tc>
          <w:tcPr>
            <w:tcW w:type="dxa" w:w="175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Area</w:t>
            </w:r>
          </w:p>
        </w:tc>
        <w:tc>
          <w:tcPr>
            <w:tcW w:type="dxa" w:w="24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What is missing</w:t>
            </w:r>
          </w:p>
        </w:tc>
        <w:tc>
          <w:tcPr>
            <w:tcW w:type="dxa" w:w="521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Why it matters</w:t>
            </w:r>
          </w:p>
        </w:tc>
      </w:tr>
      <w:tr>
        <w:tc>
          <w:tcPr>
            <w:tcW w:type="dxa" w:w="17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Venue geometry</w:t>
            </w:r>
          </w:p>
        </w:tc>
        <w:tc>
          <w:tcPr>
            <w:tcW w:type="dxa" w:w="24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No concept of a room at all</w:t>
            </w:r>
          </w:p>
        </w:tc>
        <w:tc>
          <w:tcPr>
            <w:tcW w:type="dxa" w:w="521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Venue Synthesis imports SketchUp, DWG, DXF, GCF, EASE and CATT. We need at minimum a parametric venue: floor, rake, stage, balcony.</w:t>
            </w:r>
          </w:p>
        </w:tc>
      </w:tr>
      <w:tr>
        <w:tc>
          <w:tcPr>
            <w:tcW w:type="dxa" w:w="175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Audience surfaces</w:t>
            </w:r>
          </w:p>
        </w:tc>
        <w:tc>
          <w:tcPr>
            <w:tcW w:type="dxa" w:w="24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No surfaces to map onto</w:t>
            </w:r>
          </w:p>
        </w:tc>
        <w:tc>
          <w:tcPr>
            <w:tcW w:type="dxa" w:w="521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This is the primary 3D deliverable. Inclined and curved seating planes.</w:t>
            </w:r>
          </w:p>
        </w:tc>
      </w:tr>
      <w:tr>
        <w:tc>
          <w:tcPr>
            <w:tcW w:type="dxa" w:w="17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Air absorption</w:t>
            </w:r>
          </w:p>
        </w:tc>
        <w:tc>
          <w:tcPr>
            <w:tcW w:type="dxa" w:w="24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ED2227"/>
                <w:sz w:val="18"/>
                <w:szCs w:val="18"/>
              </w:rPr>
              <w:t xml:space="preserve">None</w:t>
            </w:r>
          </w:p>
        </w:tc>
        <w:tc>
          <w:tcPr>
            <w:tcW w:type="dxa" w:w="521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High frequencies lose tens of dB over long distances, and it varies with temperature and humidity. Without it the 2-inch horn's coverage will be meaningfully overstated at range. ArrayCalc models it.</w:t>
            </w:r>
          </w:p>
        </w:tc>
      </w:tr>
      <w:tr>
        <w:tc>
          <w:tcPr>
            <w:tcW w:type="dxa" w:w="175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Ground reflection</w:t>
            </w:r>
          </w:p>
        </w:tc>
        <w:tc>
          <w:tcPr>
            <w:tcW w:type="dxa" w:w="24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ED2227"/>
                <w:sz w:val="18"/>
                <w:szCs w:val="18"/>
              </w:rPr>
              <w:t xml:space="preserve">None</w:t>
            </w:r>
          </w:p>
        </w:tc>
        <w:tc>
          <w:tcPr>
            <w:tcW w:type="dxa" w:w="521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 real floor bounce causes comb filtering that designers actively work around.</w:t>
            </w:r>
          </w:p>
        </w:tc>
      </w:tr>
      <w:tr>
        <w:tc>
          <w:tcPr>
            <w:tcW w:type="dxa" w:w="17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Array objects</w:t>
            </w:r>
          </w:p>
        </w:tc>
        <w:tc>
          <w:tcPr>
            <w:tcW w:type="dxa" w:w="24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Speakers are independent items</w:t>
            </w:r>
          </w:p>
        </w:tc>
        <w:tc>
          <w:tcPr>
            <w:tcW w:type="dxa" w:w="521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An array needs to be one object with N boxes, splay angles, trim height and tilt — not N speakers positioned by hand.</w:t>
            </w:r>
          </w:p>
        </w:tc>
      </w:tr>
      <w:tr>
        <w:tc>
          <w:tcPr>
            <w:tcW w:type="dxa" w:w="175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Presets, EQ, limiters</w:t>
            </w:r>
          </w:p>
        </w:tc>
        <w:tc>
          <w:tcPr>
            <w:tcW w:type="dxa" w:w="24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Not modelled</w:t>
            </w:r>
          </w:p>
        </w:tc>
        <w:tc>
          <w:tcPr>
            <w:tcW w:type="dxa" w:w="521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ArrayCalc simulates DSP presets and limiter activity; Venue Synthesis ties predictions to supported presets. Without this, predictions drift from reality at high drive levels.</w:t>
            </w:r>
          </w:p>
        </w:tc>
      </w:tr>
      <w:tr>
        <w:tc>
          <w:tcPr>
            <w:tcW w:type="dxa" w:w="17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Rigging and safety</w:t>
            </w:r>
          </w:p>
        </w:tc>
        <w:tc>
          <w:tcPr>
            <w:tcW w:type="dxa" w:w="24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Not modelled</w:t>
            </w:r>
          </w:p>
        </w:tc>
        <w:tc>
          <w:tcPr>
            <w:tcW w:type="dxa" w:w="521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Weight, centre of gravity and load limits. Part of ArrayCalc's stated remit.</w:t>
            </w:r>
          </w:p>
        </w:tc>
      </w:tr>
      <w:tr>
        <w:tc>
          <w:tcPr>
            <w:tcW w:type="dxa" w:w="175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3D renderer</w:t>
            </w:r>
          </w:p>
        </w:tc>
        <w:tc>
          <w:tcPr>
            <w:tcW w:type="dxa" w:w="24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Hand-painted 2D only</w:t>
            </w:r>
          </w:p>
        </w:tc>
        <w:tc>
          <w:tcPr>
            <w:tcW w:type="dxa" w:w="521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The existing 3D cabinet view is painter's-algorithm drawing with juce::Path. A real 3D view needs a camera and a depth buffer — juce::OpenGLContext is the natural step.</w:t>
            </w:r>
          </w:p>
        </w:tc>
      </w:tr>
      <w:tr>
        <w:tc>
          <w:tcPr>
            <w:tcW w:type="dxa" w:w="175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Compute budget</w:t>
            </w:r>
          </w:p>
        </w:tc>
        <w:tc>
          <w:tcPr>
            <w:tcW w:type="dxa" w:w="24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400 × 400 single plane</w:t>
            </w:r>
          </w:p>
        </w:tc>
        <w:tc>
          <w:tcPr>
            <w:tcW w:type="dxa" w:w="521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160,000 points per band today. A volume at the same density is ~64 million. Surfaces keep this tractable; volumes do not.</w:t>
            </w:r>
          </w:p>
        </w:tc>
      </w:tr>
    </w:tbl>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8. A phased plan, with effort</w:t>
      </w:r>
    </w:p>
    <w:p>
      <w:pPr>
        <w:spacing w:after="120" w:line="280"/>
      </w:pPr>
      <w:r>
        <w:rPr>
          <w:rFonts w:ascii="Montserrat" w:cs="Montserrat" w:eastAsia="Montserrat" w:hAnsi="Montserrat"/>
          <w:b w:val="false"/>
          <w:bCs w:val="false"/>
          <w:i w:val="false"/>
          <w:iCs w:val="false"/>
          <w:color w:val="231F20"/>
          <w:sz w:val="20"/>
          <w:szCs w:val="20"/>
        </w:rPr>
        <w:t xml:space="preserve">Estimates are engineering effort for the work as scoped here, not commitments, and they assume one developer. The long pole is not the code — it is the data turnaround, which is not on our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660"/>
        <w:gridCol w:w="1800"/>
      </w:tblGrid>
      <w:tr>
        <w:trPr>
          <w:tblHeader/>
        </w:trPr>
        <w:tc>
          <w:tcPr>
            <w:tcW w:type="dxa" w:w="7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Phase</w:t>
            </w:r>
          </w:p>
        </w:tc>
        <w:tc>
          <w:tcPr>
            <w:tcW w:type="dxa" w:w="42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Deliverable</w:t>
            </w:r>
          </w:p>
        </w:tc>
        <w:tc>
          <w:tcPr>
            <w:tcW w:type="dxa" w:w="266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Depends on</w:t>
            </w:r>
          </w:p>
        </w:tc>
        <w:tc>
          <w:tcPr>
            <w:tcW w:type="dxa" w:w="1800"/>
            <w:tcBorders>
              <w:top w:val="single" w:color="E6E6E6" w:sz="4"/>
              <w:left w:val="single" w:color="E6E6E6" w:sz="4"/>
              <w:bottom w:val="single" w:color="E6E6E6" w:sz="4"/>
              <w:right w:val="single" w:color="E6E6E6" w:sz="4"/>
            </w:tcBorders>
            <w:shd w:fill="231F20" w:color="auto" w:val="clear"/>
            <w:tcMar>
              <w:top w:type="dxa" w:w="80"/>
              <w:left w:type="dxa" w:w="110"/>
              <w:bottom w:type="dxa" w:w="80"/>
              <w:right w:type="dxa" w:w="110"/>
            </w:tcMar>
          </w:tcPr>
          <w:p>
            <w:pPr>
              <w:spacing w:after="0" w:line="260"/>
            </w:pPr>
            <w:r>
              <w:rPr>
                <w:rFonts w:ascii="Montserrat" w:cs="Montserrat" w:eastAsia="Montserrat" w:hAnsi="Montserrat"/>
                <w:b/>
                <w:bCs/>
                <w:color w:val="FFFFFF"/>
                <w:sz w:val="18"/>
                <w:szCs w:val="18"/>
              </w:rPr>
              <w:t xml:space="preserve">Effort</w:t>
            </w:r>
          </w:p>
        </w:tc>
      </w:tr>
      <w:tr>
        <w:tc>
          <w:tcPr>
            <w:tcW w:type="dxa" w:w="7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0</w:t>
            </w:r>
          </w:p>
        </w:tc>
        <w:tc>
          <w:tcPr>
            <w:tcW w:type="dxa" w:w="42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Absolute SPL restored for the 2-inch horn</w:t>
            </w:r>
          </w:p>
        </w:tc>
        <w:tc>
          <w:tcPr>
            <w:tcW w:type="dxa" w:w="26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Data item 4 (sensitivity)</w:t>
            </w:r>
          </w:p>
        </w:tc>
        <w:tc>
          <w:tcPr>
            <w:tcW w:type="dxa" w:w="18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0.5 week</w:t>
            </w:r>
          </w:p>
        </w:tc>
      </w:tr>
      <w:tr>
        <w:tc>
          <w:tcPr>
            <w:tcW w:type="dxa" w:w="7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1</w:t>
            </w:r>
          </w:p>
        </w:tc>
        <w:tc>
          <w:tcPr>
            <w:tcW w:type="dxa" w:w="42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Solve at an arbitrary height; height and tilt finally read by the solver</w:t>
            </w:r>
          </w:p>
        </w:tc>
        <w:tc>
          <w:tcPr>
            <w:tcW w:type="dxa" w:w="266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Elevation-sampled BEM (data item 1, or the 4.1 fallback)</w:t>
            </w:r>
          </w:p>
        </w:tc>
        <w:tc>
          <w:tcPr>
            <w:tcW w:type="dxa" w:w="18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1.5–2 weeks</w:t>
            </w:r>
          </w:p>
        </w:tc>
      </w:tr>
      <w:tr>
        <w:tc>
          <w:tcPr>
            <w:tcW w:type="dxa" w:w="7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2</w:t>
            </w:r>
          </w:p>
        </w:tc>
        <w:tc>
          <w:tcPr>
            <w:tcW w:type="dxa" w:w="42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Audience surfaces: inclined and curved planes with SPL mapped onto them</w:t>
            </w:r>
          </w:p>
        </w:tc>
        <w:tc>
          <w:tcPr>
            <w:tcW w:type="dxa" w:w="26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Phase 1</w:t>
            </w:r>
          </w:p>
        </w:tc>
        <w:tc>
          <w:tcPr>
            <w:tcW w:type="dxa" w:w="18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2–3 weeks</w:t>
            </w:r>
          </w:p>
        </w:tc>
      </w:tr>
      <w:tr>
        <w:tc>
          <w:tcPr>
            <w:tcW w:type="dxa" w:w="7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3</w:t>
            </w:r>
          </w:p>
        </w:tc>
        <w:tc>
          <w:tcPr>
            <w:tcW w:type="dxa" w:w="42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Full-sphere directivity ingest and 3D evaluation in the engine</w:t>
            </w:r>
          </w:p>
        </w:tc>
        <w:tc>
          <w:tcPr>
            <w:tcW w:type="dxa" w:w="266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Data items 1–3</w:t>
            </w:r>
          </w:p>
        </w:tc>
        <w:tc>
          <w:tcPr>
            <w:tcW w:type="dxa" w:w="18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2–3 weeks</w:t>
            </w:r>
          </w:p>
        </w:tc>
      </w:tr>
      <w:tr>
        <w:tc>
          <w:tcPr>
            <w:tcW w:type="dxa" w:w="7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4</w:t>
            </w:r>
          </w:p>
        </w:tc>
        <w:tc>
          <w:tcPr>
            <w:tcW w:type="dxa" w:w="42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OpenGL 3D view with camera, plus venue geometry</w:t>
            </w:r>
          </w:p>
        </w:tc>
        <w:tc>
          <w:tcPr>
            <w:tcW w:type="dxa" w:w="26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Phases 2 and 3</w:t>
            </w:r>
          </w:p>
        </w:tc>
        <w:tc>
          <w:tcPr>
            <w:tcW w:type="dxa" w:w="18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3–4 weeks</w:t>
            </w:r>
          </w:p>
        </w:tc>
      </w:tr>
      <w:tr>
        <w:tc>
          <w:tcPr>
            <w:tcW w:type="dxa" w:w="7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5</w:t>
            </w:r>
          </w:p>
        </w:tc>
        <w:tc>
          <w:tcPr>
            <w:tcW w:type="dxa" w:w="42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Array objects and directional sub presets (end-fire, cardioid, broadside)</w:t>
            </w:r>
          </w:p>
        </w:tc>
        <w:tc>
          <w:tcPr>
            <w:tcW w:type="dxa" w:w="266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Phase 3</w:t>
            </w:r>
          </w:p>
        </w:tc>
        <w:tc>
          <w:tcPr>
            <w:tcW w:type="dxa" w:w="1800"/>
            <w:tcBorders>
              <w:top w:val="single" w:color="E6E6E6" w:sz="4"/>
              <w:left w:val="single" w:color="E6E6E6" w:sz="4"/>
              <w:bottom w:val="single" w:color="E6E6E6" w:sz="4"/>
              <w:right w:val="single" w:color="E6E6E6" w:sz="4"/>
            </w:tcBorders>
            <w:shd w:fill="F0F0F0" w:color="auto" w:val="clear"/>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2 weeks</w:t>
            </w:r>
          </w:p>
        </w:tc>
      </w:tr>
      <w:tr>
        <w:tc>
          <w:tcPr>
            <w:tcW w:type="dxa" w:w="7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6</w:t>
            </w:r>
          </w:p>
        </w:tc>
        <w:tc>
          <w:tcPr>
            <w:tcW w:type="dxa" w:w="42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Air absorption and ground reflection</w:t>
            </w:r>
          </w:p>
        </w:tc>
        <w:tc>
          <w:tcPr>
            <w:tcW w:type="dxa" w:w="266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Independent — can run in parallel</w:t>
            </w:r>
          </w:p>
        </w:tc>
        <w:tc>
          <w:tcPr>
            <w:tcW w:type="dxa" w:w="1800"/>
            <w:tcBorders>
              <w:top w:val="single" w:color="E6E6E6" w:sz="4"/>
              <w:left w:val="single" w:color="E6E6E6" w:sz="4"/>
              <w:bottom w:val="single" w:color="E6E6E6" w:sz="4"/>
              <w:right w:val="single" w:color="E6E6E6" w:sz="4"/>
            </w:tcBorders>
            <w:tcMar>
              <w:top w:type="dxa" w:w="80"/>
              <w:left w:type="dxa" w:w="110"/>
              <w:bottom w:type="dxa" w:w="80"/>
              <w:right w:type="dxa" w:w="110"/>
            </w:tcMar>
          </w:tcPr>
          <w:p>
            <w:pPr>
              <w:spacing w:after="0" w:line="260"/>
            </w:pPr>
            <w:r>
              <w:rPr>
                <w:rFonts w:ascii="Montserrat" w:cs="Montserrat" w:eastAsia="Montserrat" w:hAnsi="Montserrat"/>
                <w:b w:val="false"/>
                <w:bCs w:val="false"/>
                <w:color w:val="231F20"/>
                <w:sz w:val="18"/>
                <w:szCs w:val="18"/>
              </w:rPr>
              <w:t xml:space="preserve">1 week</w:t>
            </w:r>
          </w:p>
        </w:tc>
      </w:tr>
    </w:tbl>
    <w:p>
      <w:pPr>
        <w:spacing w:after="200"/>
      </w:pPr>
    </w:p>
    <w:p>
      <w:pPr>
        <w:spacing w:after="120" w:line="280"/>
      </w:pPr>
      <w:r>
        <w:rPr>
          <w:rFonts w:ascii="Montserrat" w:cs="Montserrat" w:eastAsia="Montserrat" w:hAnsi="Montserrat"/>
          <w:b w:val="false"/>
          <w:bCs w:val="false"/>
          <w:i w:val="false"/>
          <w:iCs w:val="false"/>
          <w:color w:val="231F20"/>
          <w:sz w:val="20"/>
          <w:szCs w:val="20"/>
        </w:rPr>
        <w:t xml:space="preserve">Total: roughly </w:t>
      </w:r>
      <w:r>
        <w:rPr>
          <w:rFonts w:ascii="Montserrat" w:cs="Montserrat" w:eastAsia="Montserrat" w:hAnsi="Montserrat"/>
          <w:b/>
          <w:bCs/>
          <w:i w:val="false"/>
          <w:iCs w:val="false"/>
          <w:color w:val="231F20"/>
          <w:sz w:val="20"/>
          <w:szCs w:val="20"/>
        </w:rPr>
        <w:t xml:space="preserve">12 to 16 weeks</w:t>
      </w:r>
      <w:r>
        <w:rPr>
          <w:rFonts w:ascii="Montserrat" w:cs="Montserrat" w:eastAsia="Montserrat" w:hAnsi="Montserrat"/>
          <w:b w:val="false"/>
          <w:bCs w:val="false"/>
          <w:i w:val="false"/>
          <w:iCs w:val="false"/>
          <w:color w:val="231F20"/>
          <w:sz w:val="20"/>
          <w:szCs w:val="20"/>
        </w:rPr>
        <w:t xml:space="preserve"> of focused work. Phases 0, 1 and 6 are worth doing regardless of whether the full 3D programme goes ahead — each improves the 2D product we already ship.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6E6" w:sz="4"/>
              <w:left w:val="single" w:color="46C37B" w:sz="18"/>
              <w:bottom w:val="single" w:color="E6E6E6" w:sz="4"/>
              <w:right w:val="single" w:color="E6E6E6" w:sz="4"/>
            </w:tcBorders>
            <w:shd w:fill="F0F0F0" w:color="auto" w:val="clear"/>
            <w:tcMar>
              <w:top w:type="dxa" w:w="140"/>
              <w:left w:type="dxa" w:w="160"/>
              <w:bottom w:type="dxa" w:w="140"/>
              <w:right w:type="dxa" w:w="160"/>
            </w:tcMar>
          </w:tcPr>
          <w:p>
            <w:pPr>
              <w:spacing w:after="80"/>
            </w:pPr>
            <w:r>
              <w:rPr>
                <w:rFonts w:ascii="Montserrat" w:cs="Montserrat" w:eastAsia="Montserrat" w:hAnsi="Montserrat"/>
                <w:b/>
                <w:bCs/>
                <w:color w:val="46C37B"/>
                <w:sz w:val="20"/>
                <w:szCs w:val="20"/>
              </w:rPr>
              <w:t xml:space="preserve">The cheapest genuinely useful step</w:t>
            </w:r>
          </w:p>
          <w:p>
            <w:pPr>
              <w:spacing w:after="60" w:line="280"/>
            </w:pPr>
            <w:r>
              <w:rPr>
                <w:rFonts w:ascii="Montserrat" w:cs="Montserrat" w:eastAsia="Montserrat" w:hAnsi="Montserrat"/>
                <w:color w:val="231F20"/>
                <w:sz w:val="19"/>
                <w:szCs w:val="19"/>
              </w:rPr>
              <w:t xml:space="preserve">Phase 0 plus Phase 6. Neither needs new BEM data of any kind, both fix things that are wrong today, and together they are about a week and a half. If the 3D programme stalls waiting on data, these should still happen.</w:t>
            </w:r>
          </w:p>
        </w:tc>
      </w:tr>
    </w:tbl>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9. Open questions for you</w:t>
      </w:r>
    </w:p>
    <w:p>
      <w:pPr>
        <w:spacing w:after="120" w:line="280"/>
      </w:pPr>
      <w:r>
        <w:rPr>
          <w:rFonts w:ascii="Montserrat" w:cs="Montserrat" w:eastAsia="Montserrat" w:hAnsi="Montserrat"/>
          <w:b w:val="false"/>
          <w:bCs w:val="false"/>
          <w:i w:val="false"/>
          <w:iCs w:val="false"/>
          <w:color w:val="231F20"/>
          <w:sz w:val="20"/>
          <w:szCs w:val="20"/>
        </w:rPr>
        <w:t xml:space="preserve">These change the plan materially, so they are worth answering before Phase 1 starts.</w:t>
      </w:r>
    </w:p>
    <w:p>
      <w:pPr>
        <w:spacing w:after="140" w:line="280"/>
      </w:pPr>
      <w:r>
        <w:rPr>
          <w:rFonts w:ascii="Montserrat" w:cs="Montserrat" w:eastAsia="Montserrat" w:hAnsi="Montserrat"/>
          <w:b/>
          <w:bCs/>
          <w:i w:val="false"/>
          <w:iCs w:val="false"/>
          <w:color w:val="ED2227"/>
          <w:sz w:val="20"/>
          <w:szCs w:val="20"/>
        </w:rPr>
        <w:t xml:space="preserve">1.  </w:t>
      </w:r>
      <w:r>
        <w:rPr>
          <w:rFonts w:ascii="Montserrat" w:cs="Montserrat" w:eastAsia="Montserrat" w:hAnsi="Montserrat"/>
          <w:b w:val="false"/>
          <w:bCs w:val="false"/>
          <w:i w:val="false"/>
          <w:iCs w:val="false"/>
          <w:color w:val="231F20"/>
          <w:sz w:val="20"/>
          <w:szCs w:val="20"/>
        </w:rPr>
        <w:t xml:space="preserve">Can the BEM solver emit a spherical receiver mesh? Given the sphere is ~2,664 points against the 40,961 you already solve for one plane, cost should not be the obstacle — but the mesh setup may be.</w:t>
      </w:r>
    </w:p>
    <w:p>
      <w:pPr>
        <w:spacing w:after="140" w:line="280"/>
      </w:pPr>
      <w:r>
        <w:rPr>
          <w:rFonts w:ascii="Montserrat" w:cs="Montserrat" w:eastAsia="Montserrat" w:hAnsi="Montserrat"/>
          <w:b/>
          <w:bCs/>
          <w:i w:val="false"/>
          <w:iCs w:val="false"/>
          <w:color w:val="ED2227"/>
          <w:sz w:val="20"/>
          <w:szCs w:val="20"/>
        </w:rPr>
        <w:t xml:space="preserve">2.  </w:t>
      </w:r>
      <w:r>
        <w:rPr>
          <w:rFonts w:ascii="Montserrat" w:cs="Montserrat" w:eastAsia="Montserrat" w:hAnsi="Montserrat"/>
          <w:b w:val="false"/>
          <w:bCs w:val="false"/>
          <w:i w:val="false"/>
          <w:iCs w:val="false"/>
          <w:color w:val="231F20"/>
          <w:sz w:val="20"/>
          <w:szCs w:val="20"/>
        </w:rPr>
        <w:t xml:space="preserve">Which symmetries do the cabinets genuinely have — left/right, top/bottom, both? Each one halves the solve, and guessing wrong corrupts the data silently.</w:t>
      </w:r>
    </w:p>
    <w:p>
      <w:pPr>
        <w:spacing w:after="140" w:line="280"/>
      </w:pPr>
      <w:r>
        <w:rPr>
          <w:rFonts w:ascii="Montserrat" w:cs="Montserrat" w:eastAsia="Montserrat" w:hAnsi="Montserrat"/>
          <w:b/>
          <w:bCs/>
          <w:i w:val="false"/>
          <w:iCs w:val="false"/>
          <w:color w:val="ED2227"/>
          <w:sz w:val="20"/>
          <w:szCs w:val="20"/>
        </w:rPr>
        <w:t xml:space="preserve">3.  </w:t>
      </w:r>
      <w:r>
        <w:rPr>
          <w:rFonts w:ascii="Montserrat" w:cs="Montserrat" w:eastAsia="Montserrat" w:hAnsi="Montserrat"/>
          <w:b w:val="false"/>
          <w:bCs w:val="false"/>
          <w:i w:val="false"/>
          <w:iCs w:val="false"/>
          <w:color w:val="231F20"/>
          <w:sz w:val="20"/>
          <w:szCs w:val="20"/>
        </w:rPr>
        <w:t xml:space="preserve">Was 400 Hz a hard ceiling for the Q21S study, or just its scope? The answer decides whether the Q21S can ever be shown crossing over to a top.</w:t>
      </w:r>
    </w:p>
    <w:p>
      <w:pPr>
        <w:spacing w:after="140" w:line="280"/>
      </w:pPr>
      <w:r>
        <w:rPr>
          <w:rFonts w:ascii="Montserrat" w:cs="Montserrat" w:eastAsia="Montserrat" w:hAnsi="Montserrat"/>
          <w:b/>
          <w:bCs/>
          <w:i w:val="false"/>
          <w:iCs w:val="false"/>
          <w:color w:val="ED2227"/>
          <w:sz w:val="20"/>
          <w:szCs w:val="20"/>
        </w:rPr>
        <w:t xml:space="preserve">4.  </w:t>
      </w:r>
      <w:r>
        <w:rPr>
          <w:rFonts w:ascii="Montserrat" w:cs="Montserrat" w:eastAsia="Montserrat" w:hAnsi="Montserrat"/>
          <w:b w:val="false"/>
          <w:bCs w:val="false"/>
          <w:i w:val="false"/>
          <w:iCs w:val="false"/>
          <w:color w:val="231F20"/>
          <w:sz w:val="20"/>
          <w:szCs w:val="20"/>
        </w:rPr>
        <w:t xml:space="preserve">What is the 2-inch horn's sensitivity? Still the single most valuable number outstanding.</w:t>
      </w:r>
    </w:p>
    <w:p>
      <w:pPr>
        <w:spacing w:after="140" w:line="280"/>
      </w:pPr>
      <w:r>
        <w:rPr>
          <w:rFonts w:ascii="Montserrat" w:cs="Montserrat" w:eastAsia="Montserrat" w:hAnsi="Montserrat"/>
          <w:b/>
          <w:bCs/>
          <w:i w:val="false"/>
          <w:iCs w:val="false"/>
          <w:color w:val="ED2227"/>
          <w:sz w:val="20"/>
          <w:szCs w:val="20"/>
        </w:rPr>
        <w:t xml:space="preserve">5.  </w:t>
      </w:r>
      <w:r>
        <w:rPr>
          <w:rFonts w:ascii="Montserrat" w:cs="Montserrat" w:eastAsia="Montserrat" w:hAnsi="Montserrat"/>
          <w:b w:val="false"/>
          <w:bCs w:val="false"/>
          <w:i w:val="false"/>
          <w:iCs w:val="false"/>
          <w:color w:val="231F20"/>
          <w:sz w:val="20"/>
          <w:szCs w:val="20"/>
        </w:rPr>
        <w:t xml:space="preserve">Do you want venue geometry import (DWG, DXF, SketchUp), or is a parametric venue — floor, rake, stage, balcony — enough for the first release?</w:t>
      </w:r>
    </w:p>
    <w:p>
      <w:pPr>
        <w:spacing w:after="140" w:line="280"/>
      </w:pPr>
      <w:r>
        <w:rPr>
          <w:rFonts w:ascii="Montserrat" w:cs="Montserrat" w:eastAsia="Montserrat" w:hAnsi="Montserrat"/>
          <w:b/>
          <w:bCs/>
          <w:i w:val="false"/>
          <w:iCs w:val="false"/>
          <w:color w:val="ED2227"/>
          <w:sz w:val="20"/>
          <w:szCs w:val="20"/>
        </w:rPr>
        <w:t xml:space="preserve">6.  </w:t>
      </w:r>
      <w:r>
        <w:rPr>
          <w:rFonts w:ascii="Montserrat" w:cs="Montserrat" w:eastAsia="Montserrat" w:hAnsi="Montserrat"/>
          <w:b w:val="false"/>
          <w:bCs w:val="false"/>
          <w:i w:val="false"/>
          <w:iCs w:val="false"/>
          <w:color w:val="231F20"/>
          <w:sz w:val="20"/>
          <w:szCs w:val="20"/>
        </w:rPr>
        <w:t xml:space="preserve">Is there a third cabinet, a main/top, that should be measured? Today we can model a sub and a horn with nothing in between.</w:t>
      </w:r>
    </w:p>
    <w:p>
      <w:r>
        <w:br w:type="page"/>
      </w:r>
    </w:p>
    <w:p>
      <w:pPr>
        <w:pStyle w:val="Heading1"/>
        <w:pBdr>
          <w:bottom w:val="single" w:color="ED2227" w:sz="12" w:space="6"/>
        </w:pBdr>
        <w:spacing w:after="160" w:before="360"/>
      </w:pPr>
      <w:r>
        <w:rPr>
          <w:rFonts w:ascii="Montserrat" w:cs="Montserrat" w:eastAsia="Montserrat" w:hAnsi="Montserrat"/>
          <w:b/>
          <w:bCs/>
          <w:color w:val="231F20"/>
          <w:sz w:val="30"/>
          <w:szCs w:val="30"/>
        </w:rPr>
        <w:t xml:space="preserve">Sources</w:t>
      </w:r>
    </w:p>
    <w:p>
      <w:pPr>
        <w:spacing w:after="120" w:line="280"/>
      </w:pPr>
      <w:r>
        <w:rPr>
          <w:rFonts w:ascii="Montserrat" w:cs="Montserrat" w:eastAsia="Montserrat" w:hAnsi="Montserrat"/>
          <w:b w:val="false"/>
          <w:bCs w:val="false"/>
          <w:i w:val="false"/>
          <w:iCs w:val="false"/>
          <w:color w:val="5A5A5E"/>
          <w:sz w:val="18"/>
          <w:szCs w:val="18"/>
        </w:rPr>
        <w:t xml:space="preserve">Product and format documentation consulted for this report.</w:t>
      </w:r>
    </w:p>
    <w:p>
      <w:pPr>
        <w:spacing w:after="80"/>
      </w:pPr>
    </w:p>
    <w:p>
      <w:pPr>
        <w:spacing w:after="20" w:line="280"/>
      </w:pPr>
      <w:r>
        <w:rPr>
          <w:rFonts w:ascii="Montserrat" w:cs="Montserrat" w:eastAsia="Montserrat" w:hAnsi="Montserrat"/>
          <w:b/>
          <w:bCs/>
          <w:i w:val="false"/>
          <w:iCs w:val="false"/>
          <w:color w:val="231F20"/>
          <w:sz w:val="19"/>
          <w:szCs w:val="19"/>
        </w:rPr>
        <w:t xml:space="preserve">ArrayCalc</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d&amp;b audiotechnik</w:t>
      </w:r>
    </w:p>
    <w:p>
      <w:pPr>
        <w:spacing w:after="140" w:line="280"/>
      </w:pPr>
      <w:r>
        <w:rPr>
          <w:rFonts w:ascii="Montserrat" w:cs="Montserrat" w:eastAsia="Montserrat" w:hAnsi="Montserrat"/>
          <w:b w:val="false"/>
          <w:bCs w:val="false"/>
          <w:i w:val="false"/>
          <w:iCs w:val="false"/>
          <w:color w:val="5A5A5E"/>
          <w:sz w:val="16"/>
          <w:szCs w:val="16"/>
        </w:rPr>
        <w:t xml:space="preserve">https://www.dbaudio.com/global/en/products/software/arraycalc/</w:t>
      </w:r>
    </w:p>
    <w:p>
      <w:pPr>
        <w:spacing w:after="20" w:line="280"/>
      </w:pPr>
      <w:r>
        <w:rPr>
          <w:rFonts w:ascii="Montserrat" w:cs="Montserrat" w:eastAsia="Montserrat" w:hAnsi="Montserrat"/>
          <w:b/>
          <w:bCs/>
          <w:i w:val="false"/>
          <w:iCs w:val="false"/>
          <w:color w:val="231F20"/>
          <w:sz w:val="19"/>
          <w:szCs w:val="19"/>
        </w:rPr>
        <w:t xml:space="preserve">ArrayCalc V7.6.11 release notes</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ProSoundWeb</w:t>
      </w:r>
    </w:p>
    <w:p>
      <w:pPr>
        <w:spacing w:after="140" w:line="280"/>
      </w:pPr>
      <w:r>
        <w:rPr>
          <w:rFonts w:ascii="Montserrat" w:cs="Montserrat" w:eastAsia="Montserrat" w:hAnsi="Montserrat"/>
          <w:b w:val="false"/>
          <w:bCs w:val="false"/>
          <w:i w:val="false"/>
          <w:iCs w:val="false"/>
          <w:color w:val="5A5A5E"/>
          <w:sz w:val="16"/>
          <w:szCs w:val="16"/>
        </w:rPr>
        <w:t xml:space="preserve">https://www.prosoundweb.com/db-audiotechnik-releases-arraycalc-simulation-software-v7-6-11/</w:t>
      </w:r>
    </w:p>
    <w:p>
      <w:pPr>
        <w:spacing w:after="20" w:line="280"/>
      </w:pPr>
      <w:r>
        <w:rPr>
          <w:rFonts w:ascii="Montserrat" w:cs="Montserrat" w:eastAsia="Montserrat" w:hAnsi="Montserrat"/>
          <w:b/>
          <w:bCs/>
          <w:i w:val="false"/>
          <w:iCs w:val="false"/>
          <w:color w:val="231F20"/>
          <w:sz w:val="19"/>
          <w:szCs w:val="19"/>
        </w:rPr>
        <w:t xml:space="preserve">ArrayCalc V6 release notes</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ProSoundWeb</w:t>
      </w:r>
    </w:p>
    <w:p>
      <w:pPr>
        <w:spacing w:after="140" w:line="280"/>
      </w:pPr>
      <w:r>
        <w:rPr>
          <w:rFonts w:ascii="Montserrat" w:cs="Montserrat" w:eastAsia="Montserrat" w:hAnsi="Montserrat"/>
          <w:b w:val="false"/>
          <w:bCs w:val="false"/>
          <w:i w:val="false"/>
          <w:iCs w:val="false"/>
          <w:color w:val="5A5A5E"/>
          <w:sz w:val="16"/>
          <w:szCs w:val="16"/>
        </w:rPr>
        <w:t xml:space="preserve">https://www.prosoundweb.com/db-audiotechnik-releases-new-version-6-of-arraycalc-simulation-software/</w:t>
      </w:r>
    </w:p>
    <w:p>
      <w:pPr>
        <w:spacing w:after="20" w:line="280"/>
      </w:pPr>
      <w:r>
        <w:rPr>
          <w:rFonts w:ascii="Montserrat" w:cs="Montserrat" w:eastAsia="Montserrat" w:hAnsi="Montserrat"/>
          <w:b/>
          <w:bCs/>
          <w:i w:val="false"/>
          <w:iCs w:val="false"/>
          <w:color w:val="231F20"/>
          <w:sz w:val="19"/>
          <w:szCs w:val="19"/>
        </w:rPr>
        <w:t xml:space="preserve">Line Array Calculator III</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JBL Professional</w:t>
      </w:r>
    </w:p>
    <w:p>
      <w:pPr>
        <w:spacing w:after="140" w:line="280"/>
      </w:pPr>
      <w:r>
        <w:rPr>
          <w:rFonts w:ascii="Montserrat" w:cs="Montserrat" w:eastAsia="Montserrat" w:hAnsi="Montserrat"/>
          <w:b w:val="false"/>
          <w:bCs w:val="false"/>
          <w:i w:val="false"/>
          <w:iCs w:val="false"/>
          <w:color w:val="5A5A5E"/>
          <w:sz w:val="16"/>
          <w:szCs w:val="16"/>
        </w:rPr>
        <w:t xml:space="preserve">https://jblpro.com/en-US/products/line-array-calculator-iii.html</w:t>
      </w:r>
    </w:p>
    <w:p>
      <w:pPr>
        <w:spacing w:after="20" w:line="280"/>
      </w:pPr>
      <w:r>
        <w:rPr>
          <w:rFonts w:ascii="Montserrat" w:cs="Montserrat" w:eastAsia="Montserrat" w:hAnsi="Montserrat"/>
          <w:b/>
          <w:bCs/>
          <w:i w:val="false"/>
          <w:iCs w:val="false"/>
          <w:color w:val="231F20"/>
          <w:sz w:val="19"/>
          <w:szCs w:val="19"/>
        </w:rPr>
        <w:t xml:space="preserve">Venue Synthesis</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JBL Professional</w:t>
      </w:r>
    </w:p>
    <w:p>
      <w:pPr>
        <w:spacing w:after="140" w:line="280"/>
      </w:pPr>
      <w:r>
        <w:rPr>
          <w:rFonts w:ascii="Montserrat" w:cs="Montserrat" w:eastAsia="Montserrat" w:hAnsi="Montserrat"/>
          <w:b w:val="false"/>
          <w:bCs w:val="false"/>
          <w:i w:val="false"/>
          <w:iCs w:val="false"/>
          <w:color w:val="5A5A5E"/>
          <w:sz w:val="16"/>
          <w:szCs w:val="16"/>
        </w:rPr>
        <w:t xml:space="preserve">https://jblpro.com/en-US/products/venue-synthesis</w:t>
      </w:r>
    </w:p>
    <w:p>
      <w:pPr>
        <w:spacing w:after="20" w:line="280"/>
      </w:pPr>
      <w:r>
        <w:rPr>
          <w:rFonts w:ascii="Montserrat" w:cs="Montserrat" w:eastAsia="Montserrat" w:hAnsi="Montserrat"/>
          <w:b/>
          <w:bCs/>
          <w:i w:val="false"/>
          <w:iCs w:val="false"/>
          <w:color w:val="231F20"/>
          <w:sz w:val="19"/>
          <w:szCs w:val="19"/>
        </w:rPr>
        <w:t xml:space="preserve">Inside JBL Venue Synthesis</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HARMAN Professional Insights</w:t>
      </w:r>
    </w:p>
    <w:p>
      <w:pPr>
        <w:spacing w:after="140" w:line="280"/>
      </w:pPr>
      <w:r>
        <w:rPr>
          <w:rFonts w:ascii="Montserrat" w:cs="Montserrat" w:eastAsia="Montserrat" w:hAnsi="Montserrat"/>
          <w:b w:val="false"/>
          <w:bCs w:val="false"/>
          <w:i w:val="false"/>
          <w:iCs w:val="false"/>
          <w:color w:val="5A5A5E"/>
          <w:sz w:val="16"/>
          <w:szCs w:val="16"/>
        </w:rPr>
        <w:t xml:space="preserve">https://pro.harman.com/insights/live-entertainment/perfecting-live-sound-design-inside-jbl-venue-synthesis-3d-acoustic-simulation-software/</w:t>
      </w:r>
    </w:p>
    <w:p>
      <w:pPr>
        <w:spacing w:after="20" w:line="280"/>
      </w:pPr>
      <w:r>
        <w:rPr>
          <w:rFonts w:ascii="Montserrat" w:cs="Montserrat" w:eastAsia="Montserrat" w:hAnsi="Montserrat"/>
          <w:b/>
          <w:bCs/>
          <w:i w:val="false"/>
          <w:iCs w:val="false"/>
          <w:color w:val="231F20"/>
          <w:sz w:val="19"/>
          <w:szCs w:val="19"/>
        </w:rPr>
        <w:t xml:space="preserve">GLL Loudspeaker File Format</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AFMG</w:t>
      </w:r>
    </w:p>
    <w:p>
      <w:pPr>
        <w:spacing w:after="140" w:line="280"/>
      </w:pPr>
      <w:r>
        <w:rPr>
          <w:rFonts w:ascii="Montserrat" w:cs="Montserrat" w:eastAsia="Montserrat" w:hAnsi="Montserrat"/>
          <w:b w:val="false"/>
          <w:bCs w:val="false"/>
          <w:i w:val="false"/>
          <w:iCs w:val="false"/>
          <w:color w:val="5A5A5E"/>
          <w:sz w:val="16"/>
          <w:szCs w:val="16"/>
        </w:rPr>
        <w:t xml:space="preserve">https://www.afmg.eu/en/gll-loudspeaker-file-format</w:t>
      </w:r>
    </w:p>
    <w:p>
      <w:pPr>
        <w:spacing w:after="20" w:line="280"/>
      </w:pPr>
      <w:r>
        <w:rPr>
          <w:rFonts w:ascii="Montserrat" w:cs="Montserrat" w:eastAsia="Montserrat" w:hAnsi="Montserrat"/>
          <w:b/>
          <w:bCs/>
          <w:i w:val="false"/>
          <w:iCs w:val="false"/>
          <w:color w:val="231F20"/>
          <w:sz w:val="19"/>
          <w:szCs w:val="19"/>
        </w:rPr>
        <w:t xml:space="preserve">EASE Focus</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AFMG</w:t>
      </w:r>
    </w:p>
    <w:p>
      <w:pPr>
        <w:spacing w:after="140" w:line="280"/>
      </w:pPr>
      <w:r>
        <w:rPr>
          <w:rFonts w:ascii="Montserrat" w:cs="Montserrat" w:eastAsia="Montserrat" w:hAnsi="Montserrat"/>
          <w:b w:val="false"/>
          <w:bCs w:val="false"/>
          <w:i w:val="false"/>
          <w:iCs w:val="false"/>
          <w:color w:val="5A5A5E"/>
          <w:sz w:val="16"/>
          <w:szCs w:val="16"/>
        </w:rPr>
        <w:t xml:space="preserve">https://www.afmg.eu/en/ease-focus</w:t>
      </w:r>
    </w:p>
    <w:p>
      <w:pPr>
        <w:spacing w:after="20" w:line="280"/>
      </w:pPr>
      <w:r>
        <w:rPr>
          <w:rFonts w:ascii="Montserrat" w:cs="Montserrat" w:eastAsia="Montserrat" w:hAnsi="Montserrat"/>
          <w:b/>
          <w:bCs/>
          <w:i w:val="false"/>
          <w:iCs w:val="false"/>
          <w:color w:val="231F20"/>
          <w:sz w:val="19"/>
          <w:szCs w:val="19"/>
        </w:rPr>
        <w:t xml:space="preserve">Subwoofer Arrays (white paper)</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Electro-Voice</w:t>
      </w:r>
    </w:p>
    <w:p>
      <w:pPr>
        <w:spacing w:after="140" w:line="280"/>
      </w:pPr>
      <w:r>
        <w:rPr>
          <w:rFonts w:ascii="Montserrat" w:cs="Montserrat" w:eastAsia="Montserrat" w:hAnsi="Montserrat"/>
          <w:b w:val="false"/>
          <w:bCs w:val="false"/>
          <w:i w:val="false"/>
          <w:iCs w:val="false"/>
          <w:color w:val="5A5A5E"/>
          <w:sz w:val="16"/>
          <w:szCs w:val="16"/>
        </w:rPr>
        <w:t xml:space="preserve">https://www.electrovoice.com/media/downloads/wp_subwoofer_arrays_v04.pdf</w:t>
      </w:r>
    </w:p>
    <w:p>
      <w:pPr>
        <w:spacing w:after="20" w:line="280"/>
      </w:pPr>
      <w:r>
        <w:rPr>
          <w:rFonts w:ascii="Montserrat" w:cs="Montserrat" w:eastAsia="Montserrat" w:hAnsi="Montserrat"/>
          <w:b/>
          <w:bCs/>
          <w:i w:val="false"/>
          <w:iCs w:val="false"/>
          <w:color w:val="231F20"/>
          <w:sz w:val="19"/>
          <w:szCs w:val="19"/>
        </w:rPr>
        <w:t xml:space="preserve">Cardioid / Directional Subwoofer Arrays, Part 1</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FOH Magazine</w:t>
      </w:r>
    </w:p>
    <w:p>
      <w:pPr>
        <w:spacing w:after="140" w:line="280"/>
      </w:pPr>
      <w:r>
        <w:rPr>
          <w:rFonts w:ascii="Montserrat" w:cs="Montserrat" w:eastAsia="Montserrat" w:hAnsi="Montserrat"/>
          <w:b w:val="false"/>
          <w:bCs w:val="false"/>
          <w:i w:val="false"/>
          <w:iCs w:val="false"/>
          <w:color w:val="5A5A5E"/>
          <w:sz w:val="16"/>
          <w:szCs w:val="16"/>
        </w:rPr>
        <w:t xml:space="preserve">https://fohonline.com/articles/tech-feature/cardioid-directional-subwoofer-arrays-part-1/</w:t>
      </w:r>
    </w:p>
    <w:p>
      <w:pPr>
        <w:spacing w:after="20" w:line="280"/>
      </w:pPr>
      <w:r>
        <w:rPr>
          <w:rFonts w:ascii="Montserrat" w:cs="Montserrat" w:eastAsia="Montserrat" w:hAnsi="Montserrat"/>
          <w:b/>
          <w:bCs/>
          <w:i w:val="false"/>
          <w:iCs w:val="false"/>
          <w:color w:val="231F20"/>
          <w:sz w:val="19"/>
          <w:szCs w:val="19"/>
        </w:rPr>
        <w:t xml:space="preserve">Back to Basics: Directional Subwoofer Arrays</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FOH Magazine</w:t>
      </w:r>
    </w:p>
    <w:p>
      <w:pPr>
        <w:spacing w:after="140" w:line="280"/>
      </w:pPr>
      <w:r>
        <w:rPr>
          <w:rFonts w:ascii="Montserrat" w:cs="Montserrat" w:eastAsia="Montserrat" w:hAnsi="Montserrat"/>
          <w:b w:val="false"/>
          <w:bCs w:val="false"/>
          <w:i w:val="false"/>
          <w:iCs w:val="false"/>
          <w:color w:val="5A5A5E"/>
          <w:sz w:val="16"/>
          <w:szCs w:val="16"/>
        </w:rPr>
        <w:t xml:space="preserve">https://fohonline.com/articles/tech-feature/back-to-basics-directional-subwoofer-arrays/</w:t>
      </w:r>
    </w:p>
    <w:p>
      <w:pPr>
        <w:spacing w:after="20" w:line="280"/>
      </w:pPr>
      <w:r>
        <w:rPr>
          <w:rFonts w:ascii="Montserrat" w:cs="Montserrat" w:eastAsia="Montserrat" w:hAnsi="Montserrat"/>
          <w:b/>
          <w:bCs/>
          <w:i w:val="false"/>
          <w:iCs w:val="false"/>
          <w:color w:val="231F20"/>
          <w:sz w:val="19"/>
          <w:szCs w:val="19"/>
        </w:rPr>
        <w:t xml:space="preserve">Dave Rat's End-Fire Adjustable Arc Subwoofer Array</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Sound Design Live</w:t>
      </w:r>
    </w:p>
    <w:p>
      <w:pPr>
        <w:spacing w:after="140" w:line="280"/>
      </w:pPr>
      <w:r>
        <w:rPr>
          <w:rFonts w:ascii="Montserrat" w:cs="Montserrat" w:eastAsia="Montserrat" w:hAnsi="Montserrat"/>
          <w:b w:val="false"/>
          <w:bCs w:val="false"/>
          <w:i w:val="false"/>
          <w:iCs w:val="false"/>
          <w:color w:val="5A5A5E"/>
          <w:sz w:val="16"/>
          <w:szCs w:val="16"/>
        </w:rPr>
        <w:t xml:space="preserve">https://www.sounddesignlive.com/dave-rats-end-fire-adjustable-arc-subwoofer-array/</w:t>
      </w:r>
    </w:p>
    <w:p>
      <w:pPr>
        <w:spacing w:after="20" w:line="280"/>
      </w:pPr>
      <w:r>
        <w:rPr>
          <w:rFonts w:ascii="Montserrat" w:cs="Montserrat" w:eastAsia="Montserrat" w:hAnsi="Montserrat"/>
          <w:b/>
          <w:bCs/>
          <w:i w:val="false"/>
          <w:iCs w:val="false"/>
          <w:color w:val="231F20"/>
          <w:sz w:val="19"/>
          <w:szCs w:val="19"/>
        </w:rPr>
        <w:t xml:space="preserve">Using Front-Fill and Delay Speakers</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FOH Magazine</w:t>
      </w:r>
    </w:p>
    <w:p>
      <w:pPr>
        <w:spacing w:after="140" w:line="280"/>
      </w:pPr>
      <w:r>
        <w:rPr>
          <w:rFonts w:ascii="Montserrat" w:cs="Montserrat" w:eastAsia="Montserrat" w:hAnsi="Montserrat"/>
          <w:b w:val="false"/>
          <w:bCs w:val="false"/>
          <w:i w:val="false"/>
          <w:iCs w:val="false"/>
          <w:color w:val="5A5A5E"/>
          <w:sz w:val="16"/>
          <w:szCs w:val="16"/>
        </w:rPr>
        <w:t xml:space="preserve">https://fohonline.com/articles/theory-and-practice/using-front-fill-and-delay-speakers/</w:t>
      </w:r>
    </w:p>
    <w:p>
      <w:pPr>
        <w:spacing w:after="20" w:line="280"/>
      </w:pPr>
      <w:r>
        <w:rPr>
          <w:rFonts w:ascii="Montserrat" w:cs="Montserrat" w:eastAsia="Montserrat" w:hAnsi="Montserrat"/>
          <w:b/>
          <w:bCs/>
          <w:i w:val="false"/>
          <w:iCs w:val="false"/>
          <w:color w:val="231F20"/>
          <w:sz w:val="19"/>
          <w:szCs w:val="19"/>
        </w:rPr>
        <w:t xml:space="preserve">Quick Solvers: Front Fill Spacing, Sub Decorrelation, Log Delay Tapers</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Precision Audio Services</w:t>
      </w:r>
    </w:p>
    <w:p>
      <w:pPr>
        <w:spacing w:after="140" w:line="280"/>
      </w:pPr>
      <w:r>
        <w:rPr>
          <w:rFonts w:ascii="Montserrat" w:cs="Montserrat" w:eastAsia="Montserrat" w:hAnsi="Montserrat"/>
          <w:b w:val="false"/>
          <w:bCs w:val="false"/>
          <w:i w:val="false"/>
          <w:iCs w:val="false"/>
          <w:color w:val="5A5A5E"/>
          <w:sz w:val="16"/>
          <w:szCs w:val="16"/>
        </w:rPr>
        <w:t xml:space="preserve">https://www.precisionaudioservices.com/blog/quick-solvers</w:t>
      </w:r>
    </w:p>
    <w:p>
      <w:pPr>
        <w:spacing w:after="20" w:line="280"/>
      </w:pPr>
      <w:r>
        <w:rPr>
          <w:rFonts w:ascii="Montserrat" w:cs="Montserrat" w:eastAsia="Montserrat" w:hAnsi="Montserrat"/>
          <w:b/>
          <w:bCs/>
          <w:i w:val="false"/>
          <w:iCs w:val="false"/>
          <w:color w:val="231F20"/>
          <w:sz w:val="19"/>
          <w:szCs w:val="19"/>
        </w:rPr>
        <w:t xml:space="preserve">Measurement of Loudspeaker Directivity</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Klippel</w:t>
      </w:r>
    </w:p>
    <w:p>
      <w:pPr>
        <w:spacing w:after="140" w:line="280"/>
      </w:pPr>
      <w:r>
        <w:rPr>
          <w:rFonts w:ascii="Montserrat" w:cs="Montserrat" w:eastAsia="Montserrat" w:hAnsi="Montserrat"/>
          <w:b w:val="false"/>
          <w:bCs w:val="false"/>
          <w:i w:val="false"/>
          <w:iCs w:val="false"/>
          <w:color w:val="5A5A5E"/>
          <w:sz w:val="16"/>
          <w:szCs w:val="16"/>
        </w:rPr>
        <w:t xml:space="preserve">https://klippel.de/training/attachments/training8/Training_8_Measurement_of_Loudspeaker_Directivity_en.pdf</w:t>
      </w:r>
    </w:p>
    <w:p>
      <w:pPr>
        <w:spacing w:after="20" w:line="280"/>
      </w:pPr>
      <w:r>
        <w:rPr>
          <w:rFonts w:ascii="Montserrat" w:cs="Montserrat" w:eastAsia="Montserrat" w:hAnsi="Montserrat"/>
          <w:b/>
          <w:bCs/>
          <w:i w:val="false"/>
          <w:iCs w:val="false"/>
          <w:color w:val="231F20"/>
          <w:sz w:val="19"/>
          <w:szCs w:val="19"/>
        </w:rPr>
        <w:t xml:space="preserve">Integrating Subwoofers with Line Arrays</w:t>
      </w:r>
      <w:r>
        <w:rPr>
          <w:rFonts w:ascii="Montserrat" w:cs="Montserrat" w:eastAsia="Montserrat" w:hAnsi="Montserrat"/>
          <w:b w:val="false"/>
          <w:bCs w:val="false"/>
          <w:i w:val="false"/>
          <w:iCs w:val="false"/>
          <w:color w:val="5A5A5E"/>
          <w:sz w:val="19"/>
          <w:szCs w:val="19"/>
        </w:rPr>
        <w:t xml:space="preserve">  ·  </w:t>
      </w:r>
      <w:r>
        <w:rPr>
          <w:rFonts w:ascii="Montserrat" w:cs="Montserrat" w:eastAsia="Montserrat" w:hAnsi="Montserrat"/>
          <w:b w:val="false"/>
          <w:bCs w:val="false"/>
          <w:i w:val="false"/>
          <w:iCs w:val="false"/>
          <w:color w:val="5A5A5E"/>
          <w:sz w:val="19"/>
          <w:szCs w:val="19"/>
        </w:rPr>
        <w:t xml:space="preserve">T.I Audio</w:t>
      </w:r>
    </w:p>
    <w:p>
      <w:pPr>
        <w:spacing w:after="140" w:line="280"/>
      </w:pPr>
      <w:r>
        <w:rPr>
          <w:rFonts w:ascii="Montserrat" w:cs="Montserrat" w:eastAsia="Montserrat" w:hAnsi="Montserrat"/>
          <w:b w:val="false"/>
          <w:bCs w:val="false"/>
          <w:i w:val="false"/>
          <w:iCs w:val="false"/>
          <w:color w:val="5A5A5E"/>
          <w:sz w:val="16"/>
          <w:szCs w:val="16"/>
        </w:rPr>
        <w:t xml:space="preserve">https://www.ti-audio.com/integrating-subwoofers-line-array-best-practices.html</w:t>
      </w:r>
    </w:p>
    <w:p>
      <w:pPr>
        <w:spacing w:after="240"/>
      </w:pPr>
    </w:p>
    <w:p>
      <w:pPr>
        <w:spacing w:after="120" w:line="280"/>
      </w:pPr>
      <w:r>
        <w:rPr>
          <w:rFonts w:ascii="Montserrat" w:cs="Montserrat" w:eastAsia="Montserrat" w:hAnsi="Montserrat"/>
          <w:b w:val="false"/>
          <w:bCs w:val="false"/>
          <w:i w:val="false"/>
          <w:iCs w:val="false"/>
          <w:color w:val="5A5A5E"/>
          <w:sz w:val="17"/>
          <w:szCs w:val="17"/>
        </w:rPr>
        <w:t xml:space="preserve">Internal sources: AcousticEngine.h / .cpp, MeasurementData.h, RadiationPatternComponent.cpp and docs/BEM_Data_10m_ANALYSIS.md in this repository, read on 29 September 2026 at commit b7a4537.</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lvl w:ilvl="1" w: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231F20"/>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the SPL Map Three-Dimensional</dc:title>
  <dc:creator>Atomik</dc:creator>
  <dc:description>Research, data requirements and industry benchmarks for a 3D SPL map</dc:description>
  <cp:lastModifiedBy>Un-named</cp:lastModifiedBy>
  <cp:revision>1</cp:revision>
  <dcterms:created xsi:type="dcterms:W3CDTF">2026-09-29T12:50:07.406Z</dcterms:created>
  <dcterms:modified xsi:type="dcterms:W3CDTF">2026-09-29T12:50:07.407Z</dcterms:modified>
</cp:coreProperties>
</file>

<file path=docProps/custom.xml><?xml version="1.0" encoding="utf-8"?>
<Properties xmlns="http://schemas.openxmlformats.org/officeDocument/2006/custom-properties" xmlns:vt="http://schemas.openxmlformats.org/officeDocument/2006/docPropsVTypes"/>
</file>