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8.png" ContentType="image/png"/>
  <Override PartName="/word/media/rId45.png" ContentType="image/png"/>
  <Override PartName="/word/media/rId58.png" ContentType="image/png"/>
  <Override PartName="/word/media/rId31.png" ContentType="image/png"/>
  <Override PartName="/word/media/rId41.png" ContentType="image/png"/>
  <Override PartName="/word/media/rId52.png" ContentType="image/png"/>
  <Override PartName="/word/media/rId20.png" ContentType="image/png"/>
  <Override PartName="/word/media/rId35.png" ContentType="image/png"/>
  <Override PartName="/word/media/rId38.png" ContentType="image/png"/>
  <Override PartName="/word/media/rId61.png" ContentType="image/png"/>
  <Override PartName="/word/media/rId48.png" ContentType="image/png"/>
  <Override PartName="/word/media/rId55.png" ContentType="image/png"/>
  <Override PartName="/word/media/rId65.png" ContentType="image/png"/>
  <Override PartName="/word/media/rId68.gif" ContentType="image/gi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Kinematics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myCobot</w:t>
      </w:r>
      <w:r>
        <w:t xml:space="preserve"> </w:t>
      </w:r>
      <w:r>
        <w:t xml:space="preserve">280</w:t>
      </w:r>
      <w:r>
        <w:t xml:space="preserve"> </w:t>
      </w:r>
      <w:r>
        <w:t xml:space="preserve">—</w:t>
      </w:r>
      <w:r>
        <w:t xml:space="preserve"> </w:t>
      </w:r>
      <w:r>
        <w:t xml:space="preserve">A</w:t>
      </w:r>
      <w:r>
        <w:t xml:space="preserve"> </w:t>
      </w:r>
      <w:r>
        <w:t xml:space="preserve">Worked</w:t>
      </w:r>
      <w:r>
        <w:t xml:space="preserve"> </w:t>
      </w:r>
      <w:r>
        <w:t xml:space="preserve">Book</w:t>
      </w:r>
    </w:p>
    <w:p>
      <w:pPr>
        <w:pStyle w:val="Subtitle"/>
      </w:pPr>
      <w:r>
        <w:t xml:space="preserve">Forward</w:t>
      </w:r>
      <w:r>
        <w:t xml:space="preserve"> </w:t>
      </w:r>
      <w:r>
        <w:t xml:space="preserve">&amp;</w:t>
      </w:r>
      <w:r>
        <w:t xml:space="preserve"> </w:t>
      </w:r>
      <w:r>
        <w:t xml:space="preserve">inverse</w:t>
      </w:r>
      <w:r>
        <w:t xml:space="preserve"> </w:t>
      </w:r>
      <w:r>
        <w:t xml:space="preserve">kinematics,</w:t>
      </w:r>
      <w:r>
        <w:t xml:space="preserve"> </w:t>
      </w:r>
      <w:r>
        <w:t xml:space="preserve">the</w:t>
      </w:r>
      <w:r>
        <w:t xml:space="preserve"> </w:t>
      </w:r>
      <w:r>
        <w:t xml:space="preserve">velocity-propagation</w:t>
      </w:r>
      <w:r>
        <w:t xml:space="preserve"> </w:t>
      </w:r>
      <w:r>
        <w:t xml:space="preserve">Jacobian,</w:t>
      </w:r>
      <w:r>
        <w:t xml:space="preserve"> </w:t>
      </w:r>
      <w:r>
        <w:t xml:space="preserve">manipulability,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code</w:t>
      </w:r>
      <w:r>
        <w:t xml:space="preserve"> </w:t>
      </w:r>
      <w:r>
        <w:t xml:space="preserve">—</w:t>
      </w:r>
      <w:r>
        <w:t xml:space="preserve"> </w:t>
      </w:r>
      <w:r>
        <w:t xml:space="preserve">in</w:t>
      </w:r>
      <w:r>
        <w:t xml:space="preserve"> </w:t>
      </w:r>
      <w:r>
        <w:t xml:space="preserve">reference</w:t>
      </w:r>
      <w:r>
        <w:t xml:space="preserve"> </w:t>
      </w:r>
      <w:r>
        <w:t xml:space="preserve">notation</w:t>
      </w:r>
    </w:p>
    <w:p>
      <w:pPr>
        <w:pStyle w:val="Author"/>
      </w:pPr>
      <w:r>
        <w:t xml:space="preserve">For:</w:t>
      </w:r>
      <w:r>
        <w:t xml:space="preserve"> </w:t>
      </w:r>
      <w:r>
        <w:t xml:space="preserve">Abhishek</w:t>
      </w:r>
      <w:r>
        <w:t xml:space="preserve"> </w:t>
      </w:r>
      <w:r>
        <w:t xml:space="preserve">Roy</w:t>
      </w:r>
    </w:p>
    <w:p>
      <w:pPr>
        <w:pStyle w:val="Date"/>
      </w:pPr>
      <w:r>
        <w:t xml:space="preserve">2026</w:t>
      </w:r>
    </w:p>
    <w:bookmarkStart w:id="23" w:name="preface-how-to-read-this-book"/>
    <w:p>
      <w:pPr>
        <w:pStyle w:val="Heading1"/>
      </w:pPr>
      <w:r>
        <w:t xml:space="preserve">Preface — how to read this book</w:t>
      </w:r>
    </w:p>
    <w:p>
      <w:pPr>
        <w:pStyle w:val="FirstParagraph"/>
      </w:pPr>
      <w:r>
        <w:t xml:space="preserve">This book explains the mathematics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the code of the myCobot 280 projects, in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notation of your reference notes</w:t>
      </w:r>
      <w:r>
        <w:t xml:space="preserve"> </w:t>
      </w:r>
      <w:r>
        <w:t xml:space="preserve">(modified Denavit–Hartenberg, the</w:t>
      </w:r>
      <w:r>
        <w:t xml:space="preserve"> </w:t>
      </w:r>
      <w:r>
        <w:t xml:space="preserve">velocity-propagation method). Read a chapter, then open the file it names and match</w:t>
      </w:r>
      <w:r>
        <w:t xml:space="preserve"> </w:t>
      </w:r>
      <w:r>
        <w:t xml:space="preserve">each equation to the lines of code.</w:t>
      </w:r>
    </w:p>
    <w:p>
      <w:pPr>
        <w:pStyle w:val="BodyText"/>
      </w:pPr>
      <w:r>
        <w:t xml:space="preserve">Two kinds of callouts appear throughout:</w:t>
      </w:r>
    </w:p>
    <w:p>
      <w:pPr>
        <w:pStyle w:val="BlockText"/>
      </w:pPr>
      <w:r>
        <w:rPr>
          <w:bCs/>
          <w:b/>
        </w:rPr>
        <w:t xml:space="preserve">Key point.</w:t>
      </w:r>
      <w:r>
        <w:t xml:space="preserve"> </w:t>
      </w:r>
      <w:r>
        <w:t xml:space="preserve">The one idea you must not miss.</w:t>
      </w:r>
    </w:p>
    <w:p>
      <w:pPr>
        <w:pStyle w:val="FirstParagraph"/>
      </w:pPr>
      <w:r>
        <w:rPr>
          <w:iCs/>
          <w:i/>
        </w:rPr>
        <w:t xml:space="preserve">Meaning.</w:t>
      </w:r>
      <w:r>
        <w:t xml:space="preserve"> </w:t>
      </w:r>
      <w:r>
        <w:t xml:space="preserve">A plain-language reading of the symbols right after each equation.</w:t>
      </w:r>
    </w:p>
    <w:p>
      <w:pPr>
        <w:pStyle w:val="BodyText"/>
      </w:pPr>
      <w:r>
        <w:t xml:space="preserve">Notation used throughout (from your reference notes):</w:t>
      </w:r>
    </w:p>
    <w:p>
      <w:pPr>
        <w:pStyle w:val="BodyText"/>
      </w:pPr>
      <w:r>
        <w:drawing>
          <wp:inline>
            <wp:extent cx="3840480" cy="713717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book/eq/notation_key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713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</w:t>
      </w:r>
      <w:r>
        <w:t xml:space="preserve"> </w:t>
      </w:r>
      <w:r>
        <w:rPr>
          <w:bCs/>
          <w:b/>
        </w:rPr>
        <w:t xml:space="preserve">leading super/subscript</w:t>
      </w:r>
      <w:r>
        <w:t xml:space="preserve"> </w:t>
      </w:r>
      <w:r>
        <w:t xml:space="preserve">denotes the frame: the first symbol above is the</w:t>
      </w:r>
      <w:r>
        <w:t xml:space="preserve"> </w:t>
      </w:r>
      <w:r>
        <w:t xml:space="preserve">transform</w:t>
      </w:r>
      <w:r>
        <w:t xml:space="preserve"> </w:t>
      </w:r>
      <w:r>
        <w:rPr>
          <w:bCs/>
          <w:b/>
        </w:rPr>
        <w:t xml:space="preserve">from frame</w:t>
      </w:r>
      <w:r>
        <w:rPr>
          <w:bCs/>
          <w:b/>
        </w:rPr>
        <w:t xml:space="preserve"> </w:t>
      </w:r>
      <m:oMath>
        <m:r>
          <m:t>i</m:t>
        </m:r>
        <m:r>
          <m:t>​</m:t>
        </m:r>
        <m:r>
          <m:rPr>
            <m:sty m:val="p"/>
          </m:rPr>
          <m:t>−</m:t>
        </m:r>
        <m:r>
          <m:t>​</m:t>
        </m:r>
        <m:r>
          <m:t>1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to frame</w:t>
      </w:r>
      <w:r>
        <w:rPr>
          <w:bCs/>
          <w:b/>
        </w:rPr>
        <w:t xml:space="preserve"> </w:t>
      </w:r>
      <m:oMath>
        <m:r>
          <m:t>i</m:t>
        </m:r>
      </m:oMath>
      <w:r>
        <w:t xml:space="preserve">; the second is an angular velocity</w:t>
      </w:r>
      <w:r>
        <w:t xml:space="preserve"> </w:t>
      </w:r>
      <w:r>
        <w:rPr>
          <w:bCs/>
          <w:b/>
        </w:rPr>
        <w:t xml:space="preserve">of link</w:t>
      </w:r>
      <w:r>
        <w:rPr>
          <w:bCs/>
          <w:b/>
        </w:rPr>
        <w:t xml:space="preserve"> </w:t>
      </w:r>
      <m:oMath>
        <m:r>
          <m:t>i</m:t>
        </m:r>
      </m:oMath>
      <w:r>
        <w:rPr>
          <w:bCs/>
          <w:b/>
        </w:rPr>
        <w:t xml:space="preserve">, written in frame</w:t>
      </w:r>
      <w:r>
        <w:rPr>
          <w:bCs/>
          <w:b/>
        </w:rPr>
        <w:t xml:space="preserve"> </w:t>
      </w:r>
      <m:oMath>
        <m:r>
          <m:t>i</m:t>
        </m:r>
      </m:oMath>
      <w:r>
        <w:t xml:space="preserve">. A</w:t>
      </w:r>
      <w:r>
        <w:t xml:space="preserve"> </w:t>
      </w:r>
      <w:r>
        <w:rPr>
          <w:bCs/>
          <w:b/>
        </w:rPr>
        <w:t xml:space="preserve">dot</w:t>
      </w:r>
      <w:r>
        <w:t xml:space="preserve"> </w:t>
      </w:r>
      <w:r>
        <w:t xml:space="preserve">is a time derivative (joint speed),</w:t>
      </w:r>
      <w:r>
        <w:t xml:space="preserve"> </w:t>
      </w:r>
      <w:r>
        <w:t xml:space="preserve">a</w:t>
      </w:r>
      <w:r>
        <w:t xml:space="preserve"> </w:t>
      </w:r>
      <w:r>
        <w:rPr>
          <w:bCs/>
          <w:b/>
        </w:rPr>
        <w:t xml:space="preserve">hat</w:t>
      </w:r>
      <w:r>
        <w:t xml:space="preserve"> </w:t>
      </w:r>
      <w:r>
        <w:t xml:space="preserve">is a unit vector (the</w:t>
      </w:r>
      <w:r>
        <w:t xml:space="preserve"> </w:t>
      </w:r>
      <m:oMath>
        <m:r>
          <m:t>z</m:t>
        </m:r>
      </m:oMath>
      <w:r>
        <w:t xml:space="preserve">-axis).</w:t>
      </w:r>
    </w:p>
    <w:p>
      <w:r>
        <w:pict>
          <v:rect style="width:0;height:1.5pt" o:hralign="center" o:hrstd="t" o:hr="t"/>
        </w:pict>
      </w:r>
    </w:p>
    <w:bookmarkEnd w:id="23"/>
    <w:bookmarkStart w:id="27" w:name="chapter-1-the-robot-and-its-frames"/>
    <w:p>
      <w:pPr>
        <w:pStyle w:val="Heading1"/>
      </w:pPr>
      <w:r>
        <w:t xml:space="preserve">Chapter 1 — The robot and its frames</w:t>
      </w:r>
    </w:p>
    <w:p>
      <w:pPr>
        <w:pStyle w:val="FirstParagraph"/>
      </w:pPr>
      <w:r>
        <w:t xml:space="preserve">The myCobot 280 is a 6-joint (6-DOF) arm; every joint is</w:t>
      </w:r>
      <w:r>
        <w:t xml:space="preserve"> </w:t>
      </w:r>
      <w:r>
        <w:rPr>
          <w:bCs/>
          <w:b/>
        </w:rPr>
        <w:t xml:space="preserve">revolute</w:t>
      </w:r>
      <w:r>
        <w:t xml:space="preserve"> </w:t>
      </w:r>
      <w:r>
        <w:t xml:space="preserve">and turns</w:t>
      </w:r>
      <w:r>
        <w:t xml:space="preserve"> </w:t>
      </w:r>
      <w:r>
        <w:t xml:space="preserve">about its own</w:t>
      </w:r>
      <w:r>
        <w:t xml:space="preserve"> </w:t>
      </w:r>
      <m:oMath>
        <m:r>
          <m:t>z</m:t>
        </m:r>
      </m:oMath>
      <w:r>
        <w:t xml:space="preserve">-axis. To do kinematics we attach a coordinate</w:t>
      </w:r>
      <w:r>
        <w:t xml:space="preserve"> </w:t>
      </w:r>
      <w:r>
        <w:rPr>
          <w:bCs/>
          <w:b/>
        </w:rPr>
        <w:t xml:space="preserve">frame</w:t>
      </w:r>
      <w:r>
        <w:t xml:space="preserve"> </w:t>
      </w:r>
      <w:r>
        <w:t xml:space="preserve">to each</w:t>
      </w:r>
      <w:r>
        <w:t xml:space="preserve"> </w:t>
      </w:r>
      <w:r>
        <w:t xml:space="preserve">link and describe how consecutive frames relate. We use the</w:t>
      </w:r>
      <w:r>
        <w:t xml:space="preserve"> </w:t>
      </w:r>
      <w:r>
        <w:rPr>
          <w:bCs/>
          <w:b/>
        </w:rPr>
        <w:t xml:space="preserve">modified (Craig)</w:t>
      </w:r>
      <w:r>
        <w:rPr>
          <w:bCs/>
          <w:b/>
        </w:rPr>
        <w:t xml:space="preserve"> </w:t>
      </w:r>
      <w:r>
        <w:rPr>
          <w:bCs/>
          <w:b/>
        </w:rPr>
        <w:t xml:space="preserve">Denavit–Hartenberg</w:t>
      </w:r>
      <w:r>
        <w:t xml:space="preserve"> </w:t>
      </w:r>
      <w:r>
        <w:t xml:space="preserve">convention, which needs only two axes per frame (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)</w:t>
      </w:r>
      <w:r>
        <w:t xml:space="preserve"> </w:t>
      </w:r>
      <w:r>
        <w:t xml:space="preserve">and four numbers per joint:</w:t>
      </w:r>
    </w:p>
    <w:p>
      <w:pPr>
        <w:pStyle w:val="BodyText"/>
      </w:pPr>
      <w:r>
        <w:drawing>
          <wp:inline>
            <wp:extent cx="2926080" cy="414423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book/eq/dh_params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4144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54"/>
        <w:gridCol w:w="2066"/>
        <w:gridCol w:w="309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α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link twist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angle from</w:t>
            </w:r>
            <w: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about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link 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distance between the two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-axes along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link offset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distance from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along</w:t>
            </w:r>
            <w: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joint angle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angle from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about</w:t>
            </w:r>
            <w: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(the</w:t>
            </w:r>
            <w:r>
              <w:t xml:space="preserve"> </w:t>
            </w:r>
            <w:r>
              <w:rPr>
                <w:bCs/>
                <w:b/>
              </w:rPr>
              <w:t xml:space="preserve">variable</w:t>
            </w:r>
            <w:r>
              <w:t xml:space="preserve"> </w:t>
            </w:r>
            <w:r>
              <w:t xml:space="preserve">for a revolute joint)</w:t>
            </w:r>
          </w:p>
        </w:tc>
      </w:tr>
    </w:tbl>
    <w:p>
      <w:pPr>
        <w:pStyle w:val="BlockText"/>
      </w:pPr>
      <w:r>
        <w:rPr>
          <w:bCs/>
          <w:b/>
        </w:rPr>
        <w:t xml:space="preserve">Key point.</w:t>
      </w:r>
      <w:r>
        <w:t xml:space="preserve"> </w:t>
      </w:r>
      <w:r>
        <w:t xml:space="preserve">For a revolute joint only</w:t>
      </w:r>
      <w:r>
        <w:t xml:space="preserve"> </w:t>
      </w:r>
      <m:oMath>
        <m:sSub>
          <m:e>
            <m:r>
              <m:t>θ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changes as the motor turns;</w:t>
      </w:r>
      <w:r>
        <w:t xml:space="preserve"> </w:t>
      </w:r>
      <m:oMath>
        <m:sSub>
          <m:e>
            <m:r>
              <m:t>α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fixed by the robot’s geometry.</w:t>
      </w:r>
    </w:p>
    <w:p>
      <w:pPr>
        <w:pStyle w:val="FirstParagraph"/>
      </w:pPr>
      <w:r>
        <w:rPr>
          <w:iCs/>
          <w:i/>
        </w:rPr>
        <w:t xml:space="preserve">Meaning.</w:t>
      </w:r>
      <w:r>
        <w:t xml:space="preserve"> </w:t>
      </w:r>
      <w:r>
        <w:t xml:space="preserve">Twist and length describe how one joint axis sits relative to the next;</w:t>
      </w:r>
      <w:r>
        <w:t xml:space="preserve"> </w:t>
      </w:r>
      <w:r>
        <w:t xml:space="preserve">offset and angle describe how far and how much you travel along/around the joint</w:t>
      </w:r>
      <w:r>
        <w:t xml:space="preserve"> </w:t>
      </w:r>
      <w:r>
        <w:t xml:space="preserve">axis to reach the next link.</w:t>
      </w:r>
    </w:p>
    <w:p>
      <w:r>
        <w:pict>
          <v:rect style="width:0;height:1.5pt" o:hralign="center" o:hrstd="t" o:hr="t"/>
        </w:pict>
      </w:r>
    </w:p>
    <w:bookmarkEnd w:id="27"/>
    <w:bookmarkStart w:id="34" w:name="chapter-2-forward-kinematics"/>
    <w:p>
      <w:pPr>
        <w:pStyle w:val="Heading1"/>
      </w:pPr>
      <w:r>
        <w:t xml:space="preserve">Chapter 2 — Forward kinematics</w:t>
      </w:r>
    </w:p>
    <w:p>
      <w:pPr>
        <w:pStyle w:val="FirstParagraph"/>
      </w:pPr>
      <w:r>
        <w:rPr>
          <w:bCs/>
          <w:b/>
        </w:rPr>
        <w:t xml:space="preserve">Question.</w:t>
      </w:r>
      <w:r>
        <w:t xml:space="preserve"> </w:t>
      </w:r>
      <w:r>
        <w:t xml:space="preserve">Given the six joint angles, where is the tool?</w:t>
      </w:r>
    </w:p>
    <w:p>
      <w:pPr>
        <w:pStyle w:val="BodyText"/>
      </w:pPr>
      <w:r>
        <w:t xml:space="preserve">Each pair of frames is related by one</w:t>
      </w:r>
      <w:r>
        <w:t xml:space="preserve"> </w:t>
      </w:r>
      <w:r>
        <w:rPr>
          <w:bCs/>
          <w:b/>
        </w:rPr>
        <w:t xml:space="preserve">modified-DH link transform</w:t>
      </w:r>
      <w:r>
        <w:t xml:space="preserve"> </w:t>
      </w:r>
      <w:r>
        <w:t xml:space="preserve">— exactly the</w:t>
      </w:r>
      <w:r>
        <w:t xml:space="preserve"> </w:t>
      </w:r>
      <w:r>
        <w:t xml:space="preserve">matrix in your notes:</w:t>
      </w:r>
    </w:p>
    <w:p>
      <w:pPr>
        <w:pStyle w:val="BodyText"/>
      </w:pPr>
      <w:r>
        <w:drawing>
          <wp:inline>
            <wp:extent cx="5334000" cy="152400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book/eq/dh_transform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2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c</m:t>
        </m:r>
        <m:r>
          <m:t>θ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θ</m:t>
        </m:r>
      </m:oMath>
      <w:r>
        <w:t xml:space="preserve">,</w:t>
      </w:r>
      <w:r>
        <w:t xml:space="preserve"> </w:t>
      </w:r>
      <m:oMath>
        <m:r>
          <m:t>s</m:t>
        </m:r>
        <m:r>
          <m:t>θ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θ</m:t>
        </m:r>
      </m:oMath>
      <w:r>
        <w:t xml:space="preserve">. Chaining the six link transforms</w:t>
      </w:r>
      <w:r>
        <w:t xml:space="preserve"> </w:t>
      </w:r>
      <w:r>
        <w:t xml:space="preserve">from the base to the tool gives the full forward kinematics:</w:t>
      </w:r>
    </w:p>
    <w:p>
      <w:pPr>
        <w:pStyle w:val="BodyText"/>
      </w:pPr>
      <w:r>
        <w:drawing>
          <wp:inline>
            <wp:extent cx="4206240" cy="710556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book/eq/fk_product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7105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bCs/>
          <w:b/>
        </w:rPr>
        <w:t xml:space="preserve">Key point.</w:t>
      </w:r>
      <w:r>
        <w:t xml:space="preserve"> </w:t>
      </w:r>
      <w:r>
        <w:t xml:space="preserve">Forward kinematics is just a</w:t>
      </w:r>
      <w:r>
        <w:t xml:space="preserve"> </w:t>
      </w:r>
      <w:r>
        <w:rPr>
          <w:bCs/>
          <w:b/>
        </w:rPr>
        <w:t xml:space="preserve">product of these link matrices</w:t>
      </w:r>
      <w:r>
        <w:t xml:space="preserve">.</w:t>
      </w:r>
      <w:r>
        <w:t xml:space="preserve"> </w:t>
      </w:r>
      <w:r>
        <w:t xml:space="preserve">One set of joint angles gives exactly one tool pose.</w:t>
      </w:r>
    </w:p>
    <w:p>
      <w:pPr>
        <w:pStyle w:val="FirstParagraph"/>
      </w:pPr>
      <w:r>
        <w:rPr>
          <w:iCs/>
          <w:i/>
        </w:rPr>
        <w:t xml:space="preserve">Meaning.</w:t>
      </w:r>
      <w:r>
        <w:t xml:space="preserve"> </w:t>
      </w:r>
      <w:r>
        <w:t xml:space="preserve">The top-left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block of the tool transform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tool’s</w:t>
      </w:r>
      <w:r>
        <w:t xml:space="preserve"> </w:t>
      </w:r>
      <w:r>
        <w:t xml:space="preserve">orientation; the top-right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block is its position.</w:t>
      </w:r>
    </w:p>
    <w:p>
      <w:pPr>
        <w:pStyle w:val="BodyText"/>
      </w:pPr>
      <w:r>
        <w:rPr>
          <w:bCs/>
          <w:b/>
        </w:rPr>
        <w:t xml:space="preserve">In code</w:t>
      </w:r>
      <w:r>
        <w:t xml:space="preserve"> </w:t>
      </w:r>
      <w:r>
        <w:t xml:space="preserve">(</w:t>
      </w:r>
      <w:r>
        <w:rPr>
          <w:rStyle w:val="VerbatimChar"/>
        </w:rPr>
        <w:t xml:space="preserve">mycobot_thesis/robot.py</w:t>
      </w:r>
      <w:r>
        <w:t xml:space="preserve">):</w:t>
      </w:r>
      <w:r>
        <w:t xml:space="preserve"> </w:t>
      </w:r>
      <w:r>
        <w:rPr>
          <w:rStyle w:val="VerbatimChar"/>
        </w:rPr>
        <w:t xml:space="preserve">_dh_link(alpha, a, d, theta)</w:t>
      </w:r>
      <w:r>
        <w:t xml:space="preserve"> </w:t>
      </w:r>
      <w:r>
        <w:t xml:space="preserve">builds one</w:t>
      </w:r>
      <w:r>
        <w:t xml:space="preserve"> </w:t>
      </w:r>
      <w:r>
        <w:t xml:space="preserve">matrix above;</w:t>
      </w:r>
      <w:r>
        <w:t xml:space="preserve"> </w:t>
      </w:r>
      <w:r>
        <w:rPr>
          <w:rStyle w:val="VerbatimChar"/>
        </w:rPr>
        <w:t xml:space="preserve">fk_frames(q)</w:t>
      </w:r>
      <w:r>
        <w:t xml:space="preserve"> </w:t>
      </w:r>
      <w:r>
        <w:t xml:space="preserve">multiplies them and returns every frame; and</w:t>
      </w:r>
      <w:r>
        <w:t xml:space="preserve"> </w:t>
      </w:r>
      <w:r>
        <w:rPr>
          <w:rStyle w:val="VerbatimChar"/>
        </w:rPr>
        <w:t xml:space="preserve">forward_kinematics(q)</w:t>
      </w:r>
      <w:r>
        <w:t xml:space="preserve"> </w:t>
      </w:r>
      <w:r>
        <w:t xml:space="preserve">returns the last one,</w:t>
      </w:r>
      <w:r>
        <w:t xml:space="preserve"> </w:t>
      </w:r>
      <m:oMath>
        <m:sSubSup>
          <m:e>
            <m:r>
              <m:t>​</m:t>
            </m:r>
          </m:e>
          <m:sub>
            <m:r>
              <m:t>N</m:t>
            </m:r>
          </m:sub>
          <m:sup>
            <m:r>
              <m:t>0</m:t>
            </m:r>
          </m:sup>
        </m:sSubSup>
        <m:r>
          <m:t>T</m:t>
        </m:r>
      </m:oMath>
      <w:r>
        <w:t xml:space="preserve">. The DH table (identified</w:t>
      </w:r>
      <w:r>
        <w:t xml:space="preserve"> </w:t>
      </w:r>
      <w:r>
        <w:t xml:space="preserve">from the URDF, verified to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  <m:r>
          <m:t> </m:t>
        </m:r>
        <m:r>
          <m:rPr>
            <m:nor/>
            <m:sty m:val="p"/>
          </m:rPr>
          <m:t>m</m:t>
        </m:r>
      </m:oMath>
      <w:r>
        <w:t xml:space="preserve">) is the array</w:t>
      </w:r>
      <w:r>
        <w:t xml:space="preserve"> </w:t>
      </w:r>
      <w:r>
        <w:rPr>
          <w:rStyle w:val="VerbatimChar"/>
        </w:rPr>
        <w:t xml:space="preserve">DH_TABLE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Start w:id="44" w:name="X9be29d273a14cc3949059c74c4d7bff1e26643f"/>
    <w:p>
      <w:pPr>
        <w:pStyle w:val="Heading1"/>
      </w:pPr>
      <w:r>
        <w:t xml:space="preserve">Chapter 3 — The Jacobian (velocity-propagation method)</w:t>
      </w:r>
    </w:p>
    <w:p>
      <w:pPr>
        <w:pStyle w:val="FirstParagraph"/>
      </w:pPr>
      <w:r>
        <w:rPr>
          <w:bCs/>
          <w:b/>
        </w:rPr>
        <w:t xml:space="preserve">Question.</w:t>
      </w:r>
      <w:r>
        <w:t xml:space="preserve"> </w:t>
      </w:r>
      <w:r>
        <w:t xml:space="preserve">How does the tool move when the joints move? The</w:t>
      </w:r>
      <w:r>
        <w:t xml:space="preserve"> </w:t>
      </w:r>
      <w:r>
        <w:rPr>
          <w:bCs/>
          <w:b/>
        </w:rPr>
        <w:t xml:space="preserve">Jacobian</w:t>
      </w:r>
      <w:r>
        <w:t xml:space="preserve"> </w:t>
      </w:r>
      <m:oMath>
        <m:r>
          <m:t>J</m:t>
        </m:r>
        <m:d>
          <m:dPr>
            <m:begChr m:val="("/>
            <m:endChr m:val=")"/>
            <m:sepChr m:val=""/>
            <m:grow/>
          </m:dPr>
          <m:e>
            <m:r>
              <m:t>q</m:t>
            </m:r>
          </m:e>
        </m:d>
      </m:oMath>
      <w:r>
        <w:t xml:space="preserve"> </w:t>
      </w:r>
      <w:r>
        <w:t xml:space="preserve">answers this, mapping joint speeds</w:t>
      </w:r>
      <w:r>
        <w:t xml:space="preserve"> </w:t>
      </w:r>
      <m:oMath>
        <m:acc>
          <m:accPr>
            <m:chr m:val="̇"/>
          </m:accPr>
          <m:e>
            <m:r>
              <m:t>q</m:t>
            </m:r>
          </m:e>
        </m:acc>
      </m:oMath>
      <w:r>
        <w:t xml:space="preserve"> </w:t>
      </w:r>
      <w:r>
        <w:t xml:space="preserve">to the tool’s linear and angular</w:t>
      </w:r>
      <w:r>
        <w:t xml:space="preserve"> </w:t>
      </w:r>
      <w:r>
        <w:t xml:space="preserve">velocity (its</w:t>
      </w:r>
      <w:r>
        <w:t xml:space="preserve"> </w:t>
      </w:r>
      <w:r>
        <w:rPr>
          <w:iCs/>
          <w:i/>
        </w:rPr>
        <w:t xml:space="preserve">twist</w:t>
      </w:r>
      <w:r>
        <w:t xml:space="preserve">).</w:t>
      </w:r>
    </w:p>
    <w:p>
      <w:pPr>
        <w:pStyle w:val="BodyText"/>
      </w:pPr>
      <w:r>
        <w:t xml:space="preserve">Your notes build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by</w:t>
      </w:r>
      <w:r>
        <w:t xml:space="preserve"> </w:t>
      </w:r>
      <w:r>
        <w:rPr>
          <w:bCs/>
          <w:b/>
        </w:rPr>
        <w:t xml:space="preserve">propagating velocity outward</w:t>
      </w:r>
      <w:r>
        <w:t xml:space="preserve">, frame by frame. Angular</w:t>
      </w:r>
      <w:r>
        <w:t xml:space="preserve"> </w:t>
      </w:r>
      <w:r>
        <w:t xml:space="preserve">velocity carries out and gains the new joint’s spin:</w:t>
      </w:r>
    </w:p>
    <w:p>
      <w:pPr>
        <w:pStyle w:val="BodyText"/>
      </w:pPr>
      <w:r>
        <w:drawing>
          <wp:inline>
            <wp:extent cx="4937760" cy="563909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book/eq/velprop_omega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5639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Linear velocity carries out, picking up the lever-arm cross-product, and gains a</w:t>
      </w:r>
      <w:r>
        <w:t xml:space="preserve"> </w:t>
      </w:r>
      <w:r>
        <w:t xml:space="preserve">prismatic slide (zero for our revolute joints):</w:t>
      </w:r>
    </w:p>
    <w:p>
      <w:pPr>
        <w:pStyle w:val="BodyText"/>
      </w:pPr>
      <w:r>
        <w:drawing>
          <wp:inline>
            <wp:extent cx="5334000" cy="431800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book/eq/velprop_v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1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Meaning.</w:t>
      </w:r>
      <w:r>
        <w:t xml:space="preserve"> </w:t>
      </w:r>
      <w:r>
        <w:t xml:space="preserve">The rotation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carries a vector from frame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 frame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; the</w:t>
      </w:r>
      <w:r>
        <w:t xml:space="preserve"> </w:t>
      </w:r>
      <w:r>
        <w:t xml:space="preserve">cross-product</w:t>
      </w:r>
      <w:r>
        <w:t xml:space="preserve"> </w:t>
      </w:r>
      <m:oMath>
        <m:r>
          <m:t>ω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is the velocity a rotating link imparts at its far</w:t>
      </w:r>
      <w:r>
        <w:t xml:space="preserve"> </w:t>
      </w:r>
      <w:r>
        <w:t xml:space="preserve">end;</w:t>
      </w:r>
      <w:r>
        <w:t xml:space="preserve"> </w:t>
      </w:r>
      <m:oMath>
        <m:sSub>
          <m:e>
            <m:acc>
              <m:accPr>
                <m:chr m:val="̇"/>
              </m:accPr>
              <m:e>
                <m:r>
                  <m:t>θ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̇"/>
              </m:accPr>
              <m:e>
                <m:r>
                  <m:t>d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add the new joint’s own motion.</w:t>
      </w:r>
    </w:p>
    <w:p>
      <w:pPr>
        <w:pStyle w:val="BodyText"/>
      </w:pPr>
      <w:r>
        <w:t xml:space="preserve">For an all-revolute arm this closes into the compact</w:t>
      </w:r>
      <w:r>
        <w:t xml:space="preserve"> </w:t>
      </w:r>
      <w:r>
        <w:rPr>
          <w:bCs/>
          <w:b/>
        </w:rPr>
        <w:t xml:space="preserve">geometric Jacobian</w:t>
      </w:r>
      <w:r>
        <w:t xml:space="preserve">, whose</w:t>
      </w:r>
      <w:r>
        <w:t xml:space="preserve"> </w:t>
      </w:r>
      <m:oMath>
        <m:r>
          <m:t>i</m:t>
        </m:r>
      </m:oMath>
      <w:r>
        <w:t xml:space="preserve">-th column is</w:t>
      </w:r>
    </w:p>
    <w:p>
      <w:pPr>
        <w:pStyle w:val="BodyText"/>
      </w:pPr>
      <w:r>
        <w:drawing>
          <wp:inline>
            <wp:extent cx="4937760" cy="1334529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book/eq/jacobian_col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13345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bCs/>
          <w:b/>
        </w:rPr>
        <w:t xml:space="preserve">Key point.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says:</w:t>
      </w:r>
      <w:r>
        <w:t xml:space="preserve"> </w:t>
      </w:r>
      <w:r>
        <w:rPr>
          <w:iCs/>
          <w:i/>
        </w:rPr>
        <w:t xml:space="preserve">if only joint</w:t>
      </w:r>
      <w:r>
        <w:rPr>
          <w:iCs/>
          <w:i/>
        </w:rPr>
        <w:t xml:space="preserve"> </w:t>
      </w:r>
      <m:oMath>
        <m:r>
          <m:t>i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spins, the tool’s linear</w:t>
      </w:r>
      <w:r>
        <w:rPr>
          <w:iCs/>
          <w:i/>
        </w:rPr>
        <w:t xml:space="preserve"> </w:t>
      </w:r>
      <w:r>
        <w:rPr>
          <w:iCs/>
          <w:i/>
        </w:rPr>
        <w:t xml:space="preserve">velocity is</w:t>
      </w:r>
      <w:r>
        <w:rPr>
          <w:iCs/>
          <w:i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×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P</m:t>
                </m:r>
              </m:e>
              <m:sub>
                <m:r>
                  <m:t>e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P</m:t>
                </m:r>
              </m:e>
              <m:sub>
                <m:r>
                  <m:t>i</m:t>
                </m:r>
              </m:sub>
            </m:sSub>
          </m:e>
        </m:d>
      </m:oMath>
      <w:r>
        <w:rPr>
          <w:iCs/>
          <w:i/>
        </w:rPr>
        <w:t xml:space="preserve"> </w:t>
      </w:r>
      <w:r>
        <w:rPr>
          <w:iCs/>
          <w:i/>
        </w:rPr>
        <w:t xml:space="preserve">and its angular velocity is</w:t>
      </w:r>
      <w:r>
        <w:rPr>
          <w:iCs/>
          <w:i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rPr>
          <w:iCs/>
          <w:i/>
        </w:rPr>
        <w:t xml:space="preserve">.</w:t>
      </w:r>
    </w:p>
    <w:p>
      <w:pPr>
        <w:pStyle w:val="FirstParagraph"/>
      </w:pPr>
      <w:r>
        <w:rPr>
          <w:bCs/>
          <w:b/>
        </w:rPr>
        <w:t xml:space="preserve">In code</w:t>
      </w:r>
      <w:r>
        <w:t xml:space="preserve"> </w:t>
      </w:r>
      <w:r>
        <w:t xml:space="preserve">(</w:t>
      </w:r>
      <w:r>
        <w:rPr>
          <w:rStyle w:val="VerbatimChar"/>
        </w:rPr>
        <w:t xml:space="preserve">robot.py</w:t>
      </w:r>
      <w:r>
        <w:t xml:space="preserve">):</w:t>
      </w:r>
      <w:r>
        <w:t xml:space="preserve"> </w:t>
      </w:r>
      <w:r>
        <w:rPr>
          <w:rStyle w:val="VerbatimChar"/>
        </w:rPr>
        <w:t xml:space="preserve">jacobian(q)</w:t>
      </w:r>
      <w:r>
        <w:t xml:space="preserve"> </w:t>
      </w:r>
      <w:r>
        <w:t xml:space="preserve">builds exactly these columns from the frame</w:t>
      </w:r>
      <w:r>
        <w:t xml:space="preserve"> </w:t>
      </w:r>
      <w:r>
        <w:t xml:space="preserve">axes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origins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returned by</w:t>
      </w:r>
      <w:r>
        <w:t xml:space="preserve"> </w:t>
      </w:r>
      <w:r>
        <w:rPr>
          <w:rStyle w:val="VerbatimChar"/>
        </w:rPr>
        <w:t xml:space="preserve">fk_frames</w:t>
      </w:r>
      <w:r>
        <w:t xml:space="preserve">. It is verified against a</w:t>
      </w:r>
      <w:r>
        <w:t xml:space="preserve"> </w:t>
      </w:r>
      <w:r>
        <w:t xml:space="preserve">finite-difference Jacobian to</w:t>
      </w:r>
      <w:r>
        <w:t xml:space="preserve"> </w:t>
      </w:r>
      <m:oMath>
        <m:r>
          <m:rPr>
            <m:sty m:val="p"/>
          </m:rPr>
          <m:t>≈</m:t>
        </m:r>
        <m:r>
          <m:t>2.5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44"/>
    <w:bookmarkStart w:id="51" w:name="chapter-4-inverse-kinematics"/>
    <w:p>
      <w:pPr>
        <w:pStyle w:val="Heading1"/>
      </w:pPr>
      <w:r>
        <w:t xml:space="preserve">Chapter 4 — Inverse kinematics</w:t>
      </w:r>
    </w:p>
    <w:p>
      <w:pPr>
        <w:pStyle w:val="FirstParagraph"/>
      </w:pPr>
      <w:r>
        <w:rPr>
          <w:bCs/>
          <w:b/>
        </w:rPr>
        <w:t xml:space="preserve">Question.</w:t>
      </w:r>
      <w:r>
        <w:t xml:space="preserve"> </w:t>
      </w:r>
      <w:r>
        <w:t xml:space="preserve">We want the tool at a desired pose — which joint angles get there?</w:t>
      </w:r>
      <w:r>
        <w:t xml:space="preserve"> </w:t>
      </w:r>
      <w:r>
        <w:t xml:space="preserve">There is no simple formula, so we iterate with</w:t>
      </w:r>
      <w:r>
        <w:t xml:space="preserve"> </w:t>
      </w:r>
      <w:r>
        <w:rPr>
          <w:bCs/>
          <w:b/>
        </w:rPr>
        <w:t xml:space="preserve">damped least squares</w:t>
      </w:r>
      <w:r>
        <w:t xml:space="preserve">:</w:t>
      </w:r>
    </w:p>
    <w:p>
      <w:pPr>
        <w:pStyle w:val="BodyText"/>
      </w:pPr>
      <w:r>
        <w:drawing>
          <wp:inline>
            <wp:extent cx="4206240" cy="501747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book/eq/dls_update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5017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the 6-vector pose error (position + orientation)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</w:t>
      </w:r>
      <w:r>
        <w:t xml:space="preserve"> </w:t>
      </w:r>
      <w:r>
        <w:t xml:space="preserve">small damping constant.</w:t>
      </w:r>
    </w:p>
    <w:p>
      <w:pPr>
        <w:pStyle w:val="BlockText"/>
      </w:pPr>
      <w:r>
        <w:rPr>
          <w:bCs/>
          <w:b/>
        </w:rPr>
        <w:t xml:space="preserve">Key point.</w:t>
      </w:r>
      <w:r>
        <w:t xml:space="preserve"> </w:t>
      </w:r>
      <w:r>
        <w:t xml:space="preserve">The damping</w:t>
      </w:r>
      <w:r>
        <w:t xml:space="preserve"> </w:t>
      </w:r>
      <m:oMath>
        <m:sSup>
          <m:e>
            <m:r>
              <m:t>λ</m:t>
            </m:r>
          </m:e>
          <m:sup>
            <m:r>
              <m:t>2</m:t>
            </m:r>
          </m:sup>
        </m:sSup>
        <m:r>
          <m:t>I</m:t>
        </m:r>
      </m:oMath>
      <w:r>
        <w:t xml:space="preserve"> </w:t>
      </w:r>
      <w:r>
        <w:t xml:space="preserve">is what keeps the step finite near a</w:t>
      </w:r>
      <w:r>
        <w:t xml:space="preserve"> </w:t>
      </w:r>
      <w:r>
        <w:rPr>
          <w:bCs/>
          <w:b/>
        </w:rPr>
        <w:t xml:space="preserve">singularity</w:t>
      </w:r>
      <w:r>
        <w:t xml:space="preserve"> </w:t>
      </w:r>
      <w:r>
        <w:t xml:space="preserve">(where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loses rank and a plain inverse blows up). It trades a</w:t>
      </w:r>
      <w:r>
        <w:t xml:space="preserve"> </w:t>
      </w:r>
      <w:r>
        <w:t xml:space="preserve">tiny steady-state error for stability.</w:t>
      </w:r>
    </w:p>
    <w:p>
      <w:pPr>
        <w:pStyle w:val="FirstParagraph"/>
      </w:pPr>
      <w:r>
        <w:rPr>
          <w:iCs/>
          <w:i/>
        </w:rPr>
        <w:t xml:space="preserve">Meaning.</w:t>
      </w:r>
      <w:r>
        <w:t xml:space="preserve"> </w:t>
      </w:r>
      <w:r>
        <w:t xml:space="preserve">Each step multiplies the pose error by a damped inverse of the Jacobian</w:t>
      </w:r>
      <w:r>
        <w:t xml:space="preserve"> </w:t>
      </w:r>
      <w:r>
        <w:t xml:space="preserve">to get a joint correction, then repeats until the tool reaches the target.</w:t>
      </w:r>
    </w:p>
    <w:p>
      <w:pPr>
        <w:pStyle w:val="BodyText"/>
      </w:pPr>
      <w:r>
        <w:rPr>
          <w:bCs/>
          <w:b/>
        </w:rPr>
        <w:t xml:space="preserve">In code</w:t>
      </w:r>
      <w:r>
        <w:t xml:space="preserve"> </w:t>
      </w:r>
      <w:r>
        <w:t xml:space="preserve">(</w:t>
      </w:r>
      <w:r>
        <w:rPr>
          <w:rStyle w:val="VerbatimChar"/>
        </w:rPr>
        <w:t xml:space="preserve">mycobot_thesis/ik.py</w:t>
      </w:r>
      <w:r>
        <w:t xml:space="preserve">):</w:t>
      </w:r>
      <w:r>
        <w:t xml:space="preserve"> </w:t>
      </w:r>
      <w:r>
        <w:rPr>
          <w:rStyle w:val="VerbatimChar"/>
        </w:rPr>
        <w:t xml:space="preserve">damped_least_squares(...)</w:t>
      </w:r>
      <w:r>
        <w:t xml:space="preserve"> </w:t>
      </w:r>
      <w:r>
        <w:t xml:space="preserve">is the equation</w:t>
      </w:r>
      <w:r>
        <w:t xml:space="preserve"> </w:t>
      </w:r>
      <w:r>
        <w:t xml:space="preserve">above;</w:t>
      </w:r>
      <w:r>
        <w:t xml:space="preserve"> </w:t>
      </w:r>
      <w:r>
        <w:rPr>
          <w:rStyle w:val="VerbatimChar"/>
        </w:rPr>
        <w:t xml:space="preserve">pseudoinverse</w:t>
      </w:r>
      <w:r>
        <w:t xml:space="preserve">,</w:t>
      </w:r>
      <w:r>
        <w:t xml:space="preserve"> </w:t>
      </w:r>
      <w:r>
        <w:rPr>
          <w:rStyle w:val="VerbatimChar"/>
        </w:rPr>
        <w:t xml:space="preserve">jacobian_transpose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levenberg_marquardt</w:t>
      </w:r>
      <w:r>
        <w:t xml:space="preserve"> </w:t>
      </w:r>
      <w:r>
        <w:t xml:space="preserve">are the</w:t>
      </w:r>
      <w:r>
        <w:t xml:space="preserve"> </w:t>
      </w:r>
      <w:r>
        <w:t xml:space="preserve">alternatives compared in the thesis. Damped least squares was the most robust</w:t>
      </w:r>
      <w:r>
        <w:t xml:space="preserve"> </w:t>
      </w:r>
      <w:r>
        <w:t xml:space="preserve">(98.7% success); see the figure below.</w:t>
      </w:r>
    </w:p>
    <w:p>
      <w:pPr>
        <w:pStyle w:val="BodyText"/>
      </w:pPr>
      <w:r>
        <w:drawing>
          <wp:inline>
            <wp:extent cx="5334000" cy="1341957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figures/fig_ik_comparison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419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51"/>
    <w:bookmarkStart w:id="64" w:name="Xe17756aa641d1570cbac0e6916a2ec2f5761e29"/>
    <w:p>
      <w:pPr>
        <w:pStyle w:val="Heading1"/>
      </w:pPr>
      <w:r>
        <w:t xml:space="preserve">Chapter 5 — Manipulability and the task-constrained workspace</w:t>
      </w:r>
    </w:p>
    <w:p>
      <w:pPr>
        <w:pStyle w:val="FirstParagraph"/>
      </w:pPr>
      <w:r>
        <w:t xml:space="preserve">Not every reachable point is equally good, and — for drawing — not every reachable</w:t>
      </w:r>
      <w:r>
        <w:t xml:space="preserve"> </w:t>
      </w:r>
      <w:r>
        <w:t xml:space="preserve">point can be reached with the pen</w:t>
      </w:r>
      <w:r>
        <w:t xml:space="preserve"> </w:t>
      </w:r>
      <w:r>
        <w:rPr>
          <w:bCs/>
          <w:b/>
        </w:rPr>
        <w:t xml:space="preserve">perpendicular to the surface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Dexterity.</w:t>
      </w:r>
      <w:r>
        <w:t xml:space="preserve"> </w:t>
      </w:r>
      <w:r>
        <w:t xml:space="preserve">Yoshikawa manipulability and the condition number measure how far a</w:t>
      </w:r>
      <w:r>
        <w:t xml:space="preserve"> </w:t>
      </w:r>
      <w:r>
        <w:t xml:space="preserve">configuration is from a singularity:</w:t>
      </w:r>
    </w:p>
    <w:p>
      <w:pPr>
        <w:pStyle w:val="BodyText"/>
      </w:pPr>
      <w:r>
        <w:drawing>
          <wp:inline>
            <wp:extent cx="5120640" cy="856115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book/eq/manip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8561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Meaning.</w:t>
      </w:r>
      <w:r>
        <w:t xml:space="preserve"> </w:t>
      </w:r>
      <m:oMath>
        <m:r>
          <m:t>w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κ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) at a singularity: the arm loses a</w:t>
      </w:r>
      <w:r>
        <w:t xml:space="preserve"> </w:t>
      </w:r>
      <w:r>
        <w:t xml:space="preserve">direction of motion and IK becomes twitchy. Large</w:t>
      </w:r>
      <w:r>
        <w:t xml:space="preserve"> </w:t>
      </w:r>
      <m:oMath>
        <m:r>
          <m:t>w</m:t>
        </m:r>
      </m:oMath>
      <w:r>
        <w:t xml:space="preserve">, small</w:t>
      </w:r>
      <w:r>
        <w:t xml:space="preserve"> </w:t>
      </w:r>
      <m:oMath>
        <m:r>
          <m:t>κ</m:t>
        </m:r>
      </m:oMath>
      <w:r>
        <w:t xml:space="preserve"> </w:t>
      </w:r>
      <w:r>
        <w:t xml:space="preserve">= dexterous.</w:t>
      </w:r>
    </w:p>
    <w:p>
      <w:pPr>
        <w:pStyle w:val="BodyText"/>
      </w:pPr>
      <w:r>
        <w:drawing>
          <wp:inline>
            <wp:extent cx="5334000" cy="1681738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figures/fig_manipulability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17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Drawable workspace.</w:t>
      </w:r>
      <w:r>
        <w:t xml:space="preserve"> </w:t>
      </w:r>
      <w:r>
        <w:t xml:space="preserve">Given a surface with normal</w:t>
      </w:r>
      <w:r>
        <w:t xml:space="preserve"> </w:t>
      </w:r>
      <m:oMath>
        <m:r>
          <m:t>n</m:t>
        </m:r>
      </m:oMath>
      <w:r>
        <w:t xml:space="preserve">, the positions the pen can</w:t>
      </w:r>
      <w:r>
        <w:t xml:space="preserve"> </w:t>
      </w:r>
      <w:r>
        <w:t xml:space="preserve">reach</w:t>
      </w:r>
      <w:r>
        <w:t xml:space="preserve"> </w:t>
      </w:r>
      <w:r>
        <w:rPr>
          <w:iCs/>
          <w:i/>
        </w:rPr>
        <w:t xml:space="preserve">while staying perpendicular</w:t>
      </w:r>
      <w:r>
        <w:t xml:space="preserve"> </w:t>
      </w:r>
      <w:r>
        <w:t xml:space="preserve">form the task-constrained set</w:t>
      </w:r>
    </w:p>
    <w:p>
      <w:pPr>
        <w:pStyle w:val="BodyText"/>
      </w:pPr>
      <w:r>
        <w:drawing>
          <wp:inline>
            <wp:extent cx="5334000" cy="440225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book/eq/drawable_set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0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bCs/>
          <w:b/>
        </w:rPr>
        <w:t xml:space="preserve">Key point.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reachable</w:t>
      </w:r>
      <w:r>
        <w:t xml:space="preserve"> </w:t>
      </w:r>
      <w:r>
        <w:t xml:space="preserve">set</w:t>
      </w:r>
      <w:r>
        <w:t xml:space="preserve"> </w:t>
      </w:r>
      <m:oMath>
        <m:r>
          <m:rPr>
            <m:sty m:val="p"/>
            <m:scr m:val="script"/>
          </m:rPr>
          <m:t>R</m:t>
        </m:r>
      </m:oMath>
      <w:r>
        <w:t xml:space="preserve"> </w:t>
      </w:r>
      <w:r>
        <w:t xml:space="preserve">and the</w:t>
      </w:r>
      <w:r>
        <w:t xml:space="preserve"> </w:t>
      </w:r>
      <w:r>
        <w:rPr>
          <w:bCs/>
          <w:b/>
        </w:rPr>
        <w:t xml:space="preserve">drawable</w:t>
      </w:r>
      <w:r>
        <w:t xml:space="preserve"> </w:t>
      </w:r>
      <w:r>
        <w:t xml:space="preserve">set</w:t>
      </w:r>
      <w:r>
        <w:t xml:space="preserve"> </w:t>
      </w:r>
      <m:oMath>
        <m:r>
          <m:rPr>
            <m:sty m:val="p"/>
            <m:scr m:val="script"/>
          </m:rPr>
          <m:t>D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are different:</w:t>
      </w:r>
      <w:r>
        <w:t xml:space="preserve"> </w:t>
      </w:r>
      <m:oMath>
        <m:r>
          <m:rPr>
            <m:sty m:val="p"/>
            <m:scr m:val="script"/>
          </m:rPr>
          <m:t>D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⊂</m:t>
        </m:r>
        <m:r>
          <m:rPr>
            <m:sty m:val="p"/>
            <m:scr m:val="script"/>
          </m:rPr>
          <m:t>R</m:t>
        </m:r>
      </m:oMath>
      <w:r>
        <w:t xml:space="preserve">, and the gap</w:t>
      </w:r>
      <w:r>
        <w:t xml:space="preserve"> </w:t>
      </w:r>
      <w:r>
        <w:t xml:space="preserve">depends on the surface orientation.</w:t>
      </w:r>
    </w:p>
    <w:p>
      <w:pPr>
        <w:pStyle w:val="FirstParagraph"/>
      </w:pPr>
      <w:r>
        <w:t xml:space="preserve">For the myCobot: only</w:t>
      </w:r>
      <w:r>
        <w:t xml:space="preserve"> </w:t>
      </w:r>
      <m:oMath>
        <m:r>
          <m:t>57.9</m:t>
        </m:r>
        <m:r>
          <m:rPr>
            <m:sty m:val="p"/>
          </m:rPr>
          <m:t>%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  <m:scr m:val="script"/>
          </m:rPr>
          <m:t>R</m:t>
        </m:r>
      </m:oMath>
      <w:r>
        <w:t xml:space="preserve"> </w:t>
      </w:r>
      <w:r>
        <w:t xml:space="preserve">allows a perpendicular pen on a</w:t>
      </w:r>
      <w:r>
        <w:t xml:space="preserve"> </w:t>
      </w:r>
      <w:r>
        <w:t xml:space="preserve">vertical surface (</w:t>
      </w:r>
      <m:oMath>
        <m:r>
          <m:t>35.2</m:t>
        </m:r>
        <m:r>
          <m:rPr>
            <m:sty m:val="p"/>
          </m:rPr>
          <m:t>%</m:t>
        </m:r>
      </m:oMath>
      <w:r>
        <w:t xml:space="preserve"> </w:t>
      </w:r>
      <w:r>
        <w:t xml:space="preserve">front-facing), and</w:t>
      </w:r>
      <w:r>
        <w:t xml:space="preserve"> </w:t>
      </w:r>
      <m:oMath>
        <m:r>
          <m:t>63.5</m:t>
        </m:r>
        <m:r>
          <m:rPr>
            <m:sty m:val="p"/>
          </m:rPr>
          <m:t>%</m:t>
        </m:r>
      </m:oMath>
      <w:r>
        <w:t xml:space="preserve"> </w:t>
      </w:r>
      <w:r>
        <w:t xml:space="preserve">allows pen-down drawing on a</w:t>
      </w:r>
      <w:r>
        <w:t xml:space="preserve"> </w:t>
      </w:r>
      <w:r>
        <w:t xml:space="preserve">horizontal table — an</w:t>
      </w:r>
      <w:r>
        <w:t xml:space="preserve"> </w:t>
      </w:r>
      <w:r>
        <w:rPr>
          <w:bCs/>
          <w:b/>
        </w:rPr>
        <w:t xml:space="preserve">annulus</w:t>
      </w:r>
      <w:r>
        <w:t xml:space="preserve"> </w:t>
      </w:r>
      <w:r>
        <w:t xml:space="preserve">around a dead zone above the base.</w:t>
      </w:r>
    </w:p>
    <w:p>
      <w:pPr>
        <w:pStyle w:val="BodyText"/>
      </w:pPr>
      <w:r>
        <w:drawing>
          <wp:inline>
            <wp:extent cx="5334000" cy="1862625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figures/fig_feasibility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62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64"/>
    <w:bookmarkStart w:id="71" w:name="chapter-6-reading-the-code"/>
    <w:p>
      <w:pPr>
        <w:pStyle w:val="Heading1"/>
      </w:pPr>
      <w:r>
        <w:t xml:space="preserve">Chapter 6 — Reading the code</w:t>
      </w:r>
    </w:p>
    <w:p>
      <w:pPr>
        <w:pStyle w:val="FirstParagraph"/>
      </w:pPr>
      <w:r>
        <w:t xml:space="preserve">Every module mirrors a chapter. The</w:t>
      </w:r>
      <w:r>
        <w:t xml:space="preserve"> </w:t>
      </w:r>
      <w:r>
        <w:rPr>
          <w:bCs/>
          <w:b/>
        </w:rPr>
        <w:t xml:space="preserve">library</w:t>
      </w:r>
      <w:r>
        <w:t xml:space="preserve"> </w:t>
      </w:r>
      <w:r>
        <w:t xml:space="preserve">is pure math (no ROS); the</w:t>
      </w:r>
      <w:r>
        <w:t xml:space="preserve"> </w:t>
      </w:r>
      <w:r>
        <w:rPr>
          <w:bCs/>
          <w:b/>
        </w:rPr>
        <w:t xml:space="preserve">nodes</w:t>
      </w:r>
      <w:r>
        <w:t xml:space="preserve"> </w:t>
      </w:r>
      <w:r>
        <w:t xml:space="preserve">wrap it for live RViz.</w:t>
      </w:r>
    </w:p>
    <w:p>
      <w:pPr>
        <w:pStyle w:val="BodyText"/>
      </w:pPr>
      <w:r>
        <w:rPr>
          <w:rStyle w:val="VerbatimChar"/>
          <w:bCs/>
          <w:b/>
        </w:rPr>
        <w:t xml:space="preserve">mycobot_thesis/robot.py</w:t>
      </w:r>
      <w:r>
        <w:t xml:space="preserve"> </w:t>
      </w:r>
      <w:r>
        <w:t xml:space="preserve">— the model (Chapters 2–3, 5).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DH_TABLE</w:t>
      </w:r>
      <w:r>
        <w:t xml:space="preserve"> </w:t>
      </w:r>
      <w:r>
        <w:t xml:space="preserve">— the identified modified-DH parameters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α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θ</m:t>
                </m:r>
              </m:e>
              <m:sub>
                <m:r>
                  <m:t>i</m:t>
                </m:r>
              </m:sub>
              <m:sup>
                <m:r>
                  <m:rPr>
                    <m:nor/>
                    <m:sty m:val="p"/>
                  </m:rPr>
                  <m:t>off</m:t>
                </m:r>
              </m:sup>
            </m:sSubSup>
          </m:e>
        </m:d>
      </m:oMath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_dh_link</w:t>
      </w:r>
      <w:r>
        <w:t xml:space="preserve">,</w:t>
      </w:r>
      <w:r>
        <w:t xml:space="preserve"> </w:t>
      </w:r>
      <w:r>
        <w:rPr>
          <w:rStyle w:val="VerbatimChar"/>
        </w:rPr>
        <w:t xml:space="preserve">fk_frames</w:t>
      </w:r>
      <w:r>
        <w:t xml:space="preserve">,</w:t>
      </w:r>
      <w:r>
        <w:t xml:space="preserve"> </w:t>
      </w:r>
      <w:r>
        <w:rPr>
          <w:rStyle w:val="VerbatimChar"/>
        </w:rPr>
        <w:t xml:space="preserve">forward_kinematics</w:t>
      </w:r>
      <w:r>
        <w:t xml:space="preserve"> </w:t>
      </w:r>
      <w:r>
        <w:t xml:space="preserve">— the link matrix and the product.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jacobian</w:t>
      </w:r>
      <w:r>
        <w:t xml:space="preserve"> </w:t>
      </w:r>
      <w:r>
        <w:t xml:space="preserve">— the velocity-propagation columns.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manipulability</w:t>
      </w:r>
      <w:r>
        <w:t xml:space="preserve">,</w:t>
      </w:r>
      <w:r>
        <w:t xml:space="preserve"> </w:t>
      </w:r>
      <w:r>
        <w:rPr>
          <w:rStyle w:val="VerbatimChar"/>
        </w:rPr>
        <w:t xml:space="preserve">condition_number</w:t>
      </w:r>
      <w:r>
        <w:t xml:space="preserve"> </w:t>
      </w:r>
      <w:r>
        <w:t xml:space="preserve">— the dexterity metrics.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target_orientation(normal, advance)</w:t>
      </w:r>
      <w:r>
        <w:t xml:space="preserve"> </w:t>
      </w:r>
      <w:r>
        <w:t xml:space="preserve">— builds the pen-perpendicular target frame.</w:t>
      </w:r>
    </w:p>
    <w:p>
      <w:pPr>
        <w:pStyle w:val="FirstParagraph"/>
      </w:pPr>
      <w:r>
        <w:rPr>
          <w:rStyle w:val="VerbatimChar"/>
          <w:bCs/>
          <w:b/>
        </w:rPr>
        <w:t xml:space="preserve">mycobot_thesis/ik.py</w:t>
      </w:r>
      <w:r>
        <w:t xml:space="preserve"> </w:t>
      </w:r>
      <w:r>
        <w:t xml:space="preserve">— the solvers (Chapter 4).</w:t>
      </w:r>
      <w:r>
        <w:t xml:space="preserve"> </w:t>
      </w:r>
      <w:r>
        <w:rPr>
          <w:rStyle w:val="VerbatimChar"/>
        </w:rPr>
        <w:t xml:space="preserve">damped_least_squares</w:t>
      </w:r>
      <w:r>
        <w:t xml:space="preserve"> </w:t>
      </w:r>
      <w:r>
        <w:t xml:space="preserve">and the</w:t>
      </w:r>
      <w:r>
        <w:t xml:space="preserve"> </w:t>
      </w:r>
      <w:r>
        <w:t xml:space="preserve">three alternatives, each returning convergence info.</w:t>
      </w:r>
    </w:p>
    <w:p>
      <w:pPr>
        <w:pStyle w:val="BodyText"/>
      </w:pPr>
      <w:r>
        <w:rPr>
          <w:rStyle w:val="VerbatimChar"/>
          <w:bCs/>
          <w:b/>
        </w:rPr>
        <w:t xml:space="preserve">mycobot_thesis/draw_node.py</w:t>
      </w:r>
      <w:r>
        <w:t xml:space="preserve"> </w:t>
      </w:r>
      <w:r>
        <w:t xml:space="preserve">— the ROS driver. It picks a surface preset,</w:t>
      </w:r>
      <w:r>
        <w:t xml:space="preserve"> </w:t>
      </w:r>
      <w:r>
        <w:t xml:space="preserve">generates the sine targets, solves IK for each (warm-started), and streams</w:t>
      </w:r>
      <w:r>
        <w:t xml:space="preserve"> </w:t>
      </w:r>
      <w:r>
        <w:rPr>
          <w:rStyle w:val="VerbatimChar"/>
        </w:rPr>
        <w:t xml:space="preserve">/joint_states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'paper'</w:t>
      </w:r>
      <w:r>
        <w:t xml:space="preserve"> </w:t>
      </w:r>
      <w:r>
        <w:t xml:space="preserve">preset uses a</w:t>
      </w:r>
      <w:r>
        <w:t xml:space="preserve"> </w:t>
      </w:r>
      <w:r>
        <w:rPr>
          <w:bCs/>
          <w:b/>
        </w:rPr>
        <w:t xml:space="preserve">raised</w:t>
      </w:r>
      <w:r>
        <w:t xml:space="preserve"> </w:t>
      </w:r>
      <w:r>
        <w:t xml:space="preserve">IK branch so the arm is</w:t>
      </w:r>
      <w:r>
        <w:t xml:space="preserve"> </w:t>
      </w:r>
      <w:r>
        <w:t xml:space="preserve">opened toward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while the pen traces the identical sine.</w:t>
      </w:r>
    </w:p>
    <w:p>
      <w:pPr>
        <w:pStyle w:val="BlockText"/>
      </w:pPr>
      <w:r>
        <w:rPr>
          <w:bCs/>
          <w:b/>
        </w:rPr>
        <w:t xml:space="preserve">Key point.</w:t>
      </w:r>
      <w:r>
        <w:t xml:space="preserve"> </w:t>
      </w:r>
      <w:r>
        <w:t xml:space="preserve">A ROS node is a</w:t>
      </w:r>
      <w:r>
        <w:t xml:space="preserve"> </w:t>
      </w:r>
      <w:r>
        <w:rPr>
          <w:iCs/>
          <w:i/>
        </w:rPr>
        <w:t xml:space="preserve">thin wrapper</w:t>
      </w:r>
      <w:r>
        <w:t xml:space="preserve">: it calls the same</w:t>
      </w:r>
      <w:r>
        <w:t xml:space="preserve"> </w:t>
      </w:r>
      <w:r>
        <w:rPr>
          <w:rStyle w:val="VerbatimChar"/>
        </w:rPr>
        <w:t xml:space="preserve">robot</w:t>
      </w:r>
      <w:r>
        <w:t xml:space="preserve">/</w:t>
      </w:r>
      <w:r>
        <w:rPr>
          <w:rStyle w:val="VerbatimChar"/>
        </w:rPr>
        <w:t xml:space="preserve">ik</w:t>
      </w:r>
      <w:r>
        <w:t xml:space="preserve"> </w:t>
      </w:r>
      <w:r>
        <w:t xml:space="preserve">library the offline analysis uses, then</w:t>
      </w:r>
      <w:r>
        <w:t xml:space="preserve"> </w:t>
      </w:r>
      <w:r>
        <w:rPr>
          <w:rStyle w:val="VerbatimChar"/>
        </w:rPr>
        <w:t xml:space="preserve">publish()</w:t>
      </w:r>
      <w:r>
        <w:t xml:space="preserve">es. Same math, live robot.</w:t>
      </w:r>
    </w:p>
    <w:p>
      <w:pPr>
        <w:pStyle w:val="FirstParagraph"/>
      </w:pPr>
      <w:r>
        <w:rPr>
          <w:bCs/>
          <w:b/>
        </w:rPr>
        <w:t xml:space="preserve">Redundancy in action.</w:t>
      </w:r>
      <w:r>
        <w:t xml:space="preserve"> </w:t>
      </w:r>
      <w:r>
        <w:t xml:space="preserve">A 6-DOF arm can reach the same tool pose with different</w:t>
      </w:r>
      <w:r>
        <w:t xml:space="preserve"> </w:t>
      </w:r>
      <w:r>
        <w:t xml:space="preserve">postures (IK branches). Seeding the IK toward a raised branch keeps the drawn sine</w:t>
      </w:r>
      <w:r>
        <w:t xml:space="preserve"> </w:t>
      </w:r>
      <w:r>
        <w:t xml:space="preserve">identical while lifting the elbow:</w:t>
      </w:r>
    </w:p>
    <w:p>
      <w:pPr>
        <w:pStyle w:val="BodyText"/>
      </w:pPr>
      <w:r>
        <w:drawing>
          <wp:inline>
            <wp:extent cx="5334000" cy="2667000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figures/fig_posture_compare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The live demo</w:t>
      </w:r>
      <w:r>
        <w:t xml:space="preserve"> </w:t>
      </w:r>
      <w:r>
        <w:t xml:space="preserve">(</w:t>
      </w:r>
      <w:r>
        <w:rPr>
          <w:rStyle w:val="VerbatimChar"/>
        </w:rPr>
        <w:t xml:space="preserve">ros2 launch mycobot_thesis thesis_draw.launch.py surface:=paper</w:t>
      </w:r>
      <w:r>
        <w:t xml:space="preserve">)</w:t>
      </w:r>
      <w:r>
        <w:t xml:space="preserve"> </w:t>
      </w:r>
      <w:r>
        <w:t xml:space="preserve">writes the sine left-to-right on a table in front of the robot, raised posture:</w:t>
      </w:r>
    </w:p>
    <w:p>
      <w:pPr>
        <w:pStyle w:val="BodyText"/>
      </w:pPr>
      <w:r>
        <w:drawing>
          <wp:inline>
            <wp:extent cx="3840480" cy="3291840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figures/paper_raised_draw.gif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3291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71"/>
    <w:bookmarkStart w:id="72" w:name="Xa1ad9d589d35e2ee9f435b1476c8eef4bb65c65"/>
    <w:p>
      <w:pPr>
        <w:pStyle w:val="Heading1"/>
      </w:pPr>
      <w:r>
        <w:t xml:space="preserve">Appendix — Identified DH table and commands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80"/>
        <w:gridCol w:w="1540"/>
        <w:gridCol w:w="1980"/>
        <w:gridCol w:w="1980"/>
        <w:gridCol w:w="15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m:oMath>
              <m:r>
                <m:t>i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α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(°)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(m)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(m)</w:t>
            </w:r>
          </w:p>
        </w:tc>
        <w:tc>
          <w:tcPr/>
          <w:p>
            <w:pPr>
              <w:pStyle w:val="Compact"/>
              <w:jc w:val="right"/>
            </w:pPr>
            <m:oMath>
              <m:sSubSup>
                <m:e>
                  <m:r>
                    <m:t>θ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nor/>
                      <m:sty m:val="p"/>
                    </m:rPr>
                    <m:t>off</m:t>
                  </m:r>
                </m:sup>
              </m:sSubSup>
            </m:oMath>
            <w:r>
              <w:t xml:space="preserve"> </w:t>
            </w:r>
            <w:r>
              <w:t xml:space="preserve">(°)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−0.1104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0.06062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0.07318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analysis (pure Python)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~/ros2_ws/src/mycobot_thesis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analysis/exp1_feasibility.py        </w:t>
      </w:r>
      <w:r>
        <w:rPr>
          <w:rStyle w:val="CommentTok"/>
        </w:rPr>
        <w:t xml:space="preserve"># task-constrained workspace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analysis/exp2_ik_comparison.py      </w:t>
      </w:r>
      <w:r>
        <w:rPr>
          <w:rStyle w:val="CommentTok"/>
        </w:rPr>
        <w:t xml:space="preserve"># IK solver comparison</w:t>
      </w:r>
      <w:r>
        <w:br/>
      </w:r>
      <w:r>
        <w:rPr>
          <w:rStyle w:val="CommentTok"/>
        </w:rPr>
        <w:t xml:space="preserve"># live drawing in RViz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~/ros2_ws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colcon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--packages-select</w:t>
      </w:r>
      <w:r>
        <w:rPr>
          <w:rStyle w:val="NormalTok"/>
        </w:rPr>
        <w:t xml:space="preserve"> mycobot_thesis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install/setup.bash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src/mycobot_thesis/scripts/run_thesis_demo.sh surface:=paper</w:t>
      </w:r>
    </w:p>
    <w:bookmarkEnd w:id="7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45" Target="media/rId45.png" /><Relationship Type="http://schemas.openxmlformats.org/officeDocument/2006/relationships/image" Id="rId58" Target="media/rId58.png" /><Relationship Type="http://schemas.openxmlformats.org/officeDocument/2006/relationships/image" Id="rId31" Target="media/rId31.png" /><Relationship Type="http://schemas.openxmlformats.org/officeDocument/2006/relationships/image" Id="rId41" Target="media/rId41.png" /><Relationship Type="http://schemas.openxmlformats.org/officeDocument/2006/relationships/image" Id="rId52" Target="media/rId52.png" /><Relationship Type="http://schemas.openxmlformats.org/officeDocument/2006/relationships/image" Id="rId20" Target="media/rId20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61" Target="media/rId61.png" /><Relationship Type="http://schemas.openxmlformats.org/officeDocument/2006/relationships/image" Id="rId48" Target="media/rId48.png" /><Relationship Type="http://schemas.openxmlformats.org/officeDocument/2006/relationships/image" Id="rId55" Target="media/rId55.png" /><Relationship Type="http://schemas.openxmlformats.org/officeDocument/2006/relationships/image" Id="rId65" Target="media/rId65.png" /><Relationship Type="http://schemas.openxmlformats.org/officeDocument/2006/relationships/image" Id="rId68" Target="media/rId68.gif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Kinematics of the myCobot 280 — A Worked Book</dc:title>
  <dc:creator>For: Abhishek Roy</dc:creator>
  <cp:keywords/>
  <dcterms:created xsi:type="dcterms:W3CDTF">2026-07-03T10:05:09Z</dcterms:created>
  <dcterms:modified xsi:type="dcterms:W3CDTF">2026-07-03T10:05:09Z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Forward &amp; inverse kinematics, the velocity-propagation Jacobian, manipulability, and the code — in reference notation</vt:lpwstr>
  </property>
</Properties>
</file>