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27.png" ContentType="image/png"/>
  <Override PartName="/word/media/rId3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Task-Constrained</w:t>
      </w:r>
      <w:r>
        <w:t xml:space="preserve"> </w:t>
      </w:r>
      <w:r>
        <w:t xml:space="preserve">Workspace</w:t>
      </w:r>
      <w:r>
        <w:t xml:space="preserve"> </w:t>
      </w:r>
      <w:r>
        <w:t xml:space="preserve">and</w:t>
      </w:r>
      <w:r>
        <w:t xml:space="preserve"> </w:t>
      </w:r>
      <w:r>
        <w:t xml:space="preserve">Inverse-Kinematics</w:t>
      </w:r>
      <w:r>
        <w:t xml:space="preserve"> </w:t>
      </w:r>
      <w:r>
        <w:t xml:space="preserve">Analysis</w:t>
      </w:r>
      <w:r>
        <w:t xml:space="preserve"> </w:t>
      </w:r>
      <w:r>
        <w:t xml:space="preserve">for</w:t>
      </w:r>
      <w:r>
        <w:t xml:space="preserve"> </w:t>
      </w:r>
      <w:r>
        <w:t xml:space="preserve">Surface-Tracing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6-DOF</w:t>
      </w:r>
      <w:r>
        <w:t xml:space="preserve"> </w:t>
      </w:r>
      <w:r>
        <w:t xml:space="preserve">Manipulator</w:t>
      </w:r>
      <w:r>
        <w:t xml:space="preserve"> </w:t>
      </w:r>
      <w:r>
        <w:t xml:space="preserve">(myCobot</w:t>
      </w:r>
      <w:r>
        <w:t xml:space="preserve"> </w:t>
      </w:r>
      <w:r>
        <w:t xml:space="preserve">280)</w:t>
      </w:r>
    </w:p>
    <w:p>
      <w:pPr>
        <w:pStyle w:val="Author"/>
      </w:pPr>
      <w:r>
        <w:t xml:space="preserve">Abhishek</w:t>
      </w:r>
      <w:r>
        <w:t xml:space="preserve"> </w:t>
      </w:r>
      <w:r>
        <w:t xml:space="preserve">Roy</w:t>
      </w:r>
    </w:p>
    <w:p>
      <w:pPr>
        <w:pStyle w:val="Date"/>
      </w:pPr>
      <w:r>
        <w:t xml:space="preserve">2026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Drawing or writing on a surface requires a manipulator not only to</w:t>
      </w:r>
      <w:r>
        <w:t xml:space="preserve"> </w:t>
      </w:r>
      <w:r>
        <w:rPr>
          <w:iCs/>
          <w:i/>
        </w:rPr>
        <w:t xml:space="preserve">reach</w:t>
      </w:r>
      <w:r>
        <w:t xml:space="preserve"> </w:t>
      </w:r>
      <w:r>
        <w:t xml:space="preserve">a</w:t>
      </w:r>
      <w:r>
        <w:t xml:space="preserve"> </w:t>
      </w:r>
      <w:r>
        <w:t xml:space="preserve">sequence of Cartesian points but to reach them while holding the tool</w:t>
      </w:r>
      <w:r>
        <w:t xml:space="preserve"> </w:t>
      </w:r>
      <w:r>
        <w:rPr>
          <w:bCs/>
          <w:b/>
        </w:rPr>
        <w:t xml:space="preserve">normal to</w:t>
      </w:r>
      <w:r>
        <w:rPr>
          <w:bCs/>
          <w:b/>
        </w:rPr>
        <w:t xml:space="preserve"> </w:t>
      </w:r>
      <w:r>
        <w:rPr>
          <w:bCs/>
          <w:b/>
        </w:rPr>
        <w:t xml:space="preserve">the surface</w:t>
      </w:r>
      <w:r>
        <w:t xml:space="preserve">. This orientation constraint shrinks the usable workspace in a way</w:t>
      </w:r>
      <w:r>
        <w:t xml:space="preserve"> </w:t>
      </w:r>
      <w:r>
        <w:t xml:space="preserve">that depends on the surface geometry. We formalise the</w:t>
      </w:r>
      <w:r>
        <w:t xml:space="preserve"> </w:t>
      </w:r>
      <w:r>
        <w:rPr>
          <w:iCs/>
          <w:i/>
        </w:rPr>
        <w:t xml:space="preserve">task-constrained</w:t>
      </w:r>
      <w:r>
        <w:t xml:space="preserve"> </w:t>
      </w:r>
      <w:r>
        <w:t xml:space="preserve">(drawable)</w:t>
      </w:r>
      <w:r>
        <w:t xml:space="preserve"> </w:t>
      </w:r>
      <w:r>
        <w:t xml:space="preserve">workspace for surface-tracing and analyse it for the myCobot 280, a small 6-DOF</w:t>
      </w:r>
      <w:r>
        <w:t xml:space="preserve"> </w:t>
      </w:r>
      <w:r>
        <w:t xml:space="preserve">arm, using a modified Denavit–Hartenberg model whose forward kinematics matches the</w:t>
      </w:r>
      <w:r>
        <w:t xml:space="preserve"> </w:t>
      </w:r>
      <w:r>
        <w:t xml:space="preserve">manufacturer URDF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  <m:r>
          <m:t> </m:t>
        </m:r>
        <m:r>
          <m:rPr>
            <m:nor/>
            <m:sty m:val="p"/>
          </m:rPr>
          <m:t>m</m:t>
        </m:r>
      </m:oMath>
      <w:r>
        <w:t xml:space="preserve">. We map, over the reachable workspace,</w:t>
      </w:r>
      <w:r>
        <w:t xml:space="preserve"> </w:t>
      </w:r>
      <w:r>
        <w:t xml:space="preserve">where the pen can be held perpendicular to vertical and horizontal surfaces and in</w:t>
      </w:r>
      <w:r>
        <w:t xml:space="preserve"> </w:t>
      </w:r>
      <w:r>
        <w:t xml:space="preserve">which direction; we compare four Jacobian-based inverse-kinematics solvers on the</w:t>
      </w:r>
      <w:r>
        <w:t xml:space="preserve"> </w:t>
      </w:r>
      <w:r>
        <w:t xml:space="preserve">full-pose tracing task; and we relate feasibility to manipulability and</w:t>
      </w:r>
      <w:r>
        <w:t xml:space="preserve"> </w:t>
      </w:r>
      <w:r>
        <w:t xml:space="preserve">conditioning. We find that only</w:t>
      </w:r>
      <w:r>
        <w:t xml:space="preserve"> </w:t>
      </w:r>
      <m:oMath>
        <m:r>
          <m:t>57.9</m:t>
        </m:r>
        <m:r>
          <m:rPr>
            <m:sty m:val="p"/>
          </m:rPr>
          <m:t>%</m:t>
        </m:r>
      </m:oMath>
      <w:r>
        <w:t xml:space="preserve"> </w:t>
      </w:r>
      <w:r>
        <w:t xml:space="preserve">of the reachable workspace admits a</w:t>
      </w:r>
      <w:r>
        <w:t xml:space="preserve"> </w:t>
      </w:r>
      <w:r>
        <w:t xml:space="preserve">perpendicular pen on a vertical surface (and only</w:t>
      </w:r>
      <w:r>
        <w:t xml:space="preserve"> </w:t>
      </w:r>
      <m:oMath>
        <m:r>
          <m:t>35.2</m:t>
        </m:r>
        <m:r>
          <m:rPr>
            <m:sty m:val="p"/>
          </m:rPr>
          <m:t>%</m:t>
        </m:r>
      </m:oMath>
      <w:r>
        <w:t xml:space="preserve"> </w:t>
      </w:r>
      <w:r>
        <w:t xml:space="preserve">in the outward</w:t>
      </w:r>
      <w:r>
        <w:t xml:space="preserve"> </w:t>
      </w:r>
      <w:r>
        <w:t xml:space="preserve">direction), while</w:t>
      </w:r>
      <w:r>
        <w:t xml:space="preserve"> </w:t>
      </w:r>
      <m:oMath>
        <m:r>
          <m:t>63.5</m:t>
        </m:r>
        <m:r>
          <m:rPr>
            <m:sty m:val="p"/>
          </m:rPr>
          <m:t>%</m:t>
        </m:r>
      </m:oMath>
      <w:r>
        <w:t xml:space="preserve"> </w:t>
      </w:r>
      <w:r>
        <w:t xml:space="preserve">admits pen-down drawing on a horizontal surface, in an</w:t>
      </w:r>
      <w:r>
        <w:t xml:space="preserve"> </w:t>
      </w:r>
      <w:r>
        <w:t xml:space="preserve">annular region that excludes a low-manipulability zone directly above the base. We</w:t>
      </w:r>
      <w:r>
        <w:t xml:space="preserve"> </w:t>
      </w:r>
      <w:r>
        <w:t xml:space="preserve">demonstrate sub-millimetre sine tracing on both a front-facing vertical board and a</w:t>
      </w:r>
      <w:r>
        <w:t xml:space="preserve"> </w:t>
      </w:r>
      <w:r>
        <w:t xml:space="preserve">horizontal table at analysis-selected locations.</w:t>
      </w:r>
    </w:p>
    <w:bookmarkEnd w:id="20"/>
    <w:bookmarkStart w:id="21" w:name="i.-introduction"/>
    <w:p>
      <w:pPr>
        <w:pStyle w:val="Heading1"/>
      </w:pPr>
      <w:r>
        <w:t xml:space="preserve">I. Introduction</w:t>
      </w:r>
    </w:p>
    <w:p>
      <w:pPr>
        <w:pStyle w:val="FirstParagraph"/>
      </w:pPr>
      <w:r>
        <w:t xml:space="preserve">A recurring robotics task is to trace a planar curve — a signature, a calibration</w:t>
      </w:r>
      <w:r>
        <w:t xml:space="preserve"> </w:t>
      </w:r>
      <w:r>
        <w:t xml:space="preserve">pattern, a sine wave — on a physical surface with a pen or tool. Unlike free-space</w:t>
      </w:r>
      <w:r>
        <w:t xml:space="preserve"> </w:t>
      </w:r>
      <w:r>
        <w:t xml:space="preserve">motion, the tool must remain</w:t>
      </w:r>
      <w:r>
        <w:t xml:space="preserve"> </w:t>
      </w:r>
      <w:r>
        <w:rPr>
          <w:bCs/>
          <w:b/>
        </w:rPr>
        <w:t xml:space="preserve">perpendicular to the surface</w:t>
      </w:r>
      <w:r>
        <w:t xml:space="preserve"> </w:t>
      </w:r>
      <w:r>
        <w:t xml:space="preserve">at every point, adding</w:t>
      </w:r>
      <w:r>
        <w:t xml:space="preserve"> </w:t>
      </w:r>
      <w:r>
        <w:t xml:space="preserve">an orientation constraint to the usual position requirement. For a small manipulator</w:t>
      </w:r>
      <w:r>
        <w:t xml:space="preserve"> </w:t>
      </w:r>
      <w:r>
        <w:t xml:space="preserve">this constraint is not a formality: many positions the end-effector can</w:t>
      </w:r>
      <w:r>
        <w:t xml:space="preserve"> </w:t>
      </w:r>
      <w:r>
        <w:rPr>
          <w:iCs/>
          <w:i/>
        </w:rPr>
        <w:t xml:space="preserve">reach</w:t>
      </w:r>
      <w:r>
        <w:t xml:space="preserve"> </w:t>
      </w:r>
      <w:r>
        <w:t xml:space="preserve">it</w:t>
      </w:r>
      <w:r>
        <w:t xml:space="preserve"> </w:t>
      </w:r>
      <w:r>
        <w:t xml:space="preserve">cannot reach</w:t>
      </w:r>
      <w:r>
        <w:t xml:space="preserve"> </w:t>
      </w:r>
      <w:r>
        <w:rPr>
          <w:iCs/>
          <w:i/>
        </w:rPr>
        <w:t xml:space="preserve">with the required orientation</w:t>
      </w:r>
      <w:r>
        <w:t xml:space="preserve">.</w:t>
      </w:r>
    </w:p>
    <w:p>
      <w:pPr>
        <w:pStyle w:val="BodyText"/>
      </w:pPr>
      <w:r>
        <w:t xml:space="preserve">This paper studies that gap for the</w:t>
      </w:r>
      <w:r>
        <w:t xml:space="preserve"> </w:t>
      </w:r>
      <w:r>
        <w:rPr>
          <w:bCs/>
          <w:b/>
        </w:rPr>
        <w:t xml:space="preserve">myCobot 280</w:t>
      </w:r>
      <w:r>
        <w:t xml:space="preserve">, a 6-DOF revolute arm with a</w:t>
      </w:r>
      <w:r>
        <w:t xml:space="preserve"> </w:t>
      </w:r>
      <w:r>
        <w:t xml:space="preserve">reach of roughly</w:t>
      </w:r>
      <w:r>
        <w:t xml:space="preserve"> </w:t>
      </w:r>
      <m:oMath>
        <m:r>
          <m:t>0.30</m:t>
        </m:r>
        <m:r>
          <m:t> </m:t>
        </m:r>
        <m:r>
          <m:rPr>
            <m:nor/>
            <m:sty m:val="p"/>
          </m:rPr>
          <m:t>m</m:t>
        </m:r>
      </m:oMath>
      <w:r>
        <w:t xml:space="preserve">. Our contributions are:</w:t>
      </w:r>
    </w:p>
    <w:p>
      <w:pPr>
        <w:numPr>
          <w:ilvl w:val="0"/>
          <w:numId w:val="1001"/>
        </w:numPr>
        <w:pStyle w:val="Compact"/>
      </w:pPr>
      <w:r>
        <w:t xml:space="preserve">a verified modified-DH kinematic model and a velocity-propagation Jacobian</w:t>
      </w:r>
      <w:r>
        <w:t xml:space="preserve"> </w:t>
      </w:r>
      <w:r>
        <w:t xml:space="preserve">(Section II);</w:t>
      </w:r>
    </w:p>
    <w:p>
      <w:pPr>
        <w:numPr>
          <w:ilvl w:val="0"/>
          <w:numId w:val="1001"/>
        </w:numPr>
        <w:pStyle w:val="Compact"/>
      </w:pPr>
      <w:r>
        <w:t xml:space="preserve">a mapping of the</w:t>
      </w:r>
      <w:r>
        <w:t xml:space="preserve"> </w:t>
      </w:r>
      <w:r>
        <w:rPr>
          <w:bCs/>
          <w:b/>
        </w:rPr>
        <w:t xml:space="preserve">task-constrained workspace</w:t>
      </w:r>
      <w:r>
        <w:t xml:space="preserve"> </w:t>
      </w:r>
      <w:r>
        <w:t xml:space="preserve">— where and in which direction the</w:t>
      </w:r>
      <w:r>
        <w:t xml:space="preserve"> </w:t>
      </w:r>
      <w:r>
        <w:t xml:space="preserve">pen can be held normal to vertical and horizontal surfaces (Section III);</w:t>
      </w:r>
    </w:p>
    <w:p>
      <w:pPr>
        <w:numPr>
          <w:ilvl w:val="0"/>
          <w:numId w:val="1001"/>
        </w:numPr>
        <w:pStyle w:val="Compact"/>
      </w:pPr>
      <w:r>
        <w:t xml:space="preserve">a quantitative comparison of four inverse-kinematics solvers on the constrained</w:t>
      </w:r>
      <w:r>
        <w:t xml:space="preserve"> </w:t>
      </w:r>
      <w:r>
        <w:t xml:space="preserve">tracing task (Section IV);</w:t>
      </w:r>
    </w:p>
    <w:p>
      <w:pPr>
        <w:numPr>
          <w:ilvl w:val="0"/>
          <w:numId w:val="1001"/>
        </w:numPr>
        <w:pStyle w:val="Compact"/>
      </w:pPr>
      <w:r>
        <w:t xml:space="preserve">manipulability and conditioning maps that explain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the drawable region has</w:t>
      </w:r>
      <w:r>
        <w:t xml:space="preserve"> </w:t>
      </w:r>
      <w:r>
        <w:t xml:space="preserve">the shape it does (Section V); and</w:t>
      </w:r>
    </w:p>
    <w:p>
      <w:pPr>
        <w:numPr>
          <w:ilvl w:val="0"/>
          <w:numId w:val="1001"/>
        </w:numPr>
        <w:pStyle w:val="Compact"/>
      </w:pPr>
      <w:r>
        <w:t xml:space="preserve">sub-millimetre demonstrations on a front-facing vertical board and a horizontal</w:t>
      </w:r>
      <w:r>
        <w:t xml:space="preserve"> </w:t>
      </w:r>
      <w:r>
        <w:t xml:space="preserve">table (Section VI).</w:t>
      </w:r>
    </w:p>
    <w:bookmarkEnd w:id="21"/>
    <w:bookmarkStart w:id="25" w:name="ii.-kinematic-model"/>
    <w:p>
      <w:pPr>
        <w:pStyle w:val="Heading1"/>
      </w:pPr>
      <w:r>
        <w:t xml:space="preserve">II. Kinematic Model</w:t>
      </w:r>
    </w:p>
    <w:bookmarkStart w:id="22" w:name="a.-forward-kinematics"/>
    <w:p>
      <w:pPr>
        <w:pStyle w:val="Heading2"/>
      </w:pPr>
      <w:r>
        <w:t xml:space="preserve">A. Forward kinematics</w:t>
      </w:r>
    </w:p>
    <w:p>
      <w:pPr>
        <w:pStyle w:val="FirstParagraph"/>
      </w:pPr>
      <w:r>
        <w:t xml:space="preserve">We use the modified (Craig) Denavit–Hartenberg convention. The transform from frame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 frame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e>
            <m:sub>
              <m: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t> 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e>
            <m:sub>
              <m: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t> </m:t>
          </m:r>
          <m:sSub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e>
            <m:sub>
              <m:r>
                <m:t>z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 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e>
            <m:sub>
              <m:r>
                <m:t>z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in homogeneous form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c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s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s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c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  <m:e>
                    <m:r>
                      <m:t>c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c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s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s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  <m:mr>
                  <m:e>
                    <m:r>
                      <m:t>s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s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  <m:e>
                    <m:r>
                      <m:t>c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s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  <m:e>
                    <m:r>
                      <m:t>c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  <m:e>
                    <m:r>
                      <m:t>c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⋅</m:t>
        </m:r>
        <m:r>
          <m:rPr>
            <m:sty m:val="p"/>
          </m:rPr>
          <m:t>=</m:t>
        </m:r>
        <m:r>
          <m:rPr>
            <m:sty m:val="p"/>
          </m:rPr>
          <m:t>cos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⋅</m:t>
        </m:r>
        <m:r>
          <m:rPr>
            <m:sty m:val="p"/>
          </m:rPr>
          <m:t>=</m:t>
        </m:r>
        <m:r>
          <m:rPr>
            <m:sty m:val="p"/>
          </m:rPr>
          <m:t>sin</m:t>
        </m:r>
      </m:oMath>
      <w:r>
        <w:t xml:space="preserve">. The base-to-tool transform is the product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4</m:t>
            </m:r>
          </m:sub>
        </m:sSub>
        <m:sSub>
          <m:e>
            <m:r>
              <m:t>A</m:t>
            </m:r>
          </m:e>
          <m:sub>
            <m:r>
              <m:t>5</m:t>
            </m:r>
          </m:sub>
        </m:sSub>
        <m:sSub>
          <m:e>
            <m:r>
              <m:t>A</m:t>
            </m:r>
          </m:e>
          <m:sub>
            <m:r>
              <m:t>6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Because the URDF link frames are not placed on DH axes, the DH parameters were</w:t>
      </w:r>
      <w:r>
        <w:t xml:space="preserve"> </w:t>
      </w:r>
      <w:r>
        <w:rPr>
          <w:iCs/>
          <w:i/>
        </w:rPr>
        <w:t xml:space="preserve">identified</w:t>
      </w:r>
      <w:r>
        <w:t xml:space="preserve"> </w:t>
      </w:r>
      <w:r>
        <w:t xml:space="preserve">by fitting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α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θ</m:t>
                </m:r>
              </m:e>
              <m:sub>
                <m:r>
                  <m:t>i</m:t>
                </m:r>
              </m:sub>
              <m:sup>
                <m:r>
                  <m:rPr>
                    <m:nor/>
                    <m:sty m:val="p"/>
                  </m:rPr>
                  <m:t>off</m:t>
                </m:r>
              </m:sup>
            </m:sSubSup>
          </m:e>
        </m:d>
      </m:oMath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</m:e>
        </m:d>
      </m:oMath>
      <w:r>
        <w:t xml:space="preserve"> </w:t>
      </w:r>
      <w:r>
        <w:t xml:space="preserve">reproduces the URDF forward kinematics; the residual is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∥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DH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URDF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  <m:r>
          <m:t> </m:t>
        </m:r>
        <m:r>
          <m:rPr>
            <m:nor/>
            <m:sty m:val="p"/>
          </m:rPr>
          <m:t>m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5000</m:t>
        </m:r>
      </m:oMath>
      <w:r>
        <w:t xml:space="preserve"> </w:t>
      </w:r>
      <w:r>
        <w:t xml:space="preserve">random configurations. Table I lists the result.</w:t>
      </w:r>
    </w:p>
    <w:p>
      <w:pPr>
        <w:pStyle w:val="TableCaption"/>
      </w:pPr>
      <w:r>
        <w:t xml:space="preserve">Table I. Identified modified-DH parameters of the myCobot 280.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I. Identified modified-DH parameters of the myCobot 280."/>
      </w:tblPr>
      <w:tblGrid>
        <w:gridCol w:w="880"/>
        <w:gridCol w:w="1540"/>
        <w:gridCol w:w="1980"/>
        <w:gridCol w:w="198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(°)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(m)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(m)</w:t>
            </w:r>
          </w:p>
        </w:tc>
        <w:tc>
          <w:tcPr/>
          <w:p>
            <w:pPr>
              <w:pStyle w:val="Compact"/>
              <w:jc w:val="right"/>
            </w:pPr>
            <m:oMath>
              <m:sSubSup>
                <m:e>
                  <m:r>
                    <m:t>θ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nor/>
                      <m:sty m:val="p"/>
                    </m:rPr>
                    <m:t>off</m:t>
                  </m:r>
                </m:sup>
              </m:sSubSup>
            </m:oMath>
            <w:r>
              <w:t xml:space="preserve"> </w:t>
            </w:r>
            <w:r>
              <w:t xml:space="preserve">(°)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22"/>
    <w:bookmarkStart w:id="23" w:name="b.-jacobian-by-velocity-propagation"/>
    <w:p>
      <w:pPr>
        <w:pStyle w:val="Heading2"/>
      </w:pPr>
      <w:r>
        <w:t xml:space="preserve">B. Jacobian by velocity propagation</w:t>
      </w:r>
    </w:p>
    <w:p>
      <w:pPr>
        <w:pStyle w:val="FirstParagraph"/>
      </w:pPr>
      <w:r>
        <w:t xml:space="preserve">Propagating link velocities outward yields, for the all-revolute arm, the geometric</w:t>
      </w:r>
      <w:r>
        <w:t xml:space="preserve"> </w:t>
      </w:r>
      <w:r>
        <w:t xml:space="preserve">Jacobian whose</w:t>
      </w:r>
      <w:r>
        <w:t xml:space="preserve"> </w:t>
      </w:r>
      <m:oMath>
        <m:r>
          <m:t>i</m:t>
        </m:r>
      </m:oMath>
      <w:r>
        <w:t xml:space="preserve">-th column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e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axis and origin of joint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the base frame 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the tool position. It maps joint rates to the tool twist,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v</m:t>
                  </m:r>
                </m:e>
              </m:mr>
              <m:mr>
                <m:e>
                  <m:r>
                    <m:t>ω</m:t>
                  </m:r>
                </m:e>
              </m:mr>
            </m:m>
          </m:e>
        </m:d>
        <m:r>
          <m:rPr>
            <m:sty m:val="p"/>
          </m:rPr>
          <m:t>=</m:t>
        </m:r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</m:e>
        </m:d>
        <m:r>
          <m:t> </m:t>
        </m:r>
        <m:acc>
          <m:accPr>
            <m:chr m:val="̇"/>
          </m:accPr>
          <m:e>
            <m:r>
              <m:t>q</m:t>
            </m:r>
          </m:e>
        </m:acc>
      </m:oMath>
      <w:r>
        <w:t xml:space="preserve">. Equation (3) matches a</w:t>
      </w:r>
      <w:r>
        <w:t xml:space="preserve"> </w:t>
      </w:r>
      <w:r>
        <w:t xml:space="preserve">finite-difference Jacobian to</w:t>
      </w:r>
      <w:r>
        <w:t xml:space="preserve"> </w:t>
      </w:r>
      <m:oMath>
        <m:r>
          <m:rPr>
            <m:sty m:val="p"/>
          </m:rPr>
          <m:t>≈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.</w:t>
      </w:r>
    </w:p>
    <w:bookmarkEnd w:id="23"/>
    <w:bookmarkStart w:id="24" w:name="c.-dexterity-metrics"/>
    <w:p>
      <w:pPr>
        <w:pStyle w:val="Heading2"/>
      </w:pPr>
      <w:r>
        <w:t xml:space="preserve">C. Dexterity metrics</w:t>
      </w:r>
    </w:p>
    <w:p>
      <w:pPr>
        <w:pStyle w:val="FirstParagraph"/>
      </w:pPr>
      <w:r>
        <w:t xml:space="preserve">We quantify local dexterity by the Yoshikawa manipulability and the condition number</w:t>
      </w:r>
      <w:r>
        <w:t xml:space="preserve"> </w:t>
      </w:r>
      <w:r>
        <w:t xml:space="preserve">of the translational Jacobian</w:t>
      </w:r>
      <w:r>
        <w:t xml:space="preserve"> </w:t>
      </w:r>
      <m:oMath>
        <m:sSub>
          <m:e>
            <m:r>
              <m:t>J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(top three rows of</w:t>
      </w:r>
      <w:r>
        <w:t xml:space="preserve"> </w:t>
      </w:r>
      <m:oMath>
        <m:r>
          <m:t>J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t>v</m:t>
                      </m:r>
                    </m:sub>
                  </m:sSub>
                  <m:sSubSup>
                    <m:e>
                      <m:r>
                        <m:t>J</m:t>
                      </m:r>
                    </m:e>
                    <m:sub>
                      <m:r>
                        <m:t>v</m:t>
                      </m:r>
                    </m:sub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bSup>
                </m:e>
              </m:d>
            </m:e>
          </m:rad>
          <m:r>
            <m:rPr>
              <m:sty m:val="p"/>
            </m:rPr>
            <m:t>,</m:t>
          </m:r>
          <m:r>
            <m:t>  </m:t>
          </m:r>
          <m:r>
            <m:t>κ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t>v</m:t>
                      </m:r>
                    </m:sub>
                  </m:sSub>
                </m:e>
              </m:d>
            </m:num>
            <m:den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t>v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w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κ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mark singular, poorly-conditioned configurations.</w:t>
      </w:r>
    </w:p>
    <w:bookmarkEnd w:id="24"/>
    <w:bookmarkEnd w:id="25"/>
    <w:bookmarkStart w:id="31" w:name="iii.-task-constrained-workspace"/>
    <w:p>
      <w:pPr>
        <w:pStyle w:val="Heading1"/>
      </w:pPr>
      <w:r>
        <w:t xml:space="preserve">III. Task-Constrained Workspace</w:t>
      </w:r>
    </w:p>
    <w:bookmarkStart w:id="26" w:name="a.-definition-and-method"/>
    <w:p>
      <w:pPr>
        <w:pStyle w:val="Heading2"/>
      </w:pPr>
      <w:r>
        <w:t xml:space="preserve">A. Definition and method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w:r>
        <w:rPr>
          <w:bCs/>
          <w:b/>
        </w:rPr>
        <w:t xml:space="preserve">reachable</w:t>
      </w:r>
      <w:r>
        <w:t xml:space="preserve"> </w:t>
      </w:r>
      <w:r>
        <w:t xml:space="preserve">workspace (positions attainable with some</w:t>
      </w:r>
      <w:r>
        <w:t xml:space="preserve"> </w:t>
      </w:r>
      <w:r>
        <w:t xml:space="preserve">joint vector within limits). Given a surface with unit normal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Cs/>
          <w:b/>
        </w:rPr>
        <w:t xml:space="preserve">drawable</w:t>
      </w:r>
      <w:r>
        <w:t xml:space="preserve"> </w:t>
      </w:r>
      <w:r>
        <w:t xml:space="preserve">(task-constrained) workspace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 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∃</m:t>
          </m:r>
          <m:r>
            <m:t> </m:t>
          </m:r>
          <m:r>
            <m:t>q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k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,</m:t>
          </m:r>
          <m:r>
            <m:t> </m:t>
          </m:r>
          <m:acc>
            <m:accPr>
              <m:chr m:val="̂"/>
            </m:accPr>
            <m:e>
              <m:r>
                <m:t>z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n</m:t>
          </m:r>
          <m:r>
            <m:t> 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i.e. positions the tool can reach while its approach axis</w:t>
      </w:r>
      <w:r>
        <w:t xml:space="preserve"> </w:t>
      </w:r>
      <m:oMath>
        <m:acc>
          <m:accPr>
            <m:chr m:val="̂"/>
          </m:accPr>
          <m:e>
            <m:r>
              <m:t>z</m:t>
            </m:r>
          </m:e>
        </m:acc>
      </m:oMath>
      <w:r>
        <w:t xml:space="preserve"> </w:t>
      </w:r>
      <w:r>
        <w:t xml:space="preserve">is aligned with</w:t>
      </w:r>
      <w:r>
        <w:t xml:space="preserve"> </w:t>
      </w:r>
      <w:r>
        <w:t xml:space="preserve">the surface normal. We estimate</w:t>
      </w:r>
      <w:r>
        <w:t xml:space="preserve"> </w:t>
      </w:r>
      <m:oMath>
        <m:r>
          <m:rPr>
            <m:sty m:val="p"/>
            <m:scr m:val="script"/>
          </m:rPr>
          <m:t>D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by sampling a grid of positions and</w:t>
      </w:r>
      <w:r>
        <w:t xml:space="preserve"> </w:t>
      </w:r>
      <w:r>
        <w:t xml:space="preserve">testing, for each candidate normal direction and from several seed configurations,</w:t>
      </w:r>
      <w:r>
        <w:t xml:space="preserve"> </w:t>
      </w:r>
      <w:r>
        <w:t xml:space="preserve">whether damped-least-squares IK converges with position error below</w:t>
      </w:r>
      <w:r>
        <w:t xml:space="preserve"> </w:t>
      </w:r>
      <m:oMath>
        <m:r>
          <m:t>2</m:t>
        </m:r>
        <m:r>
          <m:t> </m:t>
        </m:r>
        <m:r>
          <m:rPr>
            <m:nor/>
            <m:sty m:val="p"/>
          </m:rPr>
          <m:t>mm</m:t>
        </m:r>
      </m:oMath>
      <w:r>
        <w:t xml:space="preserve"> </w:t>
      </w:r>
      <w:r>
        <w:t xml:space="preserve">and orientation error below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</w:p>
    <w:bookmarkEnd w:id="26"/>
    <w:bookmarkStart w:id="30" w:name="b.-results"/>
    <w:p>
      <w:pPr>
        <w:pStyle w:val="Heading2"/>
      </w:pPr>
      <w:r>
        <w:t xml:space="preserve">B. Results</w:t>
      </w:r>
    </w:p>
    <w:p>
      <w:pPr>
        <w:pStyle w:val="CaptionedFigure"/>
      </w:pPr>
      <w:r>
        <w:drawing>
          <wp:inline>
            <wp:extent cx="5334000" cy="1862625"/>
            <wp:effectExtent b="0" l="0" r="0" t="0"/>
            <wp:docPr descr="Task-constrained workspace. (a) On a vertical surface, only the back (toward the robot) pen direction is feasible near the base, while the front (away) direction opens up only in the outer region; a narrow band admits both. (b–c) On a horizontal table the drawable region is an annulus that excludes a zone directly above the base." title="" id="28" name="Picture"/>
            <a:graphic>
              <a:graphicData uri="http://schemas.openxmlformats.org/drawingml/2006/picture">
                <pic:pic>
                  <pic:nvPicPr>
                    <pic:cNvPr descr="figures/fig_feasibility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2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Task-constrained workspace. (a) On a vertical surface, only the</w:t>
      </w:r>
      <w:r>
        <w:t xml:space="preserve"> </w:t>
      </w:r>
      <w:r>
        <w:rPr>
          <w:iCs/>
          <w:i/>
        </w:rPr>
        <w:t xml:space="preserve">back</w:t>
      </w:r>
      <w:r>
        <w:t xml:space="preserve"> </w:t>
      </w:r>
      <w:r>
        <w:t xml:space="preserve">(toward the</w:t>
      </w:r>
      <w:r>
        <w:t xml:space="preserve"> </w:t>
      </w:r>
      <w:r>
        <w:t xml:space="preserve">robot) pen direction is feasible near the base, while the</w:t>
      </w:r>
      <w:r>
        <w:t xml:space="preserve"> </w:t>
      </w:r>
      <w:r>
        <w:rPr>
          <w:iCs/>
          <w:i/>
        </w:rPr>
        <w:t xml:space="preserve">front</w:t>
      </w:r>
      <w:r>
        <w:t xml:space="preserve"> </w:t>
      </w:r>
      <w:r>
        <w:t xml:space="preserve">(away) direction</w:t>
      </w:r>
      <w:r>
        <w:t xml:space="preserve"> </w:t>
      </w:r>
      <w:r>
        <w:t xml:space="preserve">opens up only in the outer region; a narrow band admits both. (b–c) On a horizontal</w:t>
      </w:r>
      <w:r>
        <w:t xml:space="preserve"> </w:t>
      </w:r>
      <w:r>
        <w:t xml:space="preserve">table the drawable region is an annulus that excludes a zone directly above the</w:t>
      </w:r>
      <w:r>
        <w:t xml:space="preserve"> </w:t>
      </w:r>
      <w:r>
        <w:t xml:space="preserve">base.</w:t>
      </w:r>
    </w:p>
    <w:p>
      <w:pPr>
        <w:pStyle w:val="BodyText"/>
      </w:pPr>
      <w:r>
        <w:t xml:space="preserve">Figure 1 maps</w:t>
      </w:r>
      <w:r>
        <w:t xml:space="preserve"> </w:t>
      </w:r>
      <m:oMath>
        <m:r>
          <m:rPr>
            <m:sty m:val="p"/>
            <m:scr m:val="script"/>
          </m:rPr>
          <m:t>D</m:t>
        </m:r>
      </m:oMath>
      <w:r>
        <w:t xml:space="preserve">. On a</w:t>
      </w:r>
      <w:r>
        <w:t xml:space="preserve"> </w:t>
      </w:r>
      <w:r>
        <w:rPr>
          <w:bCs/>
          <w:b/>
        </w:rPr>
        <w:t xml:space="preserve">vertical</w:t>
      </w:r>
      <w:r>
        <w:t xml:space="preserve"> </w:t>
      </w:r>
      <w:r>
        <w:t xml:space="preserve">surface, only</w:t>
      </w:r>
      <w:r>
        <w:t xml:space="preserve"> </w:t>
      </w:r>
      <m:oMath>
        <m:r>
          <m:t>57.9</m:t>
        </m:r>
        <m:r>
          <m:rPr>
            <m:sty m:val="p"/>
          </m:rPr>
          <m:t>%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t xml:space="preserve">admits a perpendicular pen, and only</w:t>
      </w:r>
      <w:r>
        <w:t xml:space="preserve"> </w:t>
      </w:r>
      <m:oMath>
        <m:r>
          <m:t>35.2</m:t>
        </m:r>
        <m:r>
          <m:rPr>
            <m:sty m:val="p"/>
          </m:rPr>
          <m:t>%</m:t>
        </m:r>
      </m:oMath>
      <w:r>
        <w:t xml:space="preserve"> </w:t>
      </w:r>
      <w:r>
        <w:t xml:space="preserve">admits the</w:t>
      </w:r>
      <w:r>
        <w:t xml:space="preserve"> </w:t>
      </w:r>
      <w:r>
        <w:rPr>
          <w:iCs/>
          <w:i/>
        </w:rPr>
        <w:t xml:space="preserve">front</w:t>
      </w:r>
      <w:r>
        <w:t xml:space="preserve"> </w:t>
      </w:r>
      <w:r>
        <w:t xml:space="preserve">(outward)</w:t>
      </w:r>
      <w:r>
        <w:t xml:space="preserve"> </w:t>
      </w:r>
      <w:r>
        <w:t xml:space="preserve">direction. This explains a practical observation: a board placed close to the robot</w:t>
      </w:r>
      <w:r>
        <w:t xml:space="preserve"> </w:t>
      </w:r>
      <w:r>
        <w:t xml:space="preserve">can only be drawn on with the pen facing</w:t>
      </w:r>
      <w:r>
        <w:t xml:space="preserve"> </w:t>
      </w:r>
      <w:r>
        <w:rPr>
          <w:iCs/>
          <w:i/>
        </w:rPr>
        <w:t xml:space="preserve">back</w:t>
      </w:r>
      <w:r>
        <w:t xml:space="preserve">; to draw with the pen facing the</w:t>
      </w:r>
      <w:r>
        <w:t xml:space="preserve"> </w:t>
      </w:r>
      <w:r>
        <w:t xml:space="preserve">board from the front, the board must be placed in the outer region (</w:t>
      </w:r>
      <m:oMath>
        <m:r>
          <m:t>x</m:t>
        </m:r>
        <m:r>
          <m:rPr>
            <m:sty m:val="p"/>
          </m:rPr>
          <m:t>≳</m:t>
        </m:r>
        <m:r>
          <m:t>0.17</m:t>
        </m:r>
        <m:r>
          <m:t> </m:t>
        </m:r>
        <m:r>
          <m:rPr>
            <m:nor/>
            <m:sty m:val="p"/>
          </m:rPr>
          <m:t>m</m:t>
        </m:r>
      </m:oMath>
      <w:r>
        <w:t xml:space="preserve">). On a</w:t>
      </w:r>
      <w:r>
        <w:t xml:space="preserve"> </w:t>
      </w:r>
      <w:r>
        <w:rPr>
          <w:bCs/>
          <w:b/>
        </w:rPr>
        <w:t xml:space="preserve">horizontal</w:t>
      </w:r>
      <w:r>
        <w:t xml:space="preserve"> </w:t>
      </w:r>
      <w:r>
        <w:t xml:space="preserve">table,</w:t>
      </w:r>
      <w:r>
        <w:t xml:space="preserve"> </w:t>
      </w:r>
      <m:oMath>
        <m:r>
          <m:t>63.5</m:t>
        </m:r>
        <m:r>
          <m:rPr>
            <m:sty m:val="p"/>
          </m:rPr>
          <m:t>%</m:t>
        </m:r>
      </m:oMath>
      <w:r>
        <w:t xml:space="preserve"> </w:t>
      </w:r>
      <w:r>
        <w:t xml:space="preserve">of the reachable cells admit</w:t>
      </w:r>
      <w:r>
        <w:t xml:space="preserve"> </w:t>
      </w:r>
      <w:r>
        <w:t xml:space="preserve">pen-down drawing, but the feasible set is an</w:t>
      </w:r>
      <w:r>
        <w:t xml:space="preserve"> </w:t>
      </w:r>
      <w:r>
        <w:rPr>
          <w:bCs/>
          <w:b/>
        </w:rPr>
        <w:t xml:space="preserve">annulus</w:t>
      </w:r>
      <w:r>
        <w:t xml:space="preserve">: the region directly above</w:t>
      </w:r>
      <w:r>
        <w:t xml:space="preserve"> </w:t>
      </w:r>
      <w:r>
        <w:t xml:space="preserve">the base is reachable yet not drawable, because the wrist cannot point straight down</w:t>
      </w:r>
      <w:r>
        <w:t xml:space="preserve"> </w:t>
      </w:r>
      <w:r>
        <w:t xml:space="preserve">there.</w:t>
      </w:r>
    </w:p>
    <w:bookmarkEnd w:id="30"/>
    <w:bookmarkEnd w:id="31"/>
    <w:bookmarkStart w:id="37" w:name="iv.-inverse-kinematics-comparison"/>
    <w:p>
      <w:pPr>
        <w:pStyle w:val="Heading1"/>
      </w:pPr>
      <w:r>
        <w:t xml:space="preserve">IV. Inverse-Kinematics Comparison</w:t>
      </w:r>
    </w:p>
    <w:bookmarkStart w:id="32" w:name="a.-solvers"/>
    <w:p>
      <w:pPr>
        <w:pStyle w:val="Heading2"/>
      </w:pPr>
      <w:r>
        <w:t xml:space="preserve">A. Solvers</w:t>
      </w:r>
    </w:p>
    <w:p>
      <w:pPr>
        <w:pStyle w:val="FirstParagraph"/>
      </w:pPr>
      <w:r>
        <w:t xml:space="preserve">All solvers iterate</w:t>
      </w:r>
      <w:r>
        <w:t xml:space="preserve"> </w:t>
      </w:r>
      <m:oMath>
        <m:r>
          <m:t>q</m:t>
        </m:r>
        <m:r>
          <m:rPr>
            <m:sty m:val="p"/>
          </m:rPr>
          <m:t>←</m:t>
        </m:r>
        <m:r>
          <m:t>q</m:t>
        </m:r>
        <m:r>
          <m:rPr>
            <m:sty m:val="p"/>
          </m:rPr>
          <m:t>+</m:t>
        </m:r>
        <m:r>
          <m:t>Δ</m:t>
        </m:r>
        <m:r>
          <m:t>q</m:t>
        </m:r>
      </m:oMath>
      <w:r>
        <w:t xml:space="preserve"> </w:t>
      </w:r>
      <w:r>
        <w:t xml:space="preserve">with the stacked pose error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 </m:t>
            </m:r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q</m:t>
                </m:r>
              </m:e>
            </m:d>
            <m:r>
              <m:rPr>
                <m:sty m:val="p"/>
              </m:rPr>
              <m:t>;</m:t>
            </m:r>
            <m:r>
              <m:t> </m:t>
            </m:r>
            <m:sSub>
              <m:e>
                <m:r>
                  <m:t>e</m:t>
                </m:r>
              </m:e>
              <m:sub>
                <m:r>
                  <m:rPr>
                    <m:nor/>
                    <m:sty m:val="p"/>
                  </m:rPr>
                  <m:t>ori</m:t>
                </m:r>
              </m:sub>
            </m:sSub>
            <m:r>
              <m:t> </m:t>
            </m:r>
          </m:e>
        </m:d>
      </m:oMath>
      <w:r>
        <w:t xml:space="preserve">, clamped to joint limits. The updates are: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DLS</m:t>
              </m:r>
            </m:sub>
          </m:sSub>
          <m:r>
            <m:rPr>
              <m:sty m:val="p"/>
            </m:rPr>
            <m:t>=</m:t>
          </m:r>
          <m:sSup>
            <m:e>
              <m:r>
                <m:t>J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  <m:sSup>
                    <m:e>
                      <m: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I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e</m:t>
          </m:r>
          <m:r>
            <m:rPr>
              <m:sty m:val="p"/>
            </m:rPr>
            <m:t>,</m:t>
          </m:r>
          <m:r>
            <m:t>  </m:t>
          </m:r>
          <m:r>
            <m:t>Δ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pinv</m:t>
              </m:r>
            </m:sub>
          </m:sSub>
          <m:r>
            <m:rPr>
              <m:sty m:val="p"/>
            </m:rPr>
            <m:t>=</m:t>
          </m:r>
          <m:sSup>
            <m:e>
              <m:r>
                <m:t>J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JT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t> </m:t>
          </m:r>
          <m:sSup>
            <m:e>
              <m:r>
                <m:t>J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e</m:t>
          </m:r>
          <m:r>
            <m:rPr>
              <m:sty m:val="p"/>
            </m:rPr>
            <m:t>,</m:t>
          </m:r>
          <m:r>
            <m:t> </m:t>
          </m:r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⟨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J</m:t>
              </m:r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e</m:t>
              </m:r>
              <m:r>
                <m:rPr>
                  <m:sty m:val="p"/>
                </m:rPr>
                <m:t>⟩</m:t>
              </m:r>
            </m:num>
            <m:den>
              <m:r>
                <m:rPr>
                  <m:sty m:val="p"/>
                </m:rPr>
                <m:t>⟨</m:t>
              </m:r>
              <m:r>
                <m:t>J</m:t>
              </m:r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e</m:t>
              </m:r>
              <m:r>
                <m:rPr>
                  <m:sty m:val="p"/>
                </m:rPr>
                <m:t>,</m:t>
              </m:r>
              <m:r>
                <m:t>J</m:t>
              </m:r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e</m:t>
              </m:r>
              <m:r>
                <m:rPr>
                  <m:sty m:val="p"/>
                </m:rPr>
                <m:t>⟩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Levenberg–Marquardt using (6) 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adapted to the error trend. Damped</w:t>
      </w:r>
      <w:r>
        <w:t xml:space="preserve"> </w:t>
      </w:r>
      <w:r>
        <w:t xml:space="preserve">least squares (6) trades a small steady-state error for stability near singularities;</w:t>
      </w:r>
      <w:r>
        <w:t xml:space="preserve"> </w:t>
      </w:r>
      <w:r>
        <w:t xml:space="preserve">the pseudoinverse converges quadratically but is ill-behaved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loses rank.</w:t>
      </w:r>
    </w:p>
    <w:bookmarkEnd w:id="32"/>
    <w:bookmarkStart w:id="36" w:name="b.-results-1"/>
    <w:p>
      <w:pPr>
        <w:pStyle w:val="Heading2"/>
      </w:pPr>
      <w:r>
        <w:t xml:space="preserve">B. Results</w:t>
      </w:r>
    </w:p>
    <w:p>
      <w:pPr>
        <w:pStyle w:val="FirstParagraph"/>
      </w:pPr>
      <w:r>
        <w:t xml:space="preserve">On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reachable target poses seeded from a common ready configuration:</w:t>
      </w:r>
    </w:p>
    <w:p>
      <w:pPr>
        <w:pStyle w:val="TableCaption"/>
      </w:pPr>
      <w:r>
        <w:t xml:space="preserve">Table II. IK solver comparison on the full-pose tracing task.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II. IK solver comparison on the full-pose tracing task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Solver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iters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time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Damped least squares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98.7 %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Pseudoinverse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Jacobian-transpose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Levenberg–Marquardt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</w:tbl>
    <w:p>
      <w:pPr>
        <w:pStyle w:val="CaptionedFigure"/>
      </w:pPr>
      <w:r>
        <w:drawing>
          <wp:inline>
            <wp:extent cx="5334000" cy="1341957"/>
            <wp:effectExtent b="0" l="0" r="0" t="0"/>
            <wp:docPr descr="Inverse-kinematics comparison. (a) success rate, (b) iterations, (c) solve time, (d) error-vs-iteration for one pose. Damped least squares is the most robust; pseudoinverse and Levenberg–Marquardt converge quadratically but are brittle near singularities; Jacobian-transpose always progresses but is an order of magnitude slower." title="" id="34" name="Picture"/>
            <a:graphic>
              <a:graphicData uri="http://schemas.openxmlformats.org/drawingml/2006/picture">
                <pic:pic>
                  <pic:nvPicPr>
                    <pic:cNvPr descr="figures/fig_ik_comparis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1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Inverse-kinematics comparison. (a) success rate, (b) iterations, (c) solve time,</w:t>
      </w:r>
      <w:r>
        <w:t xml:space="preserve"> </w:t>
      </w:r>
      <w:r>
        <w:t xml:space="preserve">(d) error-vs-iteration for one pose. Damped least squares is the most robust;</w:t>
      </w:r>
      <w:r>
        <w:t xml:space="preserve"> </w:t>
      </w:r>
      <w:r>
        <w:t xml:space="preserve">pseudoinverse and Levenberg–Marquardt converge quadratically but are brittle near</w:t>
      </w:r>
      <w:r>
        <w:t xml:space="preserve"> </w:t>
      </w:r>
      <w:r>
        <w:t xml:space="preserve">singularities; Jacobian-transpose always progresses but is an order of magnitude</w:t>
      </w:r>
      <w:r>
        <w:t xml:space="preserve"> </w:t>
      </w:r>
      <w:r>
        <w:t xml:space="preserve">slower.</w:t>
      </w:r>
    </w:p>
    <w:p>
      <w:pPr>
        <w:pStyle w:val="BodyText"/>
      </w:pPr>
      <w:r>
        <w:t xml:space="preserve">Figure 2 shows the trade-off:</w:t>
      </w:r>
      <w:r>
        <w:t xml:space="preserve"> </w:t>
      </w:r>
      <w:r>
        <w:rPr>
          <w:bCs/>
          <w:b/>
        </w:rPr>
        <w:t xml:space="preserve">damped least squares</w:t>
      </w:r>
      <w:r>
        <w:t xml:space="preserve"> </w:t>
      </w:r>
      <w:r>
        <w:t xml:space="preserve">is by far the most robust</w:t>
      </w:r>
      <w:r>
        <w:t xml:space="preserve"> </w:t>
      </w:r>
      <w:r>
        <w:t xml:space="preserve">(</w:t>
      </w:r>
      <m:oMath>
        <m:r>
          <m:t>98.7</m:t>
        </m:r>
        <m:r>
          <m:rPr>
            <m:sty m:val="p"/>
          </m:rPr>
          <m:t>%</m:t>
        </m:r>
      </m:oMath>
      <w:r>
        <w:t xml:space="preserve">), at the cost of more iterations and a damping-limited accuracy; the</w:t>
      </w:r>
      <w:r>
        <w:t xml:space="preserve"> </w:t>
      </w:r>
      <w:r>
        <w:rPr>
          <w:bCs/>
          <w:b/>
        </w:rPr>
        <w:t xml:space="preserve">pseudoinverse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Levenberg–Marquardt</w:t>
      </w:r>
      <w:r>
        <w:t xml:space="preserve"> </w:t>
      </w:r>
      <w:r>
        <w:t xml:space="preserve">reach machine precision in</w:t>
      </w:r>
      <w:r>
        <w:t xml:space="preserve"> </w:t>
      </w:r>
      <m:oMath>
        <m:r>
          <m:rPr>
            <m:sty m:val="p"/>
          </m:rPr>
          <m:t>∼</m:t>
        </m:r>
        <m:r>
          <m:t>10</m:t>
        </m:r>
      </m:oMath>
      <w:r>
        <w:t xml:space="preserve"> </w:t>
      </w:r>
      <w:r>
        <w:t xml:space="preserve">iterations on well-conditioned poses but fail more often near singularities; the</w:t>
      </w:r>
      <w:r>
        <w:t xml:space="preserve"> </w:t>
      </w:r>
      <w:r>
        <w:rPr>
          <w:bCs/>
          <w:b/>
        </w:rPr>
        <w:t xml:space="preserve">Jacobian-transpose</w:t>
      </w:r>
      <w:r>
        <w:t xml:space="preserve"> </w:t>
      </w:r>
      <w:r>
        <w:t xml:space="preserve">is uniformly slow. For surface tracing — a sequence of small,</w:t>
      </w:r>
      <w:r>
        <w:t xml:space="preserve"> </w:t>
      </w:r>
      <w:r>
        <w:t xml:space="preserve">well-seeded steps — DLS is the appropriate default.</w:t>
      </w:r>
    </w:p>
    <w:bookmarkEnd w:id="36"/>
    <w:bookmarkEnd w:id="37"/>
    <w:bookmarkStart w:id="41" w:name="v.-manipulability-and-conditioning"/>
    <w:p>
      <w:pPr>
        <w:pStyle w:val="Heading1"/>
      </w:pPr>
      <w:r>
        <w:t xml:space="preserve">V. Manipulability and Conditioning</w:t>
      </w:r>
    </w:p>
    <w:p>
      <w:pPr>
        <w:pStyle w:val="CaptionedFigure"/>
      </w:pPr>
      <w:r>
        <w:drawing>
          <wp:inline>
            <wp:extent cx="5334000" cy="1681738"/>
            <wp:effectExtent b="0" l="0" r="0" t="0"/>
            <wp:docPr descr="Manipulability w and condition number \kappa. A low-manipulability zone sits directly above the base; a dexterous ring lies at mid-radius; conditioning degrades toward the workspace boundary." title="" id="39" name="Picture"/>
            <a:graphic>
              <a:graphicData uri="http://schemas.openxmlformats.org/drawingml/2006/picture">
                <pic:pic>
                  <pic:nvPicPr>
                    <pic:cNvPr descr="figures/fig_manipulability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1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Manipulability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condition number</w:t>
      </w:r>
      <w:r>
        <w:t xml:space="preserve"> </w:t>
      </w:r>
      <m:oMath>
        <m:r>
          <m:t>κ</m:t>
        </m:r>
      </m:oMath>
      <w:r>
        <w:t xml:space="preserve">. A low-manipulability zone sits</w:t>
      </w:r>
      <w:r>
        <w:t xml:space="preserve"> </w:t>
      </w:r>
      <w:r>
        <w:t xml:space="preserve">directly above the base; a dexterous ring lies at mid-radius; conditioning degrades</w:t>
      </w:r>
      <w:r>
        <w:t xml:space="preserve"> </w:t>
      </w:r>
      <w:r>
        <w:t xml:space="preserve">toward the workspace boundary.</w:t>
      </w:r>
    </w:p>
    <w:p>
      <w:pPr>
        <w:pStyle w:val="BodyText"/>
      </w:pPr>
      <w:r>
        <w:t xml:space="preserve">Figure 3 explains the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of the drawable set. Manipulability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near zero</w:t>
      </w:r>
      <w:r>
        <w:t xml:space="preserve"> </w:t>
      </w:r>
      <w:r>
        <w:t xml:space="preserve">directly above the base (the arm is close to a shoulder/wrist singularity there) and</w:t>
      </w:r>
      <w:r>
        <w:t xml:space="preserve"> </w:t>
      </w:r>
      <w:r>
        <w:t xml:space="preserve">peaks in a mid-radius</w:t>
      </w:r>
      <w:r>
        <w:t xml:space="preserve"> </w:t>
      </w:r>
      <w:r>
        <w:rPr>
          <w:bCs/>
          <w:b/>
        </w:rPr>
        <w:t xml:space="preserve">ring</w:t>
      </w:r>
      <w:r>
        <w:t xml:space="preserve">; the condition number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grows toward the</w:t>
      </w:r>
      <w:r>
        <w:t xml:space="preserve"> </w:t>
      </w:r>
      <w:r>
        <w:t xml:space="preserve">workspace boundary, where the arm approaches full extension. The drawable annulus of</w:t>
      </w:r>
      <w:r>
        <w:t xml:space="preserve"> </w:t>
      </w:r>
      <w:r>
        <w:t xml:space="preserve">Figure 1(b–c) coincides with this high-</w:t>
      </w:r>
      <m:oMath>
        <m:r>
          <m:t>w</m:t>
        </m:r>
      </m:oMath>
      <w:r>
        <w:t xml:space="preserve">, low-</w:t>
      </w:r>
      <m:oMath>
        <m:r>
          <m:t>κ</m:t>
        </m:r>
      </m:oMath>
      <w:r>
        <w:t xml:space="preserve"> </w:t>
      </w:r>
      <w:r>
        <w:t xml:space="preserve">ring — feasibility and good</w:t>
      </w:r>
      <w:r>
        <w:t xml:space="preserve"> </w:t>
      </w:r>
      <w:r>
        <w:t xml:space="preserve">conditioning are geometrically the same region.</w:t>
      </w:r>
    </w:p>
    <w:bookmarkEnd w:id="41"/>
    <w:bookmarkStart w:id="45" w:name="vi.-demonstrations"/>
    <w:p>
      <w:pPr>
        <w:pStyle w:val="Heading1"/>
      </w:pPr>
      <w:r>
        <w:t xml:space="preserve">VI. Demonstrations</w:t>
      </w:r>
    </w:p>
    <w:p>
      <w:pPr>
        <w:pStyle w:val="CaptionedFigure"/>
      </w:pPr>
      <w:r>
        <w:drawing>
          <wp:inline>
            <wp:extent cx="5334000" cy="2605779"/>
            <wp:effectExtent b="0" l="0" r="0" t="0"/>
            <wp:docPr descr="Sine tracing placed by the analysis. (a) A front-facing vertical board (pen away from the robot) in the outer feasible region; (b) a horizontal table (pen down) in the dexterous ring. Both track the target to 0.000\,\text{mm}." title="" id="43" name="Picture"/>
            <a:graphic>
              <a:graphicData uri="http://schemas.openxmlformats.org/drawingml/2006/picture">
                <pic:pic>
                  <pic:nvPicPr>
                    <pic:cNvPr descr="figures/fig_demo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5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Sine tracing placed by the analysis. (a) A front-facing vertical board (pen away</w:t>
      </w:r>
      <w:r>
        <w:t xml:space="preserve"> </w:t>
      </w:r>
      <w:r>
        <w:t xml:space="preserve">from the robot) in the outer feasible region; (b) a horizontal table (pen down) in</w:t>
      </w:r>
      <w:r>
        <w:t xml:space="preserve"> </w:t>
      </w:r>
      <w:r>
        <w:t xml:space="preserve">the dexterous ring. Both track the target to</w:t>
      </w:r>
      <w:r>
        <w:t xml:space="preserve"> </w:t>
      </w:r>
      <m:oMath>
        <m:r>
          <m:t>0.000</m:t>
        </m:r>
        <m:r>
          <m:t> </m:t>
        </m:r>
        <m:r>
          <m:rPr>
            <m:nor/>
            <m:sty m:val="p"/>
          </m:rPr>
          <m:t>mm</m:t>
        </m:r>
      </m:oMath>
      <w:r>
        <w:t xml:space="preserve">.</w:t>
      </w:r>
    </w:p>
    <w:p>
      <w:pPr>
        <w:pStyle w:val="BodyText"/>
      </w:pPr>
      <w:r>
        <w:t xml:space="preserve">Using the maps of Sections III and V to choose surface placements, the arm traces a</w:t>
      </w:r>
      <w:r>
        <w:t xml:space="preserve"> </w:t>
      </w:r>
      <w:r>
        <w:t xml:space="preserve">two-cycle sine to a maximum position error of</w:t>
      </w:r>
      <w:r>
        <w:t xml:space="preserve"> </w:t>
      </w:r>
      <m:oMath>
        <m:r>
          <m:t>0.000</m:t>
        </m:r>
        <m:r>
          <m:t> </m:t>
        </m:r>
        <m:r>
          <m:rPr>
            <m:nor/>
            <m:sty m:val="p"/>
          </m:rPr>
          <m:t>mm</m:t>
        </m:r>
      </m:oMath>
      <w:r>
        <w:t xml:space="preserve"> </w:t>
      </w:r>
      <w:r>
        <w:t xml:space="preserve">on both a</w:t>
      </w:r>
      <w:r>
        <w:t xml:space="preserve"> </w:t>
      </w:r>
      <w:r>
        <w:t xml:space="preserve">front-facing vertical board at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0.21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0.12</m:t>
            </m:r>
          </m:e>
        </m:d>
        <m:r>
          <m:t> </m:t>
        </m:r>
        <m:r>
          <m:rPr>
            <m:nor/>
            <m:sty m:val="p"/>
          </m:rPr>
          <m:t>m</m:t>
        </m:r>
      </m:oMath>
      <w:r>
        <w:t xml:space="preserve"> </w:t>
      </w:r>
      <w:r>
        <w:t xml:space="preserve">and a horizontal table at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0.18</m:t>
            </m:r>
            <m:r>
              <m:rPr>
                <m:sty m:val="p"/>
              </m:rPr>
              <m:t>,</m:t>
            </m:r>
            <m:r>
              <m:t>0.10</m:t>
            </m:r>
          </m:e>
        </m:d>
        <m:r>
          <m:t> </m:t>
        </m:r>
        <m:r>
          <m:rPr>
            <m:nor/>
            <m:sty m:val="p"/>
          </m:rPr>
          <m:t>m</m:t>
        </m:r>
      </m:oMath>
      <w:r>
        <w:t xml:space="preserve"> </w:t>
      </w:r>
      <w:r>
        <w:t xml:space="preserve">(Figure 4), confirming that the constrained-workspace maps</w:t>
      </w:r>
      <w:r>
        <w:t xml:space="preserve"> </w:t>
      </w:r>
      <w:r>
        <w:t xml:space="preserve">predict where clean drawing is possible.</w:t>
      </w:r>
    </w:p>
    <w:bookmarkEnd w:id="45"/>
    <w:bookmarkStart w:id="46" w:name="vii.-conclusion"/>
    <w:p>
      <w:pPr>
        <w:pStyle w:val="Heading1"/>
      </w:pPr>
      <w:r>
        <w:t xml:space="preserve">VII. Conclusion</w:t>
      </w:r>
    </w:p>
    <w:p>
      <w:pPr>
        <w:pStyle w:val="FirstParagraph"/>
      </w:pPr>
      <w:r>
        <w:t xml:space="preserve">The reachable and drawable workspaces of a surface-tracing manipulator are distinct</w:t>
      </w:r>
      <w:r>
        <w:t xml:space="preserve"> </w:t>
      </w:r>
      <w:r>
        <w:t xml:space="preserve">sets whose difference depends on the surface normal. For the myCobot 280, a</w:t>
      </w:r>
      <w:r>
        <w:t xml:space="preserve"> </w:t>
      </w:r>
      <w:r>
        <w:t xml:space="preserve">perpendicular pen is feasible over only</w:t>
      </w:r>
      <w:r>
        <w:t xml:space="preserve"> </w:t>
      </w:r>
      <m:oMath>
        <m:r>
          <m:t>57.9</m:t>
        </m:r>
        <m:r>
          <m:rPr>
            <m:sty m:val="p"/>
          </m:rPr>
          <m:t>%</m:t>
        </m:r>
      </m:oMath>
      <w:r>
        <w:t xml:space="preserve"> </w:t>
      </w:r>
      <w:r>
        <w:t xml:space="preserve">(vertical) and</w:t>
      </w:r>
      <w:r>
        <w:t xml:space="preserve"> </w:t>
      </w:r>
      <m:oMath>
        <m:r>
          <m:t>63.5</m:t>
        </m:r>
        <m:r>
          <m:rPr>
            <m:sty m:val="p"/>
          </m:rPr>
          <m:t>%</m:t>
        </m:r>
      </m:oMath>
      <w:r>
        <w:t xml:space="preserve"> </w:t>
      </w:r>
      <w:r>
        <w:t xml:space="preserve">(horizontal)</w:t>
      </w:r>
      <w:r>
        <w:t xml:space="preserve"> </w:t>
      </w:r>
      <w:r>
        <w:t xml:space="preserve">of the reachable workspace, and the feasible regions coincide with the arm’s</w:t>
      </w:r>
      <w:r>
        <w:t xml:space="preserve"> </w:t>
      </w:r>
      <w:r>
        <w:t xml:space="preserve">high-manipulability ring. Damped least squares is the most robust IK method for the</w:t>
      </w:r>
      <w:r>
        <w:t xml:space="preserve"> </w:t>
      </w:r>
      <w:r>
        <w:t xml:space="preserve">task. Future work: extending the analysis to arbitrary tilted surfaces and full tool</w:t>
      </w:r>
      <w:r>
        <w:t xml:space="preserve"> </w:t>
      </w:r>
      <w:r>
        <w:t xml:space="preserve">paths, exploiting redundancy for manipulability-optimal drawing, and validating on</w:t>
      </w:r>
      <w:r>
        <w:t xml:space="preserve"> </w:t>
      </w:r>
      <w:r>
        <w:t xml:space="preserve">the physical robot and in Gazebo.</w:t>
      </w:r>
    </w:p>
    <w:bookmarkEnd w:id="46"/>
    <w:bookmarkStart w:id="47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2"/>
        </w:numPr>
        <w:pStyle w:val="Compact"/>
      </w:pPr>
      <w:r>
        <w:t xml:space="preserve">J. J. Craig,</w:t>
      </w:r>
      <w:r>
        <w:t xml:space="preserve"> </w:t>
      </w:r>
      <w:r>
        <w:rPr>
          <w:iCs/>
          <w:i/>
        </w:rPr>
        <w:t xml:space="preserve">Introduction to Robotics: Mechanics and Control</w:t>
      </w:r>
      <w:r>
        <w:t xml:space="preserve">, 4th ed. Pearson, 2018.</w:t>
      </w:r>
    </w:p>
    <w:p>
      <w:pPr>
        <w:numPr>
          <w:ilvl w:val="0"/>
          <w:numId w:val="1002"/>
        </w:numPr>
        <w:pStyle w:val="Compact"/>
      </w:pPr>
      <w:r>
        <w:t xml:space="preserve">T. Yoshikawa,</w:t>
      </w:r>
      <w:r>
        <w:t xml:space="preserve"> </w:t>
      </w:r>
      <w:r>
        <w:t xml:space="preserve">“</w:t>
      </w:r>
      <w:r>
        <w:t xml:space="preserve">Manipulability of robotic mechanisms,</w:t>
      </w:r>
      <w:r>
        <w:t xml:space="preserve">”</w:t>
      </w:r>
      <w:r>
        <w:t xml:space="preserve"> </w:t>
      </w:r>
      <w:r>
        <w:rPr>
          <w:iCs/>
          <w:i/>
        </w:rPr>
        <w:t xml:space="preserve">Int. J. Robotics Research</w:t>
      </w:r>
      <w:r>
        <w:t xml:space="preserve">, 4(2), 1985.</w:t>
      </w:r>
    </w:p>
    <w:p>
      <w:pPr>
        <w:numPr>
          <w:ilvl w:val="0"/>
          <w:numId w:val="1002"/>
        </w:numPr>
        <w:pStyle w:val="Compact"/>
      </w:pPr>
      <w:r>
        <w:t xml:space="preserve">C. W. Wampler,</w:t>
      </w:r>
      <w:r>
        <w:t xml:space="preserve"> </w:t>
      </w:r>
      <w:r>
        <w:t xml:space="preserve">“</w:t>
      </w:r>
      <w:r>
        <w:t xml:space="preserve">Manipulator inverse kinematic solutions based on vector formulations and damped least-squares methods,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Trans. SMC</w:t>
      </w:r>
      <w:r>
        <w:t xml:space="preserve">, 16(1), 1986.</w:t>
      </w:r>
    </w:p>
    <w:p>
      <w:pPr>
        <w:numPr>
          <w:ilvl w:val="0"/>
          <w:numId w:val="1002"/>
        </w:numPr>
        <w:pStyle w:val="Compact"/>
      </w:pPr>
      <w:r>
        <w:t xml:space="preserve">Elephant Robotics,</w:t>
      </w:r>
      <w:r>
        <w:t xml:space="preserve"> </w:t>
      </w:r>
      <w:r>
        <w:rPr>
          <w:iCs/>
          <w:i/>
        </w:rPr>
        <w:t xml:space="preserve">myCobot 280 URDF / description</w:t>
      </w:r>
      <w:r>
        <w:t xml:space="preserve">, 2023.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Task-Constrained Workspace and Inverse-Kinematics Analysis for Surface-Tracing with a 6-DOF Manipulator (myCobot 280)</dc:title>
  <dc:creator>Abhishek Roy</dc:creator>
  <cp:keywords/>
  <dcterms:created xsi:type="dcterms:W3CDTF">2026-07-03T05:51:55Z</dcterms:created>
  <dcterms:modified xsi:type="dcterms:W3CDTF">2026-07-03T05:51:55Z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</Properties>
</file>