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C0"/>
          <w:sz w:val="24"/>
        </w:rPr>
        <w:t>JIRA TASK 05</w:t>
      </w:r>
    </w:p>
    <w:p>
      <w:pPr>
        <w:pStyle w:val="Title"/>
        <w:jc w:val="center"/>
      </w:pPr>
      <w:r>
        <w:t>Reliability Testing &amp;</w:t>
        <w:br/>
        <w:t>Production Readiness Review</w:t>
      </w:r>
    </w:p>
    <w:p>
      <w:pPr>
        <w:jc w:val="center"/>
      </w:pPr>
      <w:r>
        <w:rPr>
          <w:color w:val="5A6473"/>
          <w:sz w:val="20"/>
        </w:rPr>
        <w:t>Date: 16 October 2026  |  Effort: 8 Hours  |  Priority: Critical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4A6E"/>
          </w:tcPr>
          <w:p>
            <w:pPr>
              <w:spacing w:after="0"/>
            </w:pPr>
            <w:r/>
            <w:r>
              <w:rPr>
                <w:rFonts w:ascii="Aptos" w:hAnsi="Aptos"/>
                <w:b/>
                <w:color w:val="FFFFFF"/>
                <w:sz w:val="16"/>
              </w:rPr>
              <w:t>Overall Result</w:t>
            </w:r>
          </w:p>
        </w:tc>
        <w:tc>
          <w:tcPr>
            <w:tcW w:type="dxa" w:w="2520"/>
            <w:vAlign w:val="center"/>
            <w:shd w:fill="174A6E"/>
          </w:tcPr>
          <w:p>
            <w:pPr>
              <w:spacing w:after="0"/>
            </w:pPr>
            <w:r/>
            <w:r>
              <w:rPr>
                <w:rFonts w:ascii="Aptos" w:hAnsi="Aptos"/>
                <w:b/>
                <w:color w:val="FFFFFF"/>
                <w:sz w:val="16"/>
              </w:rPr>
              <w:t>Test Coverage</w:t>
            </w:r>
          </w:p>
        </w:tc>
        <w:tc>
          <w:tcPr>
            <w:tcW w:type="dxa" w:w="2520"/>
            <w:vAlign w:val="center"/>
            <w:shd w:fill="174A6E"/>
          </w:tcPr>
          <w:p>
            <w:pPr>
              <w:spacing w:after="0"/>
            </w:pPr>
            <w:r/>
            <w:r>
              <w:rPr>
                <w:rFonts w:ascii="Aptos" w:hAnsi="Aptos"/>
                <w:b/>
                <w:color w:val="FFFFFF"/>
                <w:sz w:val="16"/>
              </w:rPr>
              <w:t>Failure Scenarios</w:t>
            </w:r>
          </w:p>
        </w:tc>
        <w:tc>
          <w:tcPr>
            <w:tcW w:type="dxa" w:w="2520"/>
            <w:vAlign w:val="center"/>
            <w:shd w:fill="174A6E"/>
          </w:tcPr>
          <w:p>
            <w:pPr>
              <w:spacing w:after="0"/>
            </w:pPr>
            <w:r/>
            <w:r>
              <w:rPr>
                <w:rFonts w:ascii="Aptos" w:hAnsi="Aptos"/>
                <w:b/>
                <w:color w:val="FFFFFF"/>
                <w:sz w:val="16"/>
              </w:rPr>
              <w:t>Readiness Outcome</w:t>
            </w:r>
          </w:p>
        </w:tc>
      </w:tr>
      <w:tr>
        <w:tc>
          <w:tcPr>
            <w:tcW w:type="dxa" w:w="2520"/>
            <w:vAlign w:val="center"/>
            <w:shd w:fill="EAF3F8"/>
          </w:tcPr>
          <w:p>
            <w:pPr>
              <w:spacing w:after="0"/>
            </w:pPr>
            <w:r/>
            <w:r>
              <w:rPr>
                <w:rFonts w:ascii="Aptos" w:hAnsi="Aptos"/>
                <w:b/>
                <w:color w:val="008050"/>
                <w:sz w:val="18"/>
              </w:rPr>
              <w:t>PASS</w:t>
            </w:r>
          </w:p>
        </w:tc>
        <w:tc>
          <w:tcPr>
            <w:tcW w:type="dxa" w:w="2520"/>
            <w:vAlign w:val="center"/>
            <w:shd w:fill="EAF3F8"/>
          </w:tcPr>
          <w:p>
            <w:pPr>
              <w:spacing w:after="0"/>
            </w:pPr>
            <w:r/>
            <w:r>
              <w:rPr>
                <w:rFonts w:ascii="Aptos" w:hAnsi="Aptos"/>
                <w:b/>
                <w:color w:val="232D37"/>
                <w:sz w:val="18"/>
              </w:rPr>
              <w:t>8 task areas</w:t>
            </w:r>
          </w:p>
        </w:tc>
        <w:tc>
          <w:tcPr>
            <w:tcW w:type="dxa" w:w="2520"/>
            <w:vAlign w:val="center"/>
            <w:shd w:fill="EAF3F8"/>
          </w:tcPr>
          <w:p>
            <w:pPr>
              <w:spacing w:after="0"/>
            </w:pPr>
            <w:r/>
            <w:r>
              <w:rPr>
                <w:rFonts w:ascii="Aptos" w:hAnsi="Aptos"/>
                <w:b/>
                <w:color w:val="232D37"/>
                <w:sz w:val="18"/>
              </w:rPr>
              <w:t>Verified</w:t>
            </w:r>
          </w:p>
        </w:tc>
        <w:tc>
          <w:tcPr>
            <w:tcW w:type="dxa" w:w="2520"/>
            <w:vAlign w:val="center"/>
            <w:shd w:fill="EAF3F8"/>
          </w:tcPr>
          <w:p>
            <w:pPr>
              <w:spacing w:after="0"/>
            </w:pPr>
            <w:r/>
            <w:r>
              <w:rPr>
                <w:rFonts w:ascii="Aptos" w:hAnsi="Aptos"/>
                <w:b/>
                <w:color w:val="232D37"/>
                <w:sz w:val="18"/>
              </w:rPr>
              <w:t>Ready for demo</w:t>
            </w:r>
          </w:p>
        </w:tc>
      </w:tr>
    </w:tbl>
    <w:p>
      <w:pPr>
        <w:pStyle w:val="Heading1"/>
      </w:pPr>
      <w:r>
        <w:t>1. Objective</w:t>
      </w:r>
    </w:p>
    <w:p>
      <w:r>
        <w:t>Integrate the implemented features, validate normal and failure scenarios, and demonstrate production-readiness considerations across the microservices architecture.</w:t>
      </w:r>
    </w:p>
    <w:p>
      <w:pPr>
        <w:pStyle w:val="Heading1"/>
      </w:pPr>
      <w:r>
        <w:t>2. Test Results</w:t>
      </w:r>
    </w:p>
    <w:p>
      <w:r>
        <w:t>All task test areas were reported as completed, tested, and verified successfully. The following results document the expected outcomes for each task area.</w:t>
      </w:r>
    </w:p>
    <w:p>
      <w:pPr>
        <w:pStyle w:val="Heading2"/>
      </w:pPr>
      <w:r>
        <w:t>1. Gateway routing and request validation</w:t>
      </w:r>
    </w:p>
    <w:p>
      <w:pPr>
        <w:spacing w:after="80"/>
      </w:pPr>
      <w:r>
        <w:rPr>
          <w:b/>
        </w:rPr>
        <w:t xml:space="preserve">Result: </w:t>
      </w:r>
      <w:r>
        <w:t xml:space="preserve">Requests routed through the API Gateway to the intended downstream service. Valid requests were processed successfully, and request validation handled invalid input according to the configured API rules. </w:t>
      </w:r>
      <w:r>
        <w:rPr>
          <w:b/>
          <w:color w:val="008050"/>
        </w:rPr>
        <w:t>[PASS]</w:t>
      </w:r>
    </w:p>
    <w:p>
      <w:pPr>
        <w:pStyle w:val="Heading2"/>
      </w:pPr>
      <w:r>
        <w:t>2. Authentication and rate limiting</w:t>
      </w:r>
    </w:p>
    <w:p>
      <w:pPr>
        <w:spacing w:after="80"/>
      </w:pPr>
      <w:r>
        <w:rPr>
          <w:b/>
        </w:rPr>
        <w:t xml:space="preserve">Result: </w:t>
      </w:r>
      <w:r>
        <w:t xml:space="preserve">Authentication behavior was exercised for protected endpoints, and rate-limiting behavior was verified against the configured policy. Requests followed the expected allow/deny and throttling behavior. </w:t>
      </w:r>
      <w:r>
        <w:rPr>
          <w:b/>
          <w:color w:val="008050"/>
        </w:rPr>
        <w:t>[PASS]</w:t>
      </w:r>
    </w:p>
    <w:p>
      <w:pPr>
        <w:pStyle w:val="Heading2"/>
      </w:pPr>
      <w:r>
        <w:t>3. Timeout, retry, and circuit-breaker behavior</w:t>
      </w:r>
    </w:p>
    <w:p>
      <w:pPr>
        <w:spacing w:after="80"/>
      </w:pPr>
      <w:r>
        <w:rPr>
          <w:b/>
        </w:rPr>
        <w:t xml:space="preserve">Result: </w:t>
      </w:r>
      <w:r>
        <w:t xml:space="preserve">Timeout and retry behavior was tested under downstream delay/failure conditions. Circuit-breaker behavior was verified to prevent repeated calls to an unhealthy dependency and to recover according to its configured policy. </w:t>
      </w:r>
      <w:r>
        <w:rPr>
          <w:b/>
          <w:color w:val="008050"/>
        </w:rPr>
        <w:t>[PASS]</w:t>
      </w:r>
    </w:p>
    <w:p>
      <w:pPr>
        <w:pStyle w:val="Heading2"/>
      </w:pPr>
      <w:r>
        <w:t>4. Duplicate requests and idempotency</w:t>
      </w:r>
    </w:p>
    <w:p>
      <w:pPr>
        <w:spacing w:after="80"/>
      </w:pPr>
      <w:r>
        <w:rPr>
          <w:b/>
        </w:rPr>
        <w:t xml:space="preserve">Result: </w:t>
      </w:r>
      <w:r>
        <w:t xml:space="preserve">Repeated requests using the same idempotency key were tested. Duplicate submissions were handled consistently, preventing unintended duplicate processing and preserving the expected result. </w:t>
      </w:r>
      <w:r>
        <w:rPr>
          <w:b/>
          <w:color w:val="008050"/>
        </w:rPr>
        <w:t>[PASS]</w:t>
      </w:r>
    </w:p>
    <w:p>
      <w:pPr>
        <w:pStyle w:val="Heading2"/>
      </w:pPr>
      <w:r>
        <w:t>5. Correlation IDs and structured logs</w:t>
      </w:r>
    </w:p>
    <w:p>
      <w:pPr>
        <w:spacing w:after="80"/>
      </w:pPr>
      <w:r>
        <w:rPr>
          <w:b/>
        </w:rPr>
        <w:t xml:space="preserve">Result: </w:t>
      </w:r>
      <w:r>
        <w:t xml:space="preserve">Correlation IDs were verified in request and service logs, including propagation across relevant service calls and event-processing logs. Structured log entries provided request outcome and diagnostic context. </w:t>
      </w:r>
      <w:r>
        <w:rPr>
          <w:b/>
          <w:color w:val="008050"/>
        </w:rPr>
        <w:t>[PASS]</w:t>
      </w:r>
    </w:p>
    <w:p>
      <w:pPr>
        <w:pStyle w:val="Heading2"/>
      </w:pPr>
      <w:r>
        <w:t>6. Unavailable and slow downstream services</w:t>
      </w:r>
    </w:p>
    <w:p>
      <w:pPr>
        <w:spacing w:after="80"/>
      </w:pPr>
      <w:r>
        <w:rPr>
          <w:b/>
        </w:rPr>
        <w:t xml:space="preserve">Result: </w:t>
      </w:r>
      <w:r>
        <w:t xml:space="preserve">Downstream-unavailable and slow-response scenarios were simulated. The system handled failures through the configured resilience behavior and returned controlled outcomes rather than relying on an unbounded wait. </w:t>
      </w:r>
      <w:r>
        <w:rPr>
          <w:b/>
          <w:color w:val="008050"/>
        </w:rPr>
        <w:t>[PASS]</w:t>
      </w:r>
    </w:p>
    <w:p>
      <w:pPr>
        <w:pStyle w:val="Heading2"/>
      </w:pPr>
      <w:r>
        <w:t>7. Automated integration and failure tests</w:t>
      </w:r>
    </w:p>
    <w:p>
      <w:pPr>
        <w:spacing w:after="80"/>
      </w:pPr>
      <w:r>
        <w:rPr>
          <w:b/>
        </w:rPr>
        <w:t xml:space="preserve">Result: </w:t>
      </w:r>
      <w:r>
        <w:t xml:space="preserve">Automated integration and failure-test scenarios were executed. The completed test set passed, confirming expected interactions and failure-handling paths for the covered scenarios. </w:t>
      </w:r>
      <w:r>
        <w:rPr>
          <w:b/>
          <w:color w:val="008050"/>
        </w:rPr>
        <w:t>[PASS]</w:t>
      </w:r>
    </w:p>
    <w:p>
      <w:pPr>
        <w:pStyle w:val="Heading2"/>
      </w:pPr>
      <w:r>
        <w:t>8. Test report, README, and demonstration</w:t>
      </w:r>
    </w:p>
    <w:p>
      <w:pPr>
        <w:spacing w:after="80"/>
      </w:pPr>
      <w:r>
        <w:rPr>
          <w:b/>
        </w:rPr>
        <w:t xml:space="preserve">Result: </w:t>
      </w:r>
      <w:r>
        <w:t xml:space="preserve">Test results were documented, the README/readiness material was updated, and the integrated project was prepared for demonstration with the tested service and infrastructure setup. </w:t>
      </w:r>
      <w:r>
        <w:rPr>
          <w:b/>
          <w:color w:val="008050"/>
        </w:rPr>
        <w:t>[PASS]</w:t>
      </w:r>
    </w:p>
    <w:p>
      <w:pPr>
        <w:pStyle w:val="Heading1"/>
      </w:pPr>
      <w:r>
        <w:t>3. Integrated Verification Summary</w:t>
      </w:r>
    </w:p>
    <w:p>
      <w:pPr>
        <w:pStyle w:val="ListBullet"/>
      </w:pPr>
      <w:r>
        <w:t>Gateway request flow and downstream routing were verified.</w:t>
      </w:r>
    </w:p>
    <w:p>
      <w:pPr>
        <w:pStyle w:val="ListBullet"/>
      </w:pPr>
      <w:r>
        <w:t>Authentication, throttling, resilience, and idempotency test areas completed successfully.</w:t>
      </w:r>
    </w:p>
    <w:p>
      <w:pPr>
        <w:pStyle w:val="ListBullet"/>
      </w:pPr>
      <w:r>
        <w:t>Correlation IDs and structured logging were checked across HTTP and event-driven processing paths.</w:t>
      </w:r>
    </w:p>
    <w:p>
      <w:pPr>
        <w:pStyle w:val="ListBullet"/>
      </w:pPr>
      <w:r>
        <w:t>Kafka-driven service interactions were exercised and successful event-processing outcomes were observed.</w:t>
      </w:r>
    </w:p>
    <w:p>
      <w:pPr>
        <w:pStyle w:val="ListBullet"/>
      </w:pPr>
      <w:r>
        <w:t>Jaeger UI was accessible and showed trace data for Jaeger's own service. Application-service traces still require explicit verification that application instrumentation and collector export are configured; this report does not claim those traces were confirmed.</w:t>
      </w:r>
    </w:p>
    <w:p>
      <w:pPr>
        <w:pStyle w:val="Heading1"/>
      </w:pPr>
      <w:r>
        <w:t>4. Production-Readiness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4A6E"/>
          </w:tcPr>
          <w:p>
            <w:pPr>
              <w:spacing w:after="0"/>
            </w:pPr>
            <w:r/>
            <w:r>
              <w:rPr>
                <w:rFonts w:ascii="Aptos" w:hAnsi="Aptos"/>
                <w:b/>
                <w:color w:val="FFFFFF"/>
                <w:sz w:val="17"/>
              </w:rPr>
              <w:t>Checklist item</w:t>
            </w:r>
          </w:p>
        </w:tc>
        <w:tc>
          <w:tcPr>
            <w:tcW w:type="dxa" w:w="5040"/>
            <w:vAlign w:val="center"/>
            <w:shd w:fill="174A6E"/>
          </w:tcPr>
          <w:p>
            <w:pPr>
              <w:spacing w:after="0"/>
            </w:pPr>
            <w:r/>
            <w:r>
              <w:rPr>
                <w:rFonts w:ascii="Aptos" w:hAnsi="Aptos"/>
                <w:b/>
                <w:color w:val="FFFFFF"/>
                <w:sz w:val="17"/>
              </w:rPr>
              <w:t>Status</w:t>
            </w:r>
          </w:p>
        </w:tc>
      </w:tr>
      <w:tr>
        <w:tc>
          <w:tcPr>
            <w:tcW w:type="dxa" w:w="5040"/>
            <w:vAlign w:val="center"/>
          </w:tcPr>
          <w:p>
            <w:pPr>
              <w:spacing w:after="0"/>
            </w:pPr>
            <w:r/>
            <w:r>
              <w:rPr>
                <w:rFonts w:ascii="Aptos" w:hAnsi="Aptos"/>
                <w:b w:val="0"/>
                <w:sz w:val="17"/>
              </w:rPr>
              <w:t>Gateway routing and request validation</w:t>
            </w:r>
          </w:p>
        </w:tc>
        <w:tc>
          <w:tcPr>
            <w:tcW w:type="dxa" w:w="5040"/>
            <w:vAlign w:val="center"/>
            <w:shd w:fill="E7F4EA"/>
          </w:tcPr>
          <w:p>
            <w:pPr>
              <w:spacing w:after="0"/>
            </w:pPr>
            <w:r/>
            <w:r>
              <w:rPr>
                <w:rFonts w:ascii="Aptos" w:hAnsi="Aptos"/>
                <w:b/>
                <w:color w:val="008050"/>
                <w:sz w:val="17"/>
              </w:rPr>
              <w:t>Verified</w:t>
            </w:r>
          </w:p>
        </w:tc>
      </w:tr>
      <w:tr>
        <w:tc>
          <w:tcPr>
            <w:tcW w:type="dxa" w:w="5040"/>
            <w:vAlign w:val="center"/>
          </w:tcPr>
          <w:p>
            <w:pPr>
              <w:spacing w:after="0"/>
            </w:pPr>
            <w:r/>
            <w:r>
              <w:rPr>
                <w:rFonts w:ascii="Aptos" w:hAnsi="Aptos"/>
                <w:b w:val="0"/>
                <w:sz w:val="17"/>
              </w:rPr>
              <w:t>Authentication and rate limiting</w:t>
            </w:r>
          </w:p>
        </w:tc>
        <w:tc>
          <w:tcPr>
            <w:tcW w:type="dxa" w:w="5040"/>
            <w:vAlign w:val="center"/>
            <w:shd w:fill="E7F4EA"/>
          </w:tcPr>
          <w:p>
            <w:pPr>
              <w:spacing w:after="0"/>
            </w:pPr>
            <w:r/>
            <w:r>
              <w:rPr>
                <w:rFonts w:ascii="Aptos" w:hAnsi="Aptos"/>
                <w:b/>
                <w:color w:val="008050"/>
                <w:sz w:val="17"/>
              </w:rPr>
              <w:t>Verified</w:t>
            </w:r>
          </w:p>
        </w:tc>
      </w:tr>
      <w:tr>
        <w:tc>
          <w:tcPr>
            <w:tcW w:type="dxa" w:w="5040"/>
            <w:vAlign w:val="center"/>
          </w:tcPr>
          <w:p>
            <w:pPr>
              <w:spacing w:after="0"/>
            </w:pPr>
            <w:r/>
            <w:r>
              <w:rPr>
                <w:rFonts w:ascii="Aptos" w:hAnsi="Aptos"/>
                <w:b w:val="0"/>
                <w:sz w:val="17"/>
              </w:rPr>
              <w:t>Timeout, retry, and circuit breaker</w:t>
            </w:r>
          </w:p>
        </w:tc>
        <w:tc>
          <w:tcPr>
            <w:tcW w:type="dxa" w:w="5040"/>
            <w:vAlign w:val="center"/>
            <w:shd w:fill="E7F4EA"/>
          </w:tcPr>
          <w:p>
            <w:pPr>
              <w:spacing w:after="0"/>
            </w:pPr>
            <w:r/>
            <w:r>
              <w:rPr>
                <w:rFonts w:ascii="Aptos" w:hAnsi="Aptos"/>
                <w:b/>
                <w:color w:val="008050"/>
                <w:sz w:val="17"/>
              </w:rPr>
              <w:t>Verified</w:t>
            </w:r>
          </w:p>
        </w:tc>
      </w:tr>
      <w:tr>
        <w:tc>
          <w:tcPr>
            <w:tcW w:type="dxa" w:w="5040"/>
            <w:vAlign w:val="center"/>
          </w:tcPr>
          <w:p>
            <w:pPr>
              <w:spacing w:after="0"/>
            </w:pPr>
            <w:r/>
            <w:r>
              <w:rPr>
                <w:rFonts w:ascii="Aptos" w:hAnsi="Aptos"/>
                <w:b w:val="0"/>
                <w:sz w:val="17"/>
              </w:rPr>
              <w:t>Idempotency for duplicate requests</w:t>
            </w:r>
          </w:p>
        </w:tc>
        <w:tc>
          <w:tcPr>
            <w:tcW w:type="dxa" w:w="5040"/>
            <w:vAlign w:val="center"/>
            <w:shd w:fill="E7F4EA"/>
          </w:tcPr>
          <w:p>
            <w:pPr>
              <w:spacing w:after="0"/>
            </w:pPr>
            <w:r/>
            <w:r>
              <w:rPr>
                <w:rFonts w:ascii="Aptos" w:hAnsi="Aptos"/>
                <w:b/>
                <w:color w:val="008050"/>
                <w:sz w:val="17"/>
              </w:rPr>
              <w:t>Verified</w:t>
            </w:r>
          </w:p>
        </w:tc>
      </w:tr>
      <w:tr>
        <w:tc>
          <w:tcPr>
            <w:tcW w:type="dxa" w:w="5040"/>
            <w:vAlign w:val="center"/>
          </w:tcPr>
          <w:p>
            <w:pPr>
              <w:spacing w:after="0"/>
            </w:pPr>
            <w:r/>
            <w:r>
              <w:rPr>
                <w:rFonts w:ascii="Aptos" w:hAnsi="Aptos"/>
                <w:b w:val="0"/>
                <w:sz w:val="17"/>
              </w:rPr>
              <w:t>Correlation IDs and structured logging</w:t>
            </w:r>
          </w:p>
        </w:tc>
        <w:tc>
          <w:tcPr>
            <w:tcW w:type="dxa" w:w="5040"/>
            <w:vAlign w:val="center"/>
            <w:shd w:fill="E7F4EA"/>
          </w:tcPr>
          <w:p>
            <w:pPr>
              <w:spacing w:after="0"/>
            </w:pPr>
            <w:r/>
            <w:r>
              <w:rPr>
                <w:rFonts w:ascii="Aptos" w:hAnsi="Aptos"/>
                <w:b/>
                <w:color w:val="008050"/>
                <w:sz w:val="17"/>
              </w:rPr>
              <w:t>Verified</w:t>
            </w:r>
          </w:p>
        </w:tc>
      </w:tr>
      <w:tr>
        <w:tc>
          <w:tcPr>
            <w:tcW w:type="dxa" w:w="5040"/>
            <w:vAlign w:val="center"/>
          </w:tcPr>
          <w:p>
            <w:pPr>
              <w:spacing w:after="0"/>
            </w:pPr>
            <w:r/>
            <w:r>
              <w:rPr>
                <w:rFonts w:ascii="Aptos" w:hAnsi="Aptos"/>
                <w:b w:val="0"/>
                <w:sz w:val="17"/>
              </w:rPr>
              <w:t>Slow/unavailable downstream handling</w:t>
            </w:r>
          </w:p>
        </w:tc>
        <w:tc>
          <w:tcPr>
            <w:tcW w:type="dxa" w:w="5040"/>
            <w:vAlign w:val="center"/>
            <w:shd w:fill="E7F4EA"/>
          </w:tcPr>
          <w:p>
            <w:pPr>
              <w:spacing w:after="0"/>
            </w:pPr>
            <w:r/>
            <w:r>
              <w:rPr>
                <w:rFonts w:ascii="Aptos" w:hAnsi="Aptos"/>
                <w:b/>
                <w:color w:val="008050"/>
                <w:sz w:val="17"/>
              </w:rPr>
              <w:t>Verified</w:t>
            </w:r>
          </w:p>
        </w:tc>
      </w:tr>
      <w:tr>
        <w:tc>
          <w:tcPr>
            <w:tcW w:type="dxa" w:w="5040"/>
            <w:vAlign w:val="center"/>
          </w:tcPr>
          <w:p>
            <w:pPr>
              <w:spacing w:after="0"/>
            </w:pPr>
            <w:r/>
            <w:r>
              <w:rPr>
                <w:rFonts w:ascii="Aptos" w:hAnsi="Aptos"/>
                <w:b w:val="0"/>
                <w:sz w:val="17"/>
              </w:rPr>
              <w:t>Automated integration and failure tests</w:t>
            </w:r>
          </w:p>
        </w:tc>
        <w:tc>
          <w:tcPr>
            <w:tcW w:type="dxa" w:w="5040"/>
            <w:vAlign w:val="center"/>
            <w:shd w:fill="E7F4EA"/>
          </w:tcPr>
          <w:p>
            <w:pPr>
              <w:spacing w:after="0"/>
            </w:pPr>
            <w:r/>
            <w:r>
              <w:rPr>
                <w:rFonts w:ascii="Aptos" w:hAnsi="Aptos"/>
                <w:b/>
                <w:color w:val="008050"/>
                <w:sz w:val="17"/>
              </w:rPr>
              <w:t>Verified</w:t>
            </w:r>
          </w:p>
        </w:tc>
      </w:tr>
      <w:tr>
        <w:tc>
          <w:tcPr>
            <w:tcW w:type="dxa" w:w="5040"/>
            <w:vAlign w:val="center"/>
          </w:tcPr>
          <w:p>
            <w:pPr>
              <w:spacing w:after="0"/>
            </w:pPr>
            <w:r/>
            <w:r>
              <w:rPr>
                <w:rFonts w:ascii="Aptos" w:hAnsi="Aptos"/>
                <w:b w:val="0"/>
                <w:sz w:val="17"/>
              </w:rPr>
              <w:t>Test report, README, and demo preparation</w:t>
            </w:r>
          </w:p>
        </w:tc>
        <w:tc>
          <w:tcPr>
            <w:tcW w:type="dxa" w:w="5040"/>
            <w:vAlign w:val="center"/>
            <w:shd w:fill="E7F4EA"/>
          </w:tcPr>
          <w:p>
            <w:pPr>
              <w:spacing w:after="0"/>
            </w:pPr>
            <w:r/>
            <w:r>
              <w:rPr>
                <w:rFonts w:ascii="Aptos" w:hAnsi="Aptos"/>
                <w:b/>
                <w:color w:val="008050"/>
                <w:sz w:val="17"/>
              </w:rPr>
              <w:t>Verified</w:t>
            </w:r>
          </w:p>
        </w:tc>
      </w:tr>
    </w:tbl>
    <w:p>
      <w:pPr>
        <w:pStyle w:val="Heading1"/>
      </w:pPr>
      <w:r>
        <w:t>5. Final Outcome</w:t>
      </w:r>
    </w:p>
    <w:p>
      <w:r>
        <w:rPr>
          <w:b/>
        </w:rPr>
        <w:t xml:space="preserve">Overall status: </w:t>
      </w:r>
      <w:r>
        <w:rPr>
          <w:b/>
          <w:color w:val="008050"/>
        </w:rPr>
        <w:t>PASS — all eight task areas completed and reported successful.</w:t>
      </w:r>
    </w:p>
    <w:p>
      <w:r>
        <w:t>The integrated microservices project passed the reported reliability-testing activities and is prepared for demonstration. The test outcomes indicate that the covered normal and failure scenarios behaved as expected. Any environment-specific production rollout should still include deployment-specific monitoring, security, capacity, and operational checks.</w:t>
      </w:r>
    </w:p>
    <w:p>
      <w:pPr>
        <w:pStyle w:val="Heading1"/>
      </w:pPr>
      <w:r>
        <w:t>6. Scope and Evidence Note</w:t>
      </w:r>
    </w:p>
    <w:p>
      <w:r>
        <w:t>This report is based on the task definition in the provided screenshot and the user's confirmation that all tests were completed and verified successfully. Results are written as appropriate verification outcomes for each task area. Detailed test-case IDs, execution logs, and measured thresholds were not supplied and therefore are not invented here.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JIRA TASK 05  •  Verification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3"/>
        <w:sz w:val="16"/>
      </w:rPr>
      <w:t>SPRING BOOT MICROSERVICES  |  RELIABILITY &amp;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