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235C8C"/>
          <w:sz w:val="22"/>
        </w:rPr>
        <w:t>TECHNICAL REPORT</w:t>
      </w:r>
    </w:p>
    <w:p>
      <w:pPr>
        <w:pStyle w:val="Title"/>
      </w:pPr>
      <w:r>
        <w:t>API Gateway Security</w:t>
        <w:br/>
        <w:t>&amp; Request Policies</w:t>
      </w:r>
    </w:p>
    <w:p>
      <w:r>
        <w:rPr>
          <w:sz w:val="26"/>
        </w:rPr>
        <w:t>Jira Task 02  |  BlackRoth Spring Boot Microservices</w:t>
      </w:r>
    </w:p>
    <w:p>
      <w:pPr>
        <w:pStyle w:val="Heading2"/>
      </w:pPr>
      <w:r>
        <w:t>Purpose</w:t>
      </w:r>
    </w:p>
    <w:p>
      <w:r>
        <w:t>Developer- and reviewer-oriented documentation of the gateway routing, authentication-related checks, rate limiting, request tracing, and validation evidence shared during this task. Tested behavior is explicitly separated from recommendations.</w:t>
      </w:r>
    </w:p>
    <w:tbl>
      <w:tblPr>
        <w:tblStyle w:val="TableGrid"/>
        <w:tblW w:type="auto" w:w="0"/>
        <w:tblLook w:firstColumn="1" w:firstRow="1" w:lastColumn="0" w:lastRow="0" w:noHBand="0" w:noVBand="1" w:val="04A0"/>
      </w:tblPr>
      <w:tblGrid>
        <w:gridCol w:w="5112"/>
        <w:gridCol w:w="5112"/>
      </w:tblGrid>
      <w:tr>
        <w:tc>
          <w:tcPr>
            <w:tcW w:type="dxa" w:w="5112"/>
            <w:shd w:fill="16355C"/>
          </w:tcPr>
          <w:p>
            <w:r>
              <w:rPr>
                <w:b/>
                <w:color w:val="FFFFFF"/>
                <w:sz w:val="16"/>
              </w:rPr>
              <w:t>Document field</w:t>
            </w:r>
          </w:p>
        </w:tc>
        <w:tc>
          <w:tcPr>
            <w:tcW w:type="dxa" w:w="5112"/>
            <w:shd w:fill="16355C"/>
          </w:tcPr>
          <w:p>
            <w:r>
              <w:rPr>
                <w:b/>
                <w:color w:val="FFFFFF"/>
                <w:sz w:val="16"/>
              </w:rPr>
              <w:t>Value</w:t>
            </w:r>
          </w:p>
        </w:tc>
      </w:tr>
      <w:tr>
        <w:tc>
          <w:tcPr>
            <w:tcW w:type="dxa" w:w="5112"/>
          </w:tcPr>
          <w:p>
            <w:pPr>
              <w:spacing w:after="20"/>
            </w:pPr>
            <w:r>
              <w:rPr>
                <w:sz w:val="16"/>
              </w:rPr>
              <w:t>Audience</w:t>
            </w:r>
          </w:p>
        </w:tc>
        <w:tc>
          <w:tcPr>
            <w:tcW w:type="dxa" w:w="5112"/>
          </w:tcPr>
          <w:p>
            <w:pPr>
              <w:spacing w:after="20"/>
            </w:pPr>
            <w:r>
              <w:rPr>
                <w:sz w:val="16"/>
              </w:rPr>
              <w:t>Developers and technical reviewers</w:t>
            </w:r>
          </w:p>
        </w:tc>
      </w:tr>
      <w:tr>
        <w:tc>
          <w:tcPr>
            <w:tcW w:type="dxa" w:w="5112"/>
            <w:shd w:fill="F2F6FA"/>
          </w:tcPr>
          <w:p>
            <w:pPr>
              <w:spacing w:after="20"/>
            </w:pPr>
            <w:r>
              <w:rPr>
                <w:sz w:val="16"/>
              </w:rPr>
              <w:t>Evidence format</w:t>
            </w:r>
          </w:p>
        </w:tc>
        <w:tc>
          <w:tcPr>
            <w:tcW w:type="dxa" w:w="5112"/>
            <w:shd w:fill="F2F6FA"/>
          </w:tcPr>
          <w:p>
            <w:pPr>
              <w:spacing w:after="20"/>
            </w:pPr>
            <w:r>
              <w:rPr>
                <w:sz w:val="16"/>
              </w:rPr>
              <w:t>Tables and written evidence; no screenshots embedded</w:t>
            </w:r>
          </w:p>
        </w:tc>
      </w:tr>
      <w:tr>
        <w:tc>
          <w:tcPr>
            <w:tcW w:type="dxa" w:w="5112"/>
          </w:tcPr>
          <w:p>
            <w:pPr>
              <w:spacing w:after="20"/>
            </w:pPr>
            <w:r>
              <w:rPr>
                <w:sz w:val="16"/>
              </w:rPr>
              <w:t>Build status</w:t>
            </w:r>
          </w:p>
        </w:tc>
        <w:tc>
          <w:tcPr>
            <w:tcW w:type="dxa" w:w="5112"/>
          </w:tcPr>
          <w:p>
            <w:pPr>
              <w:spacing w:after="20"/>
            </w:pPr>
            <w:r>
              <w:rPr>
                <w:sz w:val="16"/>
              </w:rPr>
              <w:t>User reported Maven build success</w:t>
            </w:r>
          </w:p>
        </w:tc>
      </w:tr>
      <w:tr>
        <w:tc>
          <w:tcPr>
            <w:tcW w:type="dxa" w:w="5112"/>
            <w:shd w:fill="F2F6FA"/>
          </w:tcPr>
          <w:p>
            <w:pPr>
              <w:spacing w:after="20"/>
            </w:pPr>
            <w:r>
              <w:rPr>
                <w:sz w:val="16"/>
              </w:rPr>
              <w:t>Prepared</w:t>
            </w:r>
          </w:p>
        </w:tc>
        <w:tc>
          <w:tcPr>
            <w:tcW w:type="dxa" w:w="5112"/>
            <w:shd w:fill="F2F6FA"/>
          </w:tcPr>
          <w:p>
            <w:pPr>
              <w:spacing w:after="20"/>
            </w:pPr>
            <w:r>
              <w:rPr>
                <w:sz w:val="16"/>
              </w:rPr>
              <w:t>13 October 2026</w:t>
            </w:r>
          </w:p>
        </w:tc>
      </w:tr>
    </w:tbl>
    <w:p/>
    <w:p>
      <w:r>
        <w:br w:type="page"/>
      </w:r>
    </w:p>
    <w:p>
      <w:pPr>
        <w:pStyle w:val="Heading1"/>
      </w:pPr>
      <w:r>
        <w:t>1. Executive Summary</w:t>
      </w:r>
    </w:p>
    <w:p>
      <w:r>
        <w:t>Task 02 covers API Gateway security and request policies in a Spring Boot microservices architecture. The gateway runs on port 8080 and routes product requests to Product Service on port 8081. Redis is used by the gateway rate-limit filter. Gateway logs shown during testing include request method, path, service, HTTP status, response time, authorization-header presence, and correlation ID.</w:t>
      </w:r>
    </w:p>
    <w:p>
      <w:r>
        <w:t>The user reported successful product creation, retrieval, PUT, PATCH, and DELETE. The public product endpoint returned HTTP 200 without authentication. A protected request without authentication returned HTTP 401. A Postman collection run of 101 iterations showed HTTP 429 on iteration 101, and response headers showed the configured rate limit and remaining count. The user reported that the Maven build succeeded.</w:t>
      </w:r>
    </w:p>
    <w:p>
      <w:r>
        <w:t>This is an evidence-based task report, not a security certification. Unverified behavior is not marked as passed.</w:t>
      </w:r>
    </w:p>
    <w:p>
      <w:pPr>
        <w:pStyle w:val="Heading1"/>
      </w:pPr>
      <w:r>
        <w:t>2. Scope and Acceptance Evidence</w:t>
      </w:r>
    </w:p>
    <w:tbl>
      <w:tblPr>
        <w:tblStyle w:val="TableGrid"/>
        <w:tblW w:type="auto" w:w="0"/>
        <w:tblLook w:firstColumn="1" w:firstRow="1" w:lastColumn="0" w:lastRow="0" w:noHBand="0" w:noVBand="1" w:val="04A0"/>
      </w:tblPr>
      <w:tblGrid>
        <w:gridCol w:w="3408"/>
        <w:gridCol w:w="3408"/>
        <w:gridCol w:w="3408"/>
      </w:tblGrid>
      <w:tr>
        <w:tc>
          <w:tcPr>
            <w:tcW w:type="dxa" w:w="3408"/>
            <w:shd w:fill="16355C"/>
          </w:tcPr>
          <w:p>
            <w:r>
              <w:rPr>
                <w:b/>
                <w:color w:val="FFFFFF"/>
                <w:sz w:val="16"/>
              </w:rPr>
              <w:t>Area</w:t>
            </w:r>
          </w:p>
        </w:tc>
        <w:tc>
          <w:tcPr>
            <w:tcW w:type="dxa" w:w="3408"/>
            <w:shd w:fill="16355C"/>
          </w:tcPr>
          <w:p>
            <w:r>
              <w:rPr>
                <w:b/>
                <w:color w:val="FFFFFF"/>
                <w:sz w:val="16"/>
              </w:rPr>
              <w:t>Scope</w:t>
            </w:r>
          </w:p>
        </w:tc>
        <w:tc>
          <w:tcPr>
            <w:tcW w:type="dxa" w:w="3408"/>
            <w:shd w:fill="16355C"/>
          </w:tcPr>
          <w:p>
            <w:r>
              <w:rPr>
                <w:b/>
                <w:color w:val="FFFFFF"/>
                <w:sz w:val="16"/>
              </w:rPr>
              <w:t>Evidence status</w:t>
            </w:r>
          </w:p>
        </w:tc>
      </w:tr>
      <w:tr>
        <w:tc>
          <w:tcPr>
            <w:tcW w:type="dxa" w:w="3408"/>
          </w:tcPr>
          <w:p>
            <w:pPr>
              <w:spacing w:after="20"/>
            </w:pPr>
            <w:r>
              <w:rPr>
                <w:sz w:val="16"/>
              </w:rPr>
              <w:t>Gateway routing</w:t>
            </w:r>
          </w:p>
        </w:tc>
        <w:tc>
          <w:tcPr>
            <w:tcW w:type="dxa" w:w="3408"/>
          </w:tcPr>
          <w:p>
            <w:pPr>
              <w:spacing w:after="20"/>
            </w:pPr>
            <w:r>
              <w:rPr>
                <w:sz w:val="16"/>
              </w:rPr>
              <w:t>Route product requests through port 8080 to Product Service.</w:t>
            </w:r>
          </w:p>
        </w:tc>
        <w:tc>
          <w:tcPr>
            <w:tcW w:type="dxa" w:w="3408"/>
          </w:tcPr>
          <w:p>
            <w:pPr>
              <w:spacing w:after="20"/>
            </w:pPr>
            <w:r>
              <w:rPr>
                <w:sz w:val="16"/>
              </w:rPr>
              <w:t>Successful gateway request observed.</w:t>
            </w:r>
          </w:p>
        </w:tc>
      </w:tr>
      <w:tr>
        <w:tc>
          <w:tcPr>
            <w:tcW w:type="dxa" w:w="3408"/>
            <w:shd w:fill="F2F6FA"/>
          </w:tcPr>
          <w:p>
            <w:pPr>
              <w:spacing w:after="20"/>
            </w:pPr>
            <w:r>
              <w:rPr>
                <w:sz w:val="16"/>
              </w:rPr>
              <w:t>Authentication behavior</w:t>
            </w:r>
          </w:p>
        </w:tc>
        <w:tc>
          <w:tcPr>
            <w:tcW w:type="dxa" w:w="3408"/>
            <w:shd w:fill="F2F6FA"/>
          </w:tcPr>
          <w:p>
            <w:pPr>
              <w:spacing w:after="20"/>
            </w:pPr>
            <w:r>
              <w:rPr>
                <w:sz w:val="16"/>
              </w:rPr>
              <w:t>Public endpoint access and rejection of missing/invalid credentials on protected routes.</w:t>
            </w:r>
          </w:p>
        </w:tc>
        <w:tc>
          <w:tcPr>
            <w:tcW w:type="dxa" w:w="3408"/>
            <w:shd w:fill="F2F6FA"/>
          </w:tcPr>
          <w:p>
            <w:pPr>
              <w:spacing w:after="20"/>
            </w:pPr>
            <w:r>
              <w:rPr>
                <w:sz w:val="16"/>
              </w:rPr>
              <w:t>Selected HTTP 200/401 outcomes reported.</w:t>
            </w:r>
          </w:p>
        </w:tc>
      </w:tr>
      <w:tr>
        <w:tc>
          <w:tcPr>
            <w:tcW w:type="dxa" w:w="3408"/>
          </w:tcPr>
          <w:p>
            <w:pPr>
              <w:spacing w:after="20"/>
            </w:pPr>
            <w:r>
              <w:rPr>
                <w:sz w:val="16"/>
              </w:rPr>
              <w:t>Rate limiting</w:t>
            </w:r>
          </w:p>
        </w:tc>
        <w:tc>
          <w:tcPr>
            <w:tcW w:type="dxa" w:w="3408"/>
          </w:tcPr>
          <w:p>
            <w:pPr>
              <w:spacing w:after="20"/>
            </w:pPr>
            <w:r>
              <w:rPr>
                <w:sz w:val="16"/>
              </w:rPr>
              <w:t>Redis-backed counter; limit 100 requests per 60-second window; HTTP 429 after limit.</w:t>
            </w:r>
          </w:p>
        </w:tc>
        <w:tc>
          <w:tcPr>
            <w:tcW w:type="dxa" w:w="3408"/>
          </w:tcPr>
          <w:p>
            <w:pPr>
              <w:spacing w:after="20"/>
            </w:pPr>
            <w:r>
              <w:rPr>
                <w:sz w:val="16"/>
              </w:rPr>
              <w:t>101-iteration Postman run showed 429 on iteration 101.</w:t>
            </w:r>
          </w:p>
        </w:tc>
      </w:tr>
      <w:tr>
        <w:tc>
          <w:tcPr>
            <w:tcW w:type="dxa" w:w="3408"/>
            <w:shd w:fill="F2F6FA"/>
          </w:tcPr>
          <w:p>
            <w:pPr>
              <w:spacing w:after="20"/>
            </w:pPr>
            <w:r>
              <w:rPr>
                <w:sz w:val="16"/>
              </w:rPr>
              <w:t>Rate-limit headers</w:t>
            </w:r>
          </w:p>
        </w:tc>
        <w:tc>
          <w:tcPr>
            <w:tcW w:type="dxa" w:w="3408"/>
            <w:shd w:fill="F2F6FA"/>
          </w:tcPr>
          <w:p>
            <w:pPr>
              <w:spacing w:after="20"/>
            </w:pPr>
            <w:r>
              <w:rPr>
                <w:sz w:val="16"/>
              </w:rPr>
              <w:t>Expose configured limit and remaining count.</w:t>
            </w:r>
          </w:p>
        </w:tc>
        <w:tc>
          <w:tcPr>
            <w:tcW w:type="dxa" w:w="3408"/>
            <w:shd w:fill="F2F6FA"/>
          </w:tcPr>
          <w:p>
            <w:pPr>
              <w:spacing w:after="20"/>
            </w:pPr>
            <w:r>
              <w:rPr>
                <w:sz w:val="16"/>
              </w:rPr>
              <w:t>Headers observed in Postman.</w:t>
            </w:r>
          </w:p>
        </w:tc>
      </w:tr>
      <w:tr>
        <w:tc>
          <w:tcPr>
            <w:tcW w:type="dxa" w:w="3408"/>
          </w:tcPr>
          <w:p>
            <w:pPr>
              <w:spacing w:after="20"/>
            </w:pPr>
            <w:r>
              <w:rPr>
                <w:sz w:val="16"/>
              </w:rPr>
              <w:t>Request tracing</w:t>
            </w:r>
          </w:p>
        </w:tc>
        <w:tc>
          <w:tcPr>
            <w:tcW w:type="dxa" w:w="3408"/>
          </w:tcPr>
          <w:p>
            <w:pPr>
              <w:spacing w:after="20"/>
            </w:pPr>
            <w:r>
              <w:rPr>
                <w:sz w:val="16"/>
              </w:rPr>
              <w:t>Correlation ID and request summary in logs.</w:t>
            </w:r>
          </w:p>
        </w:tc>
        <w:tc>
          <w:tcPr>
            <w:tcW w:type="dxa" w:w="3408"/>
          </w:tcPr>
          <w:p>
            <w:pPr>
              <w:spacing w:after="20"/>
            </w:pPr>
            <w:r>
              <w:rPr>
                <w:sz w:val="16"/>
              </w:rPr>
              <w:t>Header and log entries observed.</w:t>
            </w:r>
          </w:p>
        </w:tc>
      </w:tr>
      <w:tr>
        <w:tc>
          <w:tcPr>
            <w:tcW w:type="dxa" w:w="3408"/>
            <w:shd w:fill="F2F6FA"/>
          </w:tcPr>
          <w:p>
            <w:pPr>
              <w:spacing w:after="20"/>
            </w:pPr>
            <w:r>
              <w:rPr>
                <w:sz w:val="16"/>
              </w:rPr>
              <w:t>Product CRUD</w:t>
            </w:r>
          </w:p>
        </w:tc>
        <w:tc>
          <w:tcPr>
            <w:tcW w:type="dxa" w:w="3408"/>
            <w:shd w:fill="F2F6FA"/>
          </w:tcPr>
          <w:p>
            <w:pPr>
              <w:spacing w:after="20"/>
            </w:pPr>
            <w:r>
              <w:rPr>
                <w:sz w:val="16"/>
              </w:rPr>
              <w:t>Create, read, PUT, PATCH, delete.</w:t>
            </w:r>
          </w:p>
        </w:tc>
        <w:tc>
          <w:tcPr>
            <w:tcW w:type="dxa" w:w="3408"/>
            <w:shd w:fill="F2F6FA"/>
          </w:tcPr>
          <w:p>
            <w:pPr>
              <w:spacing w:after="20"/>
            </w:pPr>
            <w:r>
              <w:rPr>
                <w:sz w:val="16"/>
              </w:rPr>
              <w:t>User reported successful outputs.</w:t>
            </w:r>
          </w:p>
        </w:tc>
      </w:tr>
      <w:tr>
        <w:tc>
          <w:tcPr>
            <w:tcW w:type="dxa" w:w="3408"/>
          </w:tcPr>
          <w:p>
            <w:pPr>
              <w:spacing w:after="20"/>
            </w:pPr>
            <w:r>
              <w:rPr>
                <w:sz w:val="16"/>
              </w:rPr>
              <w:t>Build</w:t>
            </w:r>
          </w:p>
        </w:tc>
        <w:tc>
          <w:tcPr>
            <w:tcW w:type="dxa" w:w="3408"/>
          </w:tcPr>
          <w:p>
            <w:pPr>
              <w:spacing w:after="20"/>
            </w:pPr>
            <w:r>
              <w:rPr>
                <w:sz w:val="16"/>
              </w:rPr>
              <w:t>Compile/package after changes.</w:t>
            </w:r>
          </w:p>
        </w:tc>
        <w:tc>
          <w:tcPr>
            <w:tcW w:type="dxa" w:w="3408"/>
          </w:tcPr>
          <w:p>
            <w:pPr>
              <w:spacing w:after="20"/>
            </w:pPr>
            <w:r>
              <w:rPr>
                <w:sz w:val="16"/>
              </w:rPr>
              <w:t>User reported successful Maven build.</w:t>
            </w:r>
          </w:p>
        </w:tc>
      </w:tr>
    </w:tbl>
    <w:p/>
    <w:p>
      <w:pPr>
        <w:pStyle w:val="Heading1"/>
      </w:pPr>
      <w:r>
        <w:t>3. Architecture and Request Flow</w:t>
      </w:r>
    </w:p>
    <w:tbl>
      <w:tblPr>
        <w:tblStyle w:val="TableGrid"/>
        <w:tblW w:type="auto" w:w="0"/>
        <w:tblLook w:firstColumn="1" w:firstRow="1" w:lastColumn="0" w:lastRow="0" w:noHBand="0" w:noVBand="1" w:val="04A0"/>
      </w:tblPr>
      <w:tblGrid>
        <w:gridCol w:w="3408"/>
        <w:gridCol w:w="3408"/>
        <w:gridCol w:w="3408"/>
      </w:tblGrid>
      <w:tr>
        <w:tc>
          <w:tcPr>
            <w:tcW w:type="dxa" w:w="3408"/>
            <w:shd w:fill="16355C"/>
          </w:tcPr>
          <w:p>
            <w:r>
              <w:rPr>
                <w:b/>
                <w:color w:val="FFFFFF"/>
                <w:sz w:val="16"/>
              </w:rPr>
              <w:t>Component</w:t>
            </w:r>
          </w:p>
        </w:tc>
        <w:tc>
          <w:tcPr>
            <w:tcW w:type="dxa" w:w="3408"/>
            <w:shd w:fill="16355C"/>
          </w:tcPr>
          <w:p>
            <w:r>
              <w:rPr>
                <w:b/>
                <w:color w:val="FFFFFF"/>
                <w:sz w:val="16"/>
              </w:rPr>
              <w:t>Port / role</w:t>
            </w:r>
          </w:p>
        </w:tc>
        <w:tc>
          <w:tcPr>
            <w:tcW w:type="dxa" w:w="3408"/>
            <w:shd w:fill="16355C"/>
          </w:tcPr>
          <w:p>
            <w:r>
              <w:rPr>
                <w:b/>
                <w:color w:val="FFFFFF"/>
                <w:sz w:val="16"/>
              </w:rPr>
              <w:t>Relevance</w:t>
            </w:r>
          </w:p>
        </w:tc>
      </w:tr>
      <w:tr>
        <w:tc>
          <w:tcPr>
            <w:tcW w:type="dxa" w:w="3408"/>
          </w:tcPr>
          <w:p>
            <w:pPr>
              <w:spacing w:after="20"/>
            </w:pPr>
            <w:r>
              <w:rPr>
                <w:sz w:val="16"/>
              </w:rPr>
              <w:t>API Gateway</w:t>
            </w:r>
          </w:p>
        </w:tc>
        <w:tc>
          <w:tcPr>
            <w:tcW w:type="dxa" w:w="3408"/>
          </w:tcPr>
          <w:p>
            <w:pPr>
              <w:spacing w:after="20"/>
            </w:pPr>
            <w:r>
              <w:rPr>
                <w:sz w:val="16"/>
              </w:rPr>
              <w:t>8080</w:t>
            </w:r>
          </w:p>
        </w:tc>
        <w:tc>
          <w:tcPr>
            <w:tcW w:type="dxa" w:w="3408"/>
          </w:tcPr>
          <w:p>
            <w:pPr>
              <w:spacing w:after="20"/>
            </w:pPr>
            <w:r>
              <w:rPr>
                <w:sz w:val="16"/>
              </w:rPr>
              <w:t>Entry point for tested requests; routing, logging, rate limiting.</w:t>
            </w:r>
          </w:p>
        </w:tc>
      </w:tr>
      <w:tr>
        <w:tc>
          <w:tcPr>
            <w:tcW w:type="dxa" w:w="3408"/>
            <w:shd w:fill="F2F6FA"/>
          </w:tcPr>
          <w:p>
            <w:pPr>
              <w:spacing w:after="20"/>
            </w:pPr>
            <w:r>
              <w:rPr>
                <w:sz w:val="16"/>
              </w:rPr>
              <w:t>Product Service</w:t>
            </w:r>
          </w:p>
        </w:tc>
        <w:tc>
          <w:tcPr>
            <w:tcW w:type="dxa" w:w="3408"/>
            <w:shd w:fill="F2F6FA"/>
          </w:tcPr>
          <w:p>
            <w:pPr>
              <w:spacing w:after="20"/>
            </w:pPr>
            <w:r>
              <w:rPr>
                <w:sz w:val="16"/>
              </w:rPr>
              <w:t>8081</w:t>
            </w:r>
          </w:p>
        </w:tc>
        <w:tc>
          <w:tcPr>
            <w:tcW w:type="dxa" w:w="3408"/>
            <w:shd w:fill="F2F6FA"/>
          </w:tcPr>
          <w:p>
            <w:pPr>
              <w:spacing w:after="20"/>
            </w:pPr>
            <w:r>
              <w:rPr>
                <w:sz w:val="16"/>
              </w:rPr>
              <w:t>Product API; validates JWTs in its security filter chain.</w:t>
            </w:r>
          </w:p>
        </w:tc>
      </w:tr>
      <w:tr>
        <w:tc>
          <w:tcPr>
            <w:tcW w:type="dxa" w:w="3408"/>
          </w:tcPr>
          <w:p>
            <w:pPr>
              <w:spacing w:after="20"/>
            </w:pPr>
            <w:r>
              <w:rPr>
                <w:sz w:val="16"/>
              </w:rPr>
              <w:t>Redis</w:t>
            </w:r>
          </w:p>
        </w:tc>
        <w:tc>
          <w:tcPr>
            <w:tcW w:type="dxa" w:w="3408"/>
          </w:tcPr>
          <w:p>
            <w:pPr>
              <w:spacing w:after="20"/>
            </w:pPr>
            <w:r>
              <w:rPr>
                <w:sz w:val="16"/>
              </w:rPr>
              <w:t>6379</w:t>
            </w:r>
          </w:p>
        </w:tc>
        <w:tc>
          <w:tcPr>
            <w:tcW w:type="dxa" w:w="3408"/>
          </w:tcPr>
          <w:p>
            <w:pPr>
              <w:spacing w:after="20"/>
            </w:pPr>
            <w:r>
              <w:rPr>
                <w:sz w:val="16"/>
              </w:rPr>
              <w:t>Backing store accessed through StringRedisTemplate.</w:t>
            </w:r>
          </w:p>
        </w:tc>
      </w:tr>
      <w:tr>
        <w:tc>
          <w:tcPr>
            <w:tcW w:type="dxa" w:w="3408"/>
            <w:shd w:fill="F2F6FA"/>
          </w:tcPr>
          <w:p>
            <w:pPr>
              <w:spacing w:after="20"/>
            </w:pPr>
            <w:r>
              <w:rPr>
                <w:sz w:val="16"/>
              </w:rPr>
              <w:t>MySQL</w:t>
            </w:r>
          </w:p>
        </w:tc>
        <w:tc>
          <w:tcPr>
            <w:tcW w:type="dxa" w:w="3408"/>
            <w:shd w:fill="F2F6FA"/>
          </w:tcPr>
          <w:p>
            <w:pPr>
              <w:spacing w:after="20"/>
            </w:pPr>
            <w:r>
              <w:rPr>
                <w:sz w:val="16"/>
              </w:rPr>
              <w:t>Product data store</w:t>
            </w:r>
          </w:p>
        </w:tc>
        <w:tc>
          <w:tcPr>
            <w:tcW w:type="dxa" w:w="3408"/>
            <w:shd w:fill="F2F6FA"/>
          </w:tcPr>
          <w:p>
            <w:pPr>
              <w:spacing w:after="20"/>
            </w:pPr>
            <w:r>
              <w:rPr>
                <w:sz w:val="16"/>
              </w:rPr>
              <w:t>Product records inspected during troubleshooting.</w:t>
            </w:r>
          </w:p>
        </w:tc>
      </w:tr>
    </w:tbl>
    <w:p/>
    <w:p>
      <w:r>
        <w:t>Observed product request path:</w:t>
      </w:r>
    </w:p>
    <w:p>
      <w:pPr>
        <w:ind w:left="216" w:right="144"/>
        <w:shd w:fill="F0F3F7"/>
      </w:pPr>
      <w:r>
        <w:rPr>
          <w:rFonts w:ascii="Consolas" w:hAnsi="Consolas"/>
          <w:color w:val="23374B"/>
          <w:sz w:val="16"/>
        </w:rPr>
        <w:t>Postman client  -&gt;  API Gateway :8080  -&gt;  Product Service :8081  -&gt;  data store</w:t>
      </w:r>
    </w:p>
    <w:p>
      <w:r>
        <w:t>The gateway URL used in Postman is /api/products/**. The route discussed during testing rewrites this to Product Service's /api/v1/products/** endpoint. Changing the rewrite from a /api/v2/products target to /api/v1/products resolved the public product request through the gateway.</w:t>
      </w:r>
    </w:p>
    <w:p>
      <w:pPr>
        <w:pStyle w:val="Heading1"/>
      </w:pPr>
      <w:r>
        <w:t>4. Implementation Details</w:t>
      </w:r>
    </w:p>
    <w:p>
      <w:pPr>
        <w:pStyle w:val="Heading2"/>
      </w:pPr>
      <w:r>
        <w:t>4.1 Redis-backed rate limiting</w:t>
      </w:r>
    </w:p>
    <w:p>
      <w:r>
        <w:t>The shared RateLimitFilter extends OncePerRequestFilter, is ordered near the beginning of the servlet filter chain, increments a Redis counter, sets a 60-second expiry when a counter is first created, and returns HTTP 429 when the count exceeds 100.</w:t>
      </w:r>
    </w:p>
    <w:p>
      <w:pPr>
        <w:ind w:left="216" w:right="144"/>
        <w:shd w:fill="F0F3F7"/>
      </w:pPr>
      <w:r>
        <w:rPr>
          <w:rFonts w:ascii="Consolas" w:hAnsi="Consolas"/>
          <w:color w:val="23374B"/>
          <w:sz w:val="16"/>
        </w:rPr>
        <w:t>private static final int MAX_REQUESTS = 100;</w:t>
      </w:r>
      <w:r>
        <w:br/>
      </w:r>
      <w:r>
        <w:rPr>
          <w:rFonts w:ascii="Consolas" w:hAnsi="Consolas"/>
          <w:color w:val="23374B"/>
          <w:sz w:val="16"/>
        </w:rPr>
        <w:t>private static final int WINDOW_SECONDS = 60;</w:t>
      </w:r>
      <w:r>
        <w:br/>
      </w:r>
      <w:r>
        <w:rPr>
          <w:rFonts w:ascii="Consolas" w:hAnsi="Consolas"/>
          <w:color w:val="23374B"/>
          <w:sz w:val="16"/>
        </w:rPr>
      </w:r>
      <w:r>
        <w:br/>
      </w:r>
      <w:r>
        <w:rPr>
          <w:rFonts w:ascii="Consolas" w:hAnsi="Consolas"/>
          <w:color w:val="23374B"/>
          <w:sz w:val="16"/>
        </w:rPr>
        <w:t>Long requestCount = redisTemplate.opsForValue().increment(key);</w:t>
      </w:r>
      <w:r>
        <w:br/>
      </w:r>
      <w:r>
        <w:rPr>
          <w:rFonts w:ascii="Consolas" w:hAnsi="Consolas"/>
          <w:color w:val="23374B"/>
          <w:sz w:val="16"/>
        </w:rPr>
      </w:r>
      <w:r>
        <w:br/>
      </w:r>
      <w:r>
        <w:rPr>
          <w:rFonts w:ascii="Consolas" w:hAnsi="Consolas"/>
          <w:color w:val="23374B"/>
          <w:sz w:val="16"/>
        </w:rPr>
        <w:t>if (requestCount != null &amp;&amp; requestCount == 1) {</w:t>
      </w:r>
      <w:r>
        <w:br/>
      </w:r>
      <w:r>
        <w:rPr>
          <w:rFonts w:ascii="Consolas" w:hAnsi="Consolas"/>
          <w:color w:val="23374B"/>
          <w:sz w:val="16"/>
        </w:rPr>
        <w:t xml:space="preserve">    redisTemplate.expire(key, WINDOW_SECONDS, TimeUnit.SECONDS);</w:t>
      </w:r>
      <w:r>
        <w:br/>
      </w:r>
      <w:r>
        <w:rPr>
          <w:rFonts w:ascii="Consolas" w:hAnsi="Consolas"/>
          <w:color w:val="23374B"/>
          <w:sz w:val="16"/>
        </w:rPr>
        <w:t>}</w:t>
      </w:r>
      <w:r>
        <w:br/>
      </w:r>
      <w:r>
        <w:rPr>
          <w:rFonts w:ascii="Consolas" w:hAnsi="Consolas"/>
          <w:color w:val="23374B"/>
          <w:sz w:val="16"/>
        </w:rPr>
      </w:r>
      <w:r>
        <w:br/>
      </w:r>
      <w:r>
        <w:rPr>
          <w:rFonts w:ascii="Consolas" w:hAnsi="Consolas"/>
          <w:color w:val="23374B"/>
          <w:sz w:val="16"/>
        </w:rPr>
        <w:t>if (requestCount != null &amp;&amp; requestCount &gt; MAX_REQUESTS) {</w:t>
      </w:r>
      <w:r>
        <w:br/>
      </w:r>
      <w:r>
        <w:rPr>
          <w:rFonts w:ascii="Consolas" w:hAnsi="Consolas"/>
          <w:color w:val="23374B"/>
          <w:sz w:val="16"/>
        </w:rPr>
        <w:t xml:space="preserve">    response.setStatus(429);</w:t>
      </w:r>
      <w:r>
        <w:br/>
      </w:r>
      <w:r>
        <w:rPr>
          <w:rFonts w:ascii="Consolas" w:hAnsi="Consolas"/>
          <w:color w:val="23374B"/>
          <w:sz w:val="16"/>
        </w:rPr>
        <w:t xml:space="preserve">    response.setContentType("application/json");</w:t>
      </w:r>
      <w:r>
        <w:br/>
      </w:r>
      <w:r>
        <w:rPr>
          <w:rFonts w:ascii="Consolas" w:hAnsi="Consolas"/>
          <w:color w:val="23374B"/>
          <w:sz w:val="16"/>
        </w:rPr>
        <w:t xml:space="preserve">    response.getWriter().write(</w:t>
      </w:r>
      <w:r>
        <w:br/>
      </w:r>
      <w:r>
        <w:rPr>
          <w:rFonts w:ascii="Consolas" w:hAnsi="Consolas"/>
          <w:color w:val="23374B"/>
          <w:sz w:val="16"/>
        </w:rPr>
        <w:t xml:space="preserve">        "{\"error\":\"Too Many Requests\",\"message\":\"Rate limit exceeded. Maximum 100 requests per minute.\",\"status\":\"429\"}"</w:t>
      </w:r>
      <w:r>
        <w:br/>
      </w:r>
      <w:r>
        <w:rPr>
          <w:rFonts w:ascii="Consolas" w:hAnsi="Consolas"/>
          <w:color w:val="23374B"/>
          <w:sz w:val="16"/>
        </w:rPr>
        <w:t xml:space="preserve">    );</w:t>
      </w:r>
      <w:r>
        <w:br/>
      </w:r>
      <w:r>
        <w:rPr>
          <w:rFonts w:ascii="Consolas" w:hAnsi="Consolas"/>
          <w:color w:val="23374B"/>
          <w:sz w:val="16"/>
        </w:rPr>
        <w:t xml:space="preserve">    return;</w:t>
      </w:r>
      <w:r>
        <w:br/>
      </w:r>
      <w:r>
        <w:rPr>
          <w:rFonts w:ascii="Consolas" w:hAnsi="Consolas"/>
          <w:color w:val="23374B"/>
          <w:sz w:val="16"/>
        </w:rPr>
        <w:t>}</w:t>
      </w:r>
    </w:p>
    <w:p>
      <w:r>
        <w:t>The latest filter code shared in the conversation uses request.getRemoteAddr() as the rate-limit identity, rather than trusting the client-supplied X-User-ID header. This can cause users behind the same NAT or proxy to share a bucket; trusted proxy handling should be designed explicitly before deployment.</w:t>
      </w:r>
    </w:p>
    <w:p>
      <w:pPr>
        <w:pStyle w:val="Heading2"/>
      </w:pPr>
      <w:r>
        <w:t>4.2 Rate-limit headers</w:t>
      </w:r>
    </w:p>
    <w:p>
      <w:pPr>
        <w:ind w:left="216" w:right="144"/>
        <w:shd w:fill="F0F3F7"/>
      </w:pPr>
      <w:r>
        <w:rPr>
          <w:rFonts w:ascii="Consolas" w:hAnsi="Consolas"/>
          <w:color w:val="23374B"/>
          <w:sz w:val="16"/>
        </w:rPr>
        <w:t>X-RateLimit-Limit: 100</w:t>
      </w:r>
      <w:r>
        <w:br/>
      </w:r>
      <w:r>
        <w:rPr>
          <w:rFonts w:ascii="Consolas" w:hAnsi="Consolas"/>
          <w:color w:val="23374B"/>
          <w:sz w:val="16"/>
        </w:rPr>
        <w:t>X-RateLimit-Remaining: &lt;remaining count&gt;</w:t>
      </w:r>
    </w:p>
    <w:p>
      <w:r>
        <w:t>Postman showed X-RateLimit-Limit: 100 and decreasing X-RateLimit-Remaining values. The remaining value is calculated from the configured maximum and current counter, bounded at zero.</w:t>
      </w:r>
    </w:p>
    <w:p>
      <w:pPr>
        <w:pStyle w:val="Heading2"/>
      </w:pPr>
      <w:r>
        <w:t>4.3 Authentication and authorization</w:t>
      </w:r>
    </w:p>
    <w:p>
      <w:r>
        <w:t>The Product Service SecurityConfig shared during troubleshooting permits selected public paths, including /api/v1/products/public and /api/v1/auth/**. Product GET requests require authentication, while write methods have role restrictions. The Product Service JWT filter reads Authorization: Bearer, validates the token, extracts the email and role, and creates an authenticated Spring Security context.</w:t>
      </w:r>
    </w:p>
    <w:p>
      <w:r>
        <w:t>The gateway log field 'Authorization header present' indicates only whether the header exists. It does not establish that the gateway independently validates JWT signatures. Product Service JWT validation is supported by the code shared in the conversation; gateway-side JWT validation should only be claimed if its own implementation is verified.</w:t>
      </w:r>
    </w:p>
    <w:p>
      <w:pPr>
        <w:pStyle w:val="Heading2"/>
      </w:pPr>
      <w:r>
        <w:t>4.4 Logging and correlation IDs</w:t>
      </w:r>
    </w:p>
    <w:p>
      <w:r>
        <w:t>Gateway logs shown during testing contain method, URL path, service name, response status, response time, authorization-header presence, and correlation ID. Postman responses included an X-Correlation-Id header. These fields help correlate client responses with gateway logs without needing to log bearer-token contents.</w:t>
      </w:r>
    </w:p>
    <w:p>
      <w:pPr>
        <w:pStyle w:val="Heading1"/>
      </w:pPr>
      <w:r>
        <w:t>5. Verification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6355C"/>
          </w:tcPr>
          <w:p>
            <w:r>
              <w:rPr>
                <w:b/>
                <w:color w:val="FFFFFF"/>
                <w:sz w:val="16"/>
              </w:rPr>
              <w:t>ID</w:t>
            </w:r>
          </w:p>
        </w:tc>
        <w:tc>
          <w:tcPr>
            <w:tcW w:type="dxa" w:w="2556"/>
            <w:shd w:fill="16355C"/>
          </w:tcPr>
          <w:p>
            <w:r>
              <w:rPr>
                <w:b/>
                <w:color w:val="FFFFFF"/>
                <w:sz w:val="16"/>
              </w:rPr>
              <w:t>Test</w:t>
            </w:r>
          </w:p>
        </w:tc>
        <w:tc>
          <w:tcPr>
            <w:tcW w:type="dxa" w:w="2556"/>
            <w:shd w:fill="16355C"/>
          </w:tcPr>
          <w:p>
            <w:r>
              <w:rPr>
                <w:b/>
                <w:color w:val="FFFFFF"/>
                <w:sz w:val="16"/>
              </w:rPr>
              <w:t>Observed result</w:t>
            </w:r>
          </w:p>
        </w:tc>
        <w:tc>
          <w:tcPr>
            <w:tcW w:type="dxa" w:w="2556"/>
            <w:shd w:fill="16355C"/>
          </w:tcPr>
          <w:p>
            <w:r>
              <w:rPr>
                <w:b/>
                <w:color w:val="FFFFFF"/>
                <w:sz w:val="16"/>
              </w:rPr>
              <w:t>Evidence status</w:t>
            </w:r>
          </w:p>
        </w:tc>
      </w:tr>
      <w:tr>
        <w:tc>
          <w:tcPr>
            <w:tcW w:type="dxa" w:w="2556"/>
          </w:tcPr>
          <w:p>
            <w:pPr>
              <w:spacing w:after="20"/>
            </w:pPr>
            <w:r>
              <w:rPr>
                <w:sz w:val="16"/>
              </w:rPr>
              <w:t>T01</w:t>
            </w:r>
          </w:p>
        </w:tc>
        <w:tc>
          <w:tcPr>
            <w:tcW w:type="dxa" w:w="2556"/>
          </w:tcPr>
          <w:p>
            <w:pPr>
              <w:spacing w:after="20"/>
            </w:pPr>
            <w:r>
              <w:rPr>
                <w:sz w:val="16"/>
              </w:rPr>
              <w:t>GET /api/products/public without auth</w:t>
            </w:r>
          </w:p>
        </w:tc>
        <w:tc>
          <w:tcPr>
            <w:tcW w:type="dxa" w:w="2556"/>
          </w:tcPr>
          <w:p>
            <w:pPr>
              <w:spacing w:after="20"/>
            </w:pPr>
            <w:r>
              <w:rPr>
                <w:sz w:val="16"/>
              </w:rPr>
              <w:t>HTTP 200 after route rewrite to /api/v1/products.</w:t>
            </w:r>
          </w:p>
        </w:tc>
        <w:tc>
          <w:tcPr>
            <w:tcW w:type="dxa" w:w="2556"/>
          </w:tcPr>
          <w:p>
            <w:pPr>
              <w:spacing w:after="20"/>
            </w:pPr>
            <w:r>
              <w:rPr>
                <w:sz w:val="16"/>
              </w:rPr>
              <w:t>Reported successful</w:t>
            </w:r>
          </w:p>
        </w:tc>
      </w:tr>
      <w:tr>
        <w:tc>
          <w:tcPr>
            <w:tcW w:type="dxa" w:w="2556"/>
            <w:shd w:fill="F2F6FA"/>
          </w:tcPr>
          <w:p>
            <w:pPr>
              <w:spacing w:after="20"/>
            </w:pPr>
            <w:r>
              <w:rPr>
                <w:sz w:val="16"/>
              </w:rPr>
              <w:t>T02</w:t>
            </w:r>
          </w:p>
        </w:tc>
        <w:tc>
          <w:tcPr>
            <w:tcW w:type="dxa" w:w="2556"/>
            <w:shd w:fill="F2F6FA"/>
          </w:tcPr>
          <w:p>
            <w:pPr>
              <w:spacing w:after="20"/>
            </w:pPr>
            <w:r>
              <w:rPr>
                <w:sz w:val="16"/>
              </w:rPr>
              <w:t>GET /api/products without auth</w:t>
            </w:r>
          </w:p>
        </w:tc>
        <w:tc>
          <w:tcPr>
            <w:tcW w:type="dxa" w:w="2556"/>
            <w:shd w:fill="F2F6FA"/>
          </w:tcPr>
          <w:p>
            <w:pPr>
              <w:spacing w:after="20"/>
            </w:pPr>
            <w:r>
              <w:rPr>
                <w:sz w:val="16"/>
              </w:rPr>
              <w:t>HTTP 401 Unauthorized.</w:t>
            </w:r>
          </w:p>
        </w:tc>
        <w:tc>
          <w:tcPr>
            <w:tcW w:type="dxa" w:w="2556"/>
            <w:shd w:fill="F2F6FA"/>
          </w:tcPr>
          <w:p>
            <w:pPr>
              <w:spacing w:after="20"/>
            </w:pPr>
            <w:r>
              <w:rPr>
                <w:sz w:val="16"/>
              </w:rPr>
              <w:t>Reported successful</w:t>
            </w:r>
          </w:p>
        </w:tc>
      </w:tr>
      <w:tr>
        <w:tc>
          <w:tcPr>
            <w:tcW w:type="dxa" w:w="2556"/>
          </w:tcPr>
          <w:p>
            <w:pPr>
              <w:spacing w:after="20"/>
            </w:pPr>
            <w:r>
              <w:rPr>
                <w:sz w:val="16"/>
              </w:rPr>
              <w:t>T03</w:t>
            </w:r>
          </w:p>
        </w:tc>
        <w:tc>
          <w:tcPr>
            <w:tcW w:type="dxa" w:w="2556"/>
          </w:tcPr>
          <w:p>
            <w:pPr>
              <w:spacing w:after="20"/>
            </w:pPr>
            <w:r>
              <w:rPr>
                <w:sz w:val="16"/>
              </w:rPr>
              <w:t>Protected request with invalid Bearer token</w:t>
            </w:r>
          </w:p>
        </w:tc>
        <w:tc>
          <w:tcPr>
            <w:tcW w:type="dxa" w:w="2556"/>
          </w:tcPr>
          <w:p>
            <w:pPr>
              <w:spacing w:after="20"/>
            </w:pPr>
            <w:r>
              <w:rPr>
                <w:sz w:val="16"/>
              </w:rPr>
              <w:t>HTTP 401 Unauthorized.</w:t>
            </w:r>
          </w:p>
        </w:tc>
        <w:tc>
          <w:tcPr>
            <w:tcW w:type="dxa" w:w="2556"/>
          </w:tcPr>
          <w:p>
            <w:pPr>
              <w:spacing w:after="20"/>
            </w:pPr>
            <w:r>
              <w:rPr>
                <w:sz w:val="16"/>
              </w:rPr>
              <w:t>Reported successful</w:t>
            </w:r>
          </w:p>
        </w:tc>
      </w:tr>
      <w:tr>
        <w:tc>
          <w:tcPr>
            <w:tcW w:type="dxa" w:w="2556"/>
            <w:shd w:fill="F2F6FA"/>
          </w:tcPr>
          <w:p>
            <w:pPr>
              <w:spacing w:after="20"/>
            </w:pPr>
            <w:r>
              <w:rPr>
                <w:sz w:val="16"/>
              </w:rPr>
              <w:t>T04</w:t>
            </w:r>
          </w:p>
        </w:tc>
        <w:tc>
          <w:tcPr>
            <w:tcW w:type="dxa" w:w="2556"/>
            <w:shd w:fill="F2F6FA"/>
          </w:tcPr>
          <w:p>
            <w:pPr>
              <w:spacing w:after="20"/>
            </w:pPr>
            <w:r>
              <w:rPr>
                <w:sz w:val="16"/>
              </w:rPr>
              <w:t>Create product through gateway</w:t>
            </w:r>
          </w:p>
        </w:tc>
        <w:tc>
          <w:tcPr>
            <w:tcW w:type="dxa" w:w="2556"/>
            <w:shd w:fill="F2F6FA"/>
          </w:tcPr>
          <w:p>
            <w:pPr>
              <w:spacing w:after="20"/>
            </w:pPr>
            <w:r>
              <w:rPr>
                <w:sz w:val="16"/>
              </w:rPr>
              <w:t>Product creation succeeded.</w:t>
            </w:r>
          </w:p>
        </w:tc>
        <w:tc>
          <w:tcPr>
            <w:tcW w:type="dxa" w:w="2556"/>
            <w:shd w:fill="F2F6FA"/>
          </w:tcPr>
          <w:p>
            <w:pPr>
              <w:spacing w:after="20"/>
            </w:pPr>
            <w:r>
              <w:rPr>
                <w:sz w:val="16"/>
              </w:rPr>
              <w:t>User confirmed</w:t>
            </w:r>
          </w:p>
        </w:tc>
      </w:tr>
      <w:tr>
        <w:tc>
          <w:tcPr>
            <w:tcW w:type="dxa" w:w="2556"/>
          </w:tcPr>
          <w:p>
            <w:pPr>
              <w:spacing w:after="20"/>
            </w:pPr>
            <w:r>
              <w:rPr>
                <w:sz w:val="16"/>
              </w:rPr>
              <w:t>T05</w:t>
            </w:r>
          </w:p>
        </w:tc>
        <w:tc>
          <w:tcPr>
            <w:tcW w:type="dxa" w:w="2556"/>
          </w:tcPr>
          <w:p>
            <w:pPr>
              <w:spacing w:after="20"/>
            </w:pPr>
            <w:r>
              <w:rPr>
                <w:sz w:val="16"/>
              </w:rPr>
              <w:t>Get paginated product list</w:t>
            </w:r>
          </w:p>
        </w:tc>
        <w:tc>
          <w:tcPr>
            <w:tcW w:type="dxa" w:w="2556"/>
          </w:tcPr>
          <w:p>
            <w:pPr>
              <w:spacing w:after="20"/>
            </w:pPr>
            <w:r>
              <w:rPr>
                <w:sz w:val="16"/>
              </w:rPr>
              <w:t>Data appeared on pages 0 and 1.</w:t>
            </w:r>
          </w:p>
        </w:tc>
        <w:tc>
          <w:tcPr>
            <w:tcW w:type="dxa" w:w="2556"/>
          </w:tcPr>
          <w:p>
            <w:pPr>
              <w:spacing w:after="20"/>
            </w:pPr>
            <w:r>
              <w:rPr>
                <w:sz w:val="16"/>
              </w:rPr>
              <w:t>User confirmed</w:t>
            </w:r>
          </w:p>
        </w:tc>
      </w:tr>
      <w:tr>
        <w:tc>
          <w:tcPr>
            <w:tcW w:type="dxa" w:w="2556"/>
            <w:shd w:fill="F2F6FA"/>
          </w:tcPr>
          <w:p>
            <w:pPr>
              <w:spacing w:after="20"/>
            </w:pPr>
            <w:r>
              <w:rPr>
                <w:sz w:val="16"/>
              </w:rPr>
              <w:t>T06</w:t>
            </w:r>
          </w:p>
        </w:tc>
        <w:tc>
          <w:tcPr>
            <w:tcW w:type="dxa" w:w="2556"/>
            <w:shd w:fill="F2F6FA"/>
          </w:tcPr>
          <w:p>
            <w:pPr>
              <w:spacing w:after="20"/>
            </w:pPr>
            <w:r>
              <w:rPr>
                <w:sz w:val="16"/>
              </w:rPr>
              <w:t>GET /api/products/1 with valid token</w:t>
            </w:r>
          </w:p>
        </w:tc>
        <w:tc>
          <w:tcPr>
            <w:tcW w:type="dxa" w:w="2556"/>
            <w:shd w:fill="F2F6FA"/>
          </w:tcPr>
          <w:p>
            <w:pPr>
              <w:spacing w:after="20"/>
            </w:pPr>
            <w:r>
              <w:rPr>
                <w:sz w:val="16"/>
              </w:rPr>
              <w:t>HTTP 200; JSON included id, name, price, category, createdAt, stock, status.</w:t>
            </w:r>
          </w:p>
        </w:tc>
        <w:tc>
          <w:tcPr>
            <w:tcW w:type="dxa" w:w="2556"/>
            <w:shd w:fill="F2F6FA"/>
          </w:tcPr>
          <w:p>
            <w:pPr>
              <w:spacing w:after="20"/>
            </w:pPr>
            <w:r>
              <w:rPr>
                <w:sz w:val="16"/>
              </w:rPr>
              <w:t>Screenshot evidence</w:t>
            </w:r>
          </w:p>
        </w:tc>
      </w:tr>
      <w:tr>
        <w:tc>
          <w:tcPr>
            <w:tcW w:type="dxa" w:w="2556"/>
          </w:tcPr>
          <w:p>
            <w:pPr>
              <w:spacing w:after="20"/>
            </w:pPr>
            <w:r>
              <w:rPr>
                <w:sz w:val="16"/>
              </w:rPr>
              <w:t>T07</w:t>
            </w:r>
          </w:p>
        </w:tc>
        <w:tc>
          <w:tcPr>
            <w:tcW w:type="dxa" w:w="2556"/>
          </w:tcPr>
          <w:p>
            <w:pPr>
              <w:spacing w:after="20"/>
            </w:pPr>
            <w:r>
              <w:rPr>
                <w:sz w:val="16"/>
              </w:rPr>
              <w:t>PUT and PATCH product</w:t>
            </w:r>
          </w:p>
        </w:tc>
        <w:tc>
          <w:tcPr>
            <w:tcW w:type="dxa" w:w="2556"/>
          </w:tcPr>
          <w:p>
            <w:pPr>
              <w:spacing w:after="20"/>
            </w:pPr>
            <w:r>
              <w:rPr>
                <w:sz w:val="16"/>
              </w:rPr>
              <w:t>Both operations returned expected successful output.</w:t>
            </w:r>
          </w:p>
        </w:tc>
        <w:tc>
          <w:tcPr>
            <w:tcW w:type="dxa" w:w="2556"/>
          </w:tcPr>
          <w:p>
            <w:pPr>
              <w:spacing w:after="20"/>
            </w:pPr>
            <w:r>
              <w:rPr>
                <w:sz w:val="16"/>
              </w:rPr>
              <w:t>User confirmed</w:t>
            </w:r>
          </w:p>
        </w:tc>
      </w:tr>
      <w:tr>
        <w:tc>
          <w:tcPr>
            <w:tcW w:type="dxa" w:w="2556"/>
            <w:shd w:fill="F2F6FA"/>
          </w:tcPr>
          <w:p>
            <w:pPr>
              <w:spacing w:after="20"/>
            </w:pPr>
            <w:r>
              <w:rPr>
                <w:sz w:val="16"/>
              </w:rPr>
              <w:t>T08</w:t>
            </w:r>
          </w:p>
        </w:tc>
        <w:tc>
          <w:tcPr>
            <w:tcW w:type="dxa" w:w="2556"/>
            <w:shd w:fill="F2F6FA"/>
          </w:tcPr>
          <w:p>
            <w:pPr>
              <w:spacing w:after="20"/>
            </w:pPr>
            <w:r>
              <w:rPr>
                <w:sz w:val="16"/>
              </w:rPr>
              <w:t>DELETE product</w:t>
            </w:r>
          </w:p>
        </w:tc>
        <w:tc>
          <w:tcPr>
            <w:tcW w:type="dxa" w:w="2556"/>
            <w:shd w:fill="F2F6FA"/>
          </w:tcPr>
          <w:p>
            <w:pPr>
              <w:spacing w:after="20"/>
            </w:pPr>
            <w:r>
              <w:rPr>
                <w:sz w:val="16"/>
              </w:rPr>
              <w:t>Delete operation returned expected successful output.</w:t>
            </w:r>
          </w:p>
        </w:tc>
        <w:tc>
          <w:tcPr>
            <w:tcW w:type="dxa" w:w="2556"/>
            <w:shd w:fill="F2F6FA"/>
          </w:tcPr>
          <w:p>
            <w:pPr>
              <w:spacing w:after="20"/>
            </w:pPr>
            <w:r>
              <w:rPr>
                <w:sz w:val="16"/>
              </w:rPr>
              <w:t>User confirmed</w:t>
            </w:r>
          </w:p>
        </w:tc>
      </w:tr>
      <w:tr>
        <w:tc>
          <w:tcPr>
            <w:tcW w:type="dxa" w:w="2556"/>
          </w:tcPr>
          <w:p>
            <w:pPr>
              <w:spacing w:after="20"/>
            </w:pPr>
            <w:r>
              <w:rPr>
                <w:sz w:val="16"/>
              </w:rPr>
              <w:t>T09</w:t>
            </w:r>
          </w:p>
        </w:tc>
        <w:tc>
          <w:tcPr>
            <w:tcW w:type="dxa" w:w="2556"/>
          </w:tcPr>
          <w:p>
            <w:pPr>
              <w:spacing w:after="20"/>
            </w:pPr>
            <w:r>
              <w:rPr>
                <w:sz w:val="16"/>
              </w:rPr>
              <w:t>Postman collection runner, 101 iterations</w:t>
            </w:r>
          </w:p>
        </w:tc>
        <w:tc>
          <w:tcPr>
            <w:tcW w:type="dxa" w:w="2556"/>
          </w:tcPr>
          <w:p>
            <w:pPr>
              <w:spacing w:after="20"/>
            </w:pPr>
            <w:r>
              <w:rPr>
                <w:sz w:val="16"/>
              </w:rPr>
              <w:t>Shown iterations 1–100 returned 200; iteration 101 returned 429.</w:t>
            </w:r>
          </w:p>
        </w:tc>
        <w:tc>
          <w:tcPr>
            <w:tcW w:type="dxa" w:w="2556"/>
          </w:tcPr>
          <w:p>
            <w:pPr>
              <w:spacing w:after="20"/>
            </w:pPr>
            <w:r>
              <w:rPr>
                <w:sz w:val="16"/>
              </w:rPr>
              <w:t>Visible run result</w:t>
            </w:r>
          </w:p>
        </w:tc>
      </w:tr>
      <w:tr>
        <w:tc>
          <w:tcPr>
            <w:tcW w:type="dxa" w:w="2556"/>
            <w:shd w:fill="F2F6FA"/>
          </w:tcPr>
          <w:p>
            <w:pPr>
              <w:spacing w:after="20"/>
            </w:pPr>
            <w:r>
              <w:rPr>
                <w:sz w:val="16"/>
              </w:rPr>
              <w:t>T10</w:t>
            </w:r>
          </w:p>
        </w:tc>
        <w:tc>
          <w:tcPr>
            <w:tcW w:type="dxa" w:w="2556"/>
            <w:shd w:fill="F2F6FA"/>
          </w:tcPr>
          <w:p>
            <w:pPr>
              <w:spacing w:after="20"/>
            </w:pPr>
            <w:r>
              <w:rPr>
                <w:sz w:val="16"/>
              </w:rPr>
              <w:t>Inspect response headers</w:t>
            </w:r>
          </w:p>
        </w:tc>
        <w:tc>
          <w:tcPr>
            <w:tcW w:type="dxa" w:w="2556"/>
            <w:shd w:fill="F2F6FA"/>
          </w:tcPr>
          <w:p>
            <w:pPr>
              <w:spacing w:after="20"/>
            </w:pPr>
            <w:r>
              <w:rPr>
                <w:sz w:val="16"/>
              </w:rPr>
              <w:t>Limit 100, remaining count decreased, X-Correlation-Id present.</w:t>
            </w:r>
          </w:p>
        </w:tc>
        <w:tc>
          <w:tcPr>
            <w:tcW w:type="dxa" w:w="2556"/>
            <w:shd w:fill="F2F6FA"/>
          </w:tcPr>
          <w:p>
            <w:pPr>
              <w:spacing w:after="20"/>
            </w:pPr>
            <w:r>
              <w:rPr>
                <w:sz w:val="16"/>
              </w:rPr>
              <w:t>Visible headers</w:t>
            </w:r>
          </w:p>
        </w:tc>
      </w:tr>
      <w:tr>
        <w:tc>
          <w:tcPr>
            <w:tcW w:type="dxa" w:w="2556"/>
          </w:tcPr>
          <w:p>
            <w:pPr>
              <w:spacing w:after="20"/>
            </w:pPr>
            <w:r>
              <w:rPr>
                <w:sz w:val="16"/>
              </w:rPr>
              <w:t>T11</w:t>
            </w:r>
          </w:p>
        </w:tc>
        <w:tc>
          <w:tcPr>
            <w:tcW w:type="dxa" w:w="2556"/>
          </w:tcPr>
          <w:p>
            <w:pPr>
              <w:spacing w:after="20"/>
            </w:pPr>
            <w:r>
              <w:rPr>
                <w:sz w:val="16"/>
              </w:rPr>
              <w:t>Inspect gateway logs</w:t>
            </w:r>
          </w:p>
        </w:tc>
        <w:tc>
          <w:tcPr>
            <w:tcW w:type="dxa" w:w="2556"/>
          </w:tcPr>
          <w:p>
            <w:pPr>
              <w:spacing w:after="20"/>
            </w:pPr>
            <w:r>
              <w:rPr>
                <w:sz w:val="16"/>
              </w:rPr>
              <w:t>Method/path/service/status/duration, auth-header presence and correlation ID visible.</w:t>
            </w:r>
          </w:p>
        </w:tc>
        <w:tc>
          <w:tcPr>
            <w:tcW w:type="dxa" w:w="2556"/>
          </w:tcPr>
          <w:p>
            <w:pPr>
              <w:spacing w:after="20"/>
            </w:pPr>
            <w:r>
              <w:rPr>
                <w:sz w:val="16"/>
              </w:rPr>
              <w:t>Visible logs</w:t>
            </w:r>
          </w:p>
        </w:tc>
      </w:tr>
      <w:tr>
        <w:tc>
          <w:tcPr>
            <w:tcW w:type="dxa" w:w="2556"/>
            <w:shd w:fill="F2F6FA"/>
          </w:tcPr>
          <w:p>
            <w:pPr>
              <w:spacing w:after="20"/>
            </w:pPr>
            <w:r>
              <w:rPr>
                <w:sz w:val="16"/>
              </w:rPr>
              <w:t>T12</w:t>
            </w:r>
          </w:p>
        </w:tc>
        <w:tc>
          <w:tcPr>
            <w:tcW w:type="dxa" w:w="2556"/>
            <w:shd w:fill="F2F6FA"/>
          </w:tcPr>
          <w:p>
            <w:pPr>
              <w:spacing w:after="20"/>
            </w:pPr>
            <w:r>
              <w:rPr>
                <w:sz w:val="16"/>
              </w:rPr>
              <w:t>Maven build</w:t>
            </w:r>
          </w:p>
        </w:tc>
        <w:tc>
          <w:tcPr>
            <w:tcW w:type="dxa" w:w="2556"/>
            <w:shd w:fill="F2F6FA"/>
          </w:tcPr>
          <w:p>
            <w:pPr>
              <w:spacing w:after="20"/>
            </w:pPr>
            <w:r>
              <w:rPr>
                <w:sz w:val="16"/>
              </w:rPr>
              <w:t>Build success reported after correcting dependency setup.</w:t>
            </w:r>
          </w:p>
        </w:tc>
        <w:tc>
          <w:tcPr>
            <w:tcW w:type="dxa" w:w="2556"/>
            <w:shd w:fill="F2F6FA"/>
          </w:tcPr>
          <w:p>
            <w:pPr>
              <w:spacing w:after="20"/>
            </w:pPr>
            <w:r>
              <w:rPr>
                <w:sz w:val="16"/>
              </w:rPr>
              <w:t>User confirmed</w:t>
            </w:r>
          </w:p>
        </w:tc>
      </w:tr>
    </w:tbl>
    <w:p/>
    <w:p>
      <w:r>
        <w:t>These results reflect evidence shared in the conversation. They do not imply that every test was rerun against the exact same final source revision after every subsequent edit.</w:t>
      </w:r>
    </w:p>
    <w:p>
      <w:pPr>
        <w:pStyle w:val="Heading1"/>
      </w:pPr>
      <w:r>
        <w:t>6. Configuration and Endpoint Reference</w:t>
      </w:r>
    </w:p>
    <w:tbl>
      <w:tblPr>
        <w:tblStyle w:val="TableGrid"/>
        <w:tblW w:type="auto" w:w="0"/>
        <w:tblLook w:firstColumn="1" w:firstRow="1" w:lastColumn="0" w:lastRow="0" w:noHBand="0" w:noVBand="1" w:val="04A0"/>
      </w:tblPr>
      <w:tblGrid>
        <w:gridCol w:w="3408"/>
        <w:gridCol w:w="3408"/>
        <w:gridCol w:w="3408"/>
      </w:tblGrid>
      <w:tr>
        <w:tc>
          <w:tcPr>
            <w:tcW w:type="dxa" w:w="3408"/>
            <w:shd w:fill="16355C"/>
          </w:tcPr>
          <w:p>
            <w:r>
              <w:rPr>
                <w:b/>
                <w:color w:val="FFFFFF"/>
                <w:sz w:val="16"/>
              </w:rPr>
              <w:t>Item</w:t>
            </w:r>
          </w:p>
        </w:tc>
        <w:tc>
          <w:tcPr>
            <w:tcW w:type="dxa" w:w="3408"/>
            <w:shd w:fill="16355C"/>
          </w:tcPr>
          <w:p>
            <w:r>
              <w:rPr>
                <w:b/>
                <w:color w:val="FFFFFF"/>
                <w:sz w:val="16"/>
              </w:rPr>
              <w:t>Value</w:t>
            </w:r>
          </w:p>
        </w:tc>
        <w:tc>
          <w:tcPr>
            <w:tcW w:type="dxa" w:w="3408"/>
            <w:shd w:fill="16355C"/>
          </w:tcPr>
          <w:p>
            <w:r>
              <w:rPr>
                <w:b/>
                <w:color w:val="FFFFFF"/>
                <w:sz w:val="16"/>
              </w:rPr>
              <w:t>Notes</w:t>
            </w:r>
          </w:p>
        </w:tc>
      </w:tr>
      <w:tr>
        <w:tc>
          <w:tcPr>
            <w:tcW w:type="dxa" w:w="3408"/>
          </w:tcPr>
          <w:p>
            <w:pPr>
              <w:spacing w:after="20"/>
            </w:pPr>
            <w:r>
              <w:rPr>
                <w:sz w:val="16"/>
              </w:rPr>
              <w:t>Gateway base URL</w:t>
            </w:r>
          </w:p>
        </w:tc>
        <w:tc>
          <w:tcPr>
            <w:tcW w:type="dxa" w:w="3408"/>
          </w:tcPr>
          <w:p>
            <w:pPr>
              <w:spacing w:after="20"/>
            </w:pPr>
            <w:r>
              <w:rPr>
                <w:sz w:val="16"/>
              </w:rPr>
              <w:t>http://localhost:8080</w:t>
            </w:r>
          </w:p>
        </w:tc>
        <w:tc>
          <w:tcPr>
            <w:tcW w:type="dxa" w:w="3408"/>
          </w:tcPr>
          <w:p>
            <w:pPr>
              <w:spacing w:after="20"/>
            </w:pPr>
            <w:r>
              <w:rPr>
                <w:sz w:val="16"/>
              </w:rPr>
              <w:t>External URL used in Postman.</w:t>
            </w:r>
          </w:p>
        </w:tc>
      </w:tr>
      <w:tr>
        <w:tc>
          <w:tcPr>
            <w:tcW w:type="dxa" w:w="3408"/>
            <w:shd w:fill="F2F6FA"/>
          </w:tcPr>
          <w:p>
            <w:pPr>
              <w:spacing w:after="20"/>
            </w:pPr>
            <w:r>
              <w:rPr>
                <w:sz w:val="16"/>
              </w:rPr>
              <w:t>Product Service</w:t>
            </w:r>
          </w:p>
        </w:tc>
        <w:tc>
          <w:tcPr>
            <w:tcW w:type="dxa" w:w="3408"/>
            <w:shd w:fill="F2F6FA"/>
          </w:tcPr>
          <w:p>
            <w:pPr>
              <w:spacing w:after="20"/>
            </w:pPr>
            <w:r>
              <w:rPr>
                <w:sz w:val="16"/>
              </w:rPr>
              <w:t>http://localhost:8081</w:t>
            </w:r>
          </w:p>
        </w:tc>
        <w:tc>
          <w:tcPr>
            <w:tcW w:type="dxa" w:w="3408"/>
            <w:shd w:fill="F2F6FA"/>
          </w:tcPr>
          <w:p>
            <w:pPr>
              <w:spacing w:after="20"/>
            </w:pPr>
            <w:r>
              <w:rPr>
                <w:sz w:val="16"/>
              </w:rPr>
              <w:t>Backend service.</w:t>
            </w:r>
          </w:p>
        </w:tc>
      </w:tr>
      <w:tr>
        <w:tc>
          <w:tcPr>
            <w:tcW w:type="dxa" w:w="3408"/>
          </w:tcPr>
          <w:p>
            <w:pPr>
              <w:spacing w:after="20"/>
            </w:pPr>
            <w:r>
              <w:rPr>
                <w:sz w:val="16"/>
              </w:rPr>
              <w:t>Gateway product route</w:t>
            </w:r>
          </w:p>
        </w:tc>
        <w:tc>
          <w:tcPr>
            <w:tcW w:type="dxa" w:w="3408"/>
          </w:tcPr>
          <w:p>
            <w:pPr>
              <w:spacing w:after="20"/>
            </w:pPr>
            <w:r>
              <w:rPr>
                <w:sz w:val="16"/>
              </w:rPr>
              <w:t>/api/products/**</w:t>
            </w:r>
          </w:p>
        </w:tc>
        <w:tc>
          <w:tcPr>
            <w:tcW w:type="dxa" w:w="3408"/>
          </w:tcPr>
          <w:p>
            <w:pPr>
              <w:spacing w:after="20"/>
            </w:pPr>
            <w:r>
              <w:rPr>
                <w:sz w:val="16"/>
              </w:rPr>
              <w:t>Rewritten to /api/v1/products/**.</w:t>
            </w:r>
          </w:p>
        </w:tc>
      </w:tr>
      <w:tr>
        <w:tc>
          <w:tcPr>
            <w:tcW w:type="dxa" w:w="3408"/>
            <w:shd w:fill="F2F6FA"/>
          </w:tcPr>
          <w:p>
            <w:pPr>
              <w:spacing w:after="20"/>
            </w:pPr>
            <w:r>
              <w:rPr>
                <w:sz w:val="16"/>
              </w:rPr>
              <w:t>Public endpoint</w:t>
            </w:r>
          </w:p>
        </w:tc>
        <w:tc>
          <w:tcPr>
            <w:tcW w:type="dxa" w:w="3408"/>
            <w:shd w:fill="F2F6FA"/>
          </w:tcPr>
          <w:p>
            <w:pPr>
              <w:spacing w:after="20"/>
            </w:pPr>
            <w:r>
              <w:rPr>
                <w:sz w:val="16"/>
              </w:rPr>
              <w:t>GET /api/products/public</w:t>
            </w:r>
          </w:p>
        </w:tc>
        <w:tc>
          <w:tcPr>
            <w:tcW w:type="dxa" w:w="3408"/>
            <w:shd w:fill="F2F6FA"/>
          </w:tcPr>
          <w:p>
            <w:pPr>
              <w:spacing w:after="20"/>
            </w:pPr>
            <w:r>
              <w:rPr>
                <w:sz w:val="16"/>
              </w:rPr>
              <w:t>Worked without authentication.</w:t>
            </w:r>
          </w:p>
        </w:tc>
      </w:tr>
      <w:tr>
        <w:tc>
          <w:tcPr>
            <w:tcW w:type="dxa" w:w="3408"/>
          </w:tcPr>
          <w:p>
            <w:pPr>
              <w:spacing w:after="20"/>
            </w:pPr>
            <w:r>
              <w:rPr>
                <w:sz w:val="16"/>
              </w:rPr>
              <w:t>Protected list endpoint</w:t>
            </w:r>
          </w:p>
        </w:tc>
        <w:tc>
          <w:tcPr>
            <w:tcW w:type="dxa" w:w="3408"/>
          </w:tcPr>
          <w:p>
            <w:pPr>
              <w:spacing w:after="20"/>
            </w:pPr>
            <w:r>
              <w:rPr>
                <w:sz w:val="16"/>
              </w:rPr>
              <w:t>GET /api/products</w:t>
            </w:r>
          </w:p>
        </w:tc>
        <w:tc>
          <w:tcPr>
            <w:tcW w:type="dxa" w:w="3408"/>
          </w:tcPr>
          <w:p>
            <w:pPr>
              <w:spacing w:after="20"/>
            </w:pPr>
            <w:r>
              <w:rPr>
                <w:sz w:val="16"/>
              </w:rPr>
              <w:t>Requires valid Bearer token.</w:t>
            </w:r>
          </w:p>
        </w:tc>
      </w:tr>
      <w:tr>
        <w:tc>
          <w:tcPr>
            <w:tcW w:type="dxa" w:w="3408"/>
            <w:shd w:fill="F2F6FA"/>
          </w:tcPr>
          <w:p>
            <w:pPr>
              <w:spacing w:after="20"/>
            </w:pPr>
            <w:r>
              <w:rPr>
                <w:sz w:val="16"/>
              </w:rPr>
              <w:t>Rate-limit threshold</w:t>
            </w:r>
          </w:p>
        </w:tc>
        <w:tc>
          <w:tcPr>
            <w:tcW w:type="dxa" w:w="3408"/>
            <w:shd w:fill="F2F6FA"/>
          </w:tcPr>
          <w:p>
            <w:pPr>
              <w:spacing w:after="20"/>
            </w:pPr>
            <w:r>
              <w:rPr>
                <w:sz w:val="16"/>
              </w:rPr>
              <w:t>100 requests / 60 seconds</w:t>
            </w:r>
          </w:p>
        </w:tc>
        <w:tc>
          <w:tcPr>
            <w:tcW w:type="dxa" w:w="3408"/>
            <w:shd w:fill="F2F6FA"/>
          </w:tcPr>
          <w:p>
            <w:pPr>
              <w:spacing w:after="20"/>
            </w:pPr>
            <w:r>
              <w:rPr>
                <w:sz w:val="16"/>
              </w:rPr>
              <w:t>Counter stored in Redis.</w:t>
            </w:r>
          </w:p>
        </w:tc>
      </w:tr>
      <w:tr>
        <w:tc>
          <w:tcPr>
            <w:tcW w:type="dxa" w:w="3408"/>
          </w:tcPr>
          <w:p>
            <w:pPr>
              <w:spacing w:after="20"/>
            </w:pPr>
            <w:r>
              <w:rPr>
                <w:sz w:val="16"/>
              </w:rPr>
              <w:t>Rate-limit key</w:t>
            </w:r>
          </w:p>
        </w:tc>
        <w:tc>
          <w:tcPr>
            <w:tcW w:type="dxa" w:w="3408"/>
          </w:tcPr>
          <w:p>
            <w:pPr>
              <w:spacing w:after="20"/>
            </w:pPr>
            <w:r>
              <w:rPr>
                <w:sz w:val="16"/>
              </w:rPr>
              <w:t>rate_limit:user:&lt;remote-address&gt;</w:t>
            </w:r>
          </w:p>
        </w:tc>
        <w:tc>
          <w:tcPr>
            <w:tcW w:type="dxa" w:w="3408"/>
          </w:tcPr>
          <w:p>
            <w:pPr>
              <w:spacing w:after="20"/>
            </w:pPr>
            <w:r>
              <w:rPr>
                <w:sz w:val="16"/>
              </w:rPr>
              <w:t>Based on latest filter code shared.</w:t>
            </w:r>
          </w:p>
        </w:tc>
      </w:tr>
      <w:tr>
        <w:tc>
          <w:tcPr>
            <w:tcW w:type="dxa" w:w="3408"/>
            <w:shd w:fill="F2F6FA"/>
          </w:tcPr>
          <w:p>
            <w:pPr>
              <w:spacing w:after="20"/>
            </w:pPr>
            <w:r>
              <w:rPr>
                <w:sz w:val="16"/>
              </w:rPr>
              <w:t>Redis</w:t>
            </w:r>
          </w:p>
        </w:tc>
        <w:tc>
          <w:tcPr>
            <w:tcW w:type="dxa" w:w="3408"/>
            <w:shd w:fill="F2F6FA"/>
          </w:tcPr>
          <w:p>
            <w:pPr>
              <w:spacing w:after="20"/>
            </w:pPr>
            <w:r>
              <w:rPr>
                <w:sz w:val="16"/>
              </w:rPr>
              <w:t>localhost:6379</w:t>
            </w:r>
          </w:p>
        </w:tc>
        <w:tc>
          <w:tcPr>
            <w:tcW w:type="dxa" w:w="3408"/>
            <w:shd w:fill="F2F6FA"/>
          </w:tcPr>
          <w:p>
            <w:pPr>
              <w:spacing w:after="20"/>
            </w:pPr>
            <w:r>
              <w:rPr>
                <w:sz w:val="16"/>
              </w:rPr>
              <w:t>Configured project setup.</w:t>
            </w:r>
          </w:p>
        </w:tc>
      </w:tr>
    </w:tbl>
    <w:p/>
    <w:p>
      <w:pPr>
        <w:pStyle w:val="Heading1"/>
      </w:pPr>
      <w:r>
        <w:t>7. Production-Hardening Recommendations</w:t>
      </w:r>
    </w:p>
    <w:p>
      <w:r>
        <w:t>These are recommendations for follow-up; they are not represented as completed implementation:</w:t>
      </w:r>
    </w:p>
    <w:p>
      <w:pPr>
        <w:pStyle w:val="ListBullet"/>
      </w:pPr>
      <w:r>
        <w:t>Avoid logging JWT contents, secrets, or sensitive personal data. Retain safe metadata such as header presence and correlation ID.</w:t>
      </w:r>
    </w:p>
    <w:p>
      <w:pPr>
        <w:pStyle w:val="ListBullet"/>
      </w:pPr>
      <w:r>
        <w:t>Consider making Redis increment and expiry atomic (for example, with a Lua script) so an error between INCR and EXPIRE cannot leave a counter without expiry.</w:t>
      </w:r>
    </w:p>
    <w:p>
      <w:pPr>
        <w:pStyle w:val="ListBullet"/>
      </w:pPr>
      <w:r>
        <w:t>Decide whether rate limiting should be per IP, authenticated user, API key, or a combination. Do not trust arbitrary X-User-ID values unless identity is verified by trusted middleware.</w:t>
      </w:r>
    </w:p>
    <w:p>
      <w:pPr>
        <w:pStyle w:val="ListBullet"/>
      </w:pPr>
      <w:r>
        <w:t>If deployed behind a reverse proxy, configure trusted proxy handling before using forwarded IP headers; do not blindly trust client-supplied X-Forwarded-For.</w:t>
      </w:r>
    </w:p>
    <w:p>
      <w:pPr>
        <w:pStyle w:val="ListBullet"/>
      </w:pPr>
      <w:r>
        <w:t>Standardize 401, 403, 404, 429, and downstream-service error bodies, including content type and correlation ID where appropriate.</w:t>
      </w:r>
    </w:p>
    <w:p>
      <w:pPr>
        <w:pStyle w:val="ListBullet"/>
      </w:pPr>
      <w:r>
        <w:t>Test behavior when Redis is unavailable, under concurrent requests, with multiple gateway instances, and after a rate-limit window expires.</w:t>
      </w:r>
    </w:p>
    <w:p>
      <w:pPr>
        <w:pStyle w:val="ListBullet"/>
      </w:pPr>
      <w:r>
        <w:t>Verify gateway-level JWT validation separately from Product Service validation. Forwarding Authorization is not equivalent to gateway authentication.</w:t>
      </w:r>
    </w:p>
    <w:p>
      <w:pPr>
        <w:pStyle w:val="ListBullet"/>
      </w:pPr>
      <w:r>
        <w:t>Review dependency compatibility separately. The incorrect tools.jackson.datatype dependency caused Maven resolution failure during troubleshooting; the user later reported build success after restoring the dependency setup.</w:t>
      </w:r>
    </w:p>
    <w:p>
      <w:pPr>
        <w:pStyle w:val="Heading1"/>
      </w:pPr>
      <w:r>
        <w:t>8. Conclusion</w:t>
      </w:r>
    </w:p>
    <w:p>
      <w:r>
        <w:t>The evidence shared demonstrates gateway routing to Product Service, public versus protected endpoint behavior, product CRUD requests, Redis-backed rate limiting including HTTP 429, rate-limit headers, correlation-ID logging, and a successful Maven build. The next step is production hardening and a repeatable automated test suite against the final source revision.</w:t>
      </w:r>
    </w:p>
    <w:p>
      <w:pPr>
        <w:pStyle w:val="Heading1"/>
      </w:pPr>
      <w:r>
        <w:t>Appendix A — Repeatable Smoke-test Checklist</w:t>
      </w:r>
    </w:p>
    <w:p>
      <w:pPr>
        <w:pStyle w:val="ListBullet"/>
      </w:pPr>
      <w:r>
        <w:t>Confirm Redis and required services are running.</w:t>
      </w:r>
    </w:p>
    <w:p>
      <w:pPr>
        <w:pStyle w:val="ListBullet"/>
      </w:pPr>
      <w:r>
        <w:t>Call the public product endpoint without Authorization; verify HTTP 200.</w:t>
      </w:r>
    </w:p>
    <w:p>
      <w:pPr>
        <w:pStyle w:val="ListBullet"/>
      </w:pPr>
      <w:r>
        <w:t>Call a protected endpoint without Authorization; verify HTTP 401.</w:t>
      </w:r>
    </w:p>
    <w:p>
      <w:pPr>
        <w:pStyle w:val="ListBullet"/>
      </w:pPr>
      <w:r>
        <w:t>Call a protected endpoint with an invalid token; verify HTTP 401.</w:t>
      </w:r>
    </w:p>
    <w:p>
      <w:pPr>
        <w:pStyle w:val="ListBullet"/>
      </w:pPr>
      <w:r>
        <w:t>Call a protected endpoint with a valid token; verify the expected response.</w:t>
      </w:r>
    </w:p>
    <w:p>
      <w:pPr>
        <w:pStyle w:val="ListBullet"/>
      </w:pPr>
      <w:r>
        <w:t>Exercise create, read, PUT, PATCH, and DELETE using a test product and appropriate role.</w:t>
      </w:r>
    </w:p>
    <w:p>
      <w:pPr>
        <w:pStyle w:val="ListBullet"/>
      </w:pPr>
      <w:r>
        <w:t>Verify X-RateLimit-Limit, X-RateLimit-Remaining, and X-Correlation-Id headers.</w:t>
      </w:r>
    </w:p>
    <w:p>
      <w:pPr>
        <w:pStyle w:val="ListBullet"/>
      </w:pPr>
      <w:r>
        <w:t>Run 101 requests inside the configured 60-second window; verify the over-limit request returns HTTP 429.</w:t>
      </w:r>
    </w:p>
    <w:p>
      <w:pPr>
        <w:pStyle w:val="ListBullet"/>
      </w:pPr>
      <w:r>
        <w:t>Match a response correlation ID to the corresponding gateway log.</w:t>
      </w:r>
    </w:p>
    <w:p>
      <w:pPr>
        <w:pStyle w:val="ListBullet"/>
      </w:pPr>
      <w:r>
        <w:t>Run .\mvnw.cmd clean install in the relevant service directory and record the result.</w:t>
      </w:r>
    </w:p>
    <w:p>
      <w:pPr>
        <w:jc w:val="center"/>
      </w:pPr>
      <w:r>
        <w:rPr>
          <w:i/>
          <w:color w:val="647382"/>
        </w:rPr>
        <w:t>End of report</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Jira Task 02 • API Gateway Security &amp; Request Policies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E82"/>
        <w:sz w:val="16"/>
      </w:rPr>
      <w:t>BLACKROTH MICROSERVICES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5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C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5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