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Mapping of Right to Information Authorities: Expanding the Digital Navigator Framework for Madhya Pradesh and India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Framework and Digital Navigation Ontology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Right to Information Act, 2005, stands as a cornerstone of Indian administrative transparency, transforming the historically opaque relationship between the state and the citizenry into one defined by statutory accountability. Section 2(h) of the Act meticulously defines a "public authority" as any authority, body, or institution of self-government established or constituted by or under the Constitution, by Parliament, by a State Legislature, or by an order made by the appropriate Government. This encompassing definition yields a highly decentralized and phenomenally complex matrix of central, state, and local administrative units.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digital platforms navigating this sprawling ecosystem, accurately identifying the precise Central Public Information Officer (CPIO), State Public Information Officer (SPIO), or First Appellate Authority (FAA) is an intricate challenge. Section 6(1) of the Act dictates that an applicant must direct their request to the designated PIO of the concerned public authority. While Section 6(3) requires a public authority to transfer misdirected applications to the correct authority within five days, real-world execution frequently results in bureaucratic friction, severe delays, and summary rejections.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Constructing a programmatic Right to Information navigator requires a structured database utilizing nested JSON architectures to route user queries based on precise semantic keyword mapping. The foundational schema must incorporate unique identifiers, domain classifications, semantic keyword arrays, authority nomenclature, exact PIO and FAA designations, physical filing addresses, verification URLs, jurisdictional levels (central versus state), operational notes, and respective ministries. This structural rigor ensures that citizen intent is programmatically aligned with the correct node in the governmental hierarchy.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scale this navigator for nationwide efficacy while providing hyper-local granularity for the State of Madhya Pradesh and the Gwalior district, the foundational ontological database requires systematic expansion. The expansion must carefully delineate between macroeconomic regulatory bodies, localized public sector banking networks, state-level infrastructural entities, and municipal administration. Furthermore, integrating the jurisprudential realities regarding the evidentiary value of documents procured through this navigator framework is essential for establishing the platform as a robust legal-tech architecture.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Taxonomic Analysis of the Foundational Schema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expanding the navigator's database, it is imperative to analyze the foundational ontology already established within the system. The baseline architecture effectively categorizes highly utilized public services across both central and state jurisdictions. This foundational mapping serves as the structural template for all subsequent expansions.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Employees Provident Fund Organisation operates exclusively within the central domain, functioning under the Ministry of Labour and Employment. The navigator correctly segments this massive entity into distinct operational domains: pensions and provident funds. Queries concerning pension sanctions, family pensions, and superannuation are directed to the regional EPFO office handling the specific pension payment order, whereas queries involving provident fund withdrawals, claim rejections, and Universal Account Number tracking are isolated into a separate processing logic. This bifurcation is critical because the internal administrative handling of pension disbursements versus provident fund settlements involves different statutory timelines and distinct appellate mechanisms at the regional level.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State-level subjects demonstrate extreme jurisdictional variability. Land records, governed by the revenue departments of individual states, require the navigator to route queries dynamically based on the applicant's district. The terminology for land records is heavily localized, necessitating keyword clusters that include terms such as mutation, Jamabandi, Khasra, Khatauni, and Satbara. These applications must reach the Public Information Officer at the District Revenue Department or the Office of the Tehsildar. Similarly, policing is a state subject. The navigator directs queries regarding First Information Report copies, investigation status, and case diaries to the District Police Headquarters, with the critical caveat that case diary access is highly restricted under Section 8(1)(h) of the Act while an investigation is ongoing.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Civic infrastructure and welfare schemes form the largest volume of citizen inquiries. State boards of secondary education handle evaluated answer sheets and migration certificates, with disclosure mandates heavily influenced by Supreme Court precedents affirming the right of students to access their evaluated scripts. The Public Distribution System, managed by state departments of Food, Civil Supplies, and Consumer Affairs, covers ration cards and fair price shop allocations. State electricity distribution companies (DISCOMs) manage power supply and billing anomalies, while municipal corporations oversee urban birth and death certificates, property taxes, and local civil works. Water supply and sewerage boards, which are often integrated into municipal corporations or function as separate parastatals, address localized water shortages and billing.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welfare pensions, distinct from the contributory EPFO framework, involve non-contributory state schemes for widows, the elderly, and persons with disabilities, routed to district social welfare offices. The Mahatma Gandhi National Rural Employment Guarantee Act involves proactive disclosure mandates, with job cards and muster rolls managed by the District Rural Development Agency or Block Development Office. At the absolute grassroots level, the Gram Panchayat handles village development funds, with the Panchayat Secretary acting as the Public Information Officer.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Federal financial and transportation logistics are similarly vast. The Income Tax Department, under the Ministry of Finance, operates a bifurcated system where central processing matters like refunds are directed to the Centralized Processing Center in Bengaluru, while specific assessment orders remain with the jurisdictional Assessing Officer. Regional Transport Offices handle driving licenses and vehicle registrations under state transport departments. Public Sector Banks receive queries concerning loan rejections and frozen accounts, routed to zonal or regional general managers. The Indian Railways, under the Ministry of Railways, divides its responsibilities between the Indian Railway Catering and Tourism Corporation for e-ticketing and zonal divisional managers for station operations and recruitment. Regional Passport Offices, under the Ministry of External Affairs, manage passport delays, though police verifications remain with the state police apparatus. Finally, state-level housing boards handle plot allotments and possession delays, while district collectorates manage the implementation of Member of Parliament and Member of Legislative Assembly local area development funds.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foundational schema perfectly illustrates the necessity of isolating the domain, the jurisdictional level, and the precise filing address. Building upon this, the navigator must integrate specialized entities that handle macroeconomic regulation, state-level utility provisioning, and localized urban development.</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Expansion Vector I: Central Macroeconomic and Regulatory Authorities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central government infrastructure extends far beyond standard ministries, encompassing independent statutory regulators, central public sector enterprises, and national financial institutions. Expanding the navigator's central database requires capturing key regulatory, banking, and postal entities that command significant national and regional authority.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Reserve Bank of India functions as the supreme monetary authority. The Reserve Bank operates a highly decentralized CPIO network, a structural reality that the navigator must accommodate. RTI applications pertaining to systemic regulatory policies, macroeconomic data, currency circulation guidelines, and broad operational mandates are managed by the Nodal CPIO situated at the Central Office within the Human Resources Management Department in Mumbai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Reserve Bank also functions as an appellate and regulatory mechanism for individual citizen grievances against commercial banks. Ombudsman-related queries, processed under the Reserve Bank Integrated Ombudsman Scheme, are routed geographically to specific regional offices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First Appellate Authority for Ombudsman offices in the West Zone is located at the Reserve Bank Byculla Office Building in Mumbai, while the New Delhi Ombudsman operates from Sansad Marg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navigator's ontology must abstract this complexity by providing the central nodal address for policy queries while explicitly noting the decentralized, zone-specific nature of ombudsman interventions within the operational notes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as wholly-owned subsidiaries of the Reserve Bank of India, the Deposit Insurance and Credit Guarantee Corporation and the Bharatiya Reserve Bank Note Mudran Private Limited function as independent public authorities under the Right to Information Act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Deposit Insurance and Credit Guarantee Corporation is fundamentally responsible for protecting the insured deposits of citizens in the event of a commercial or cooperative bank failure or liquidation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Citizens tracking the status of their insured deposits during a bank collapse must direct their RTI applications to the designated Central Public Information Officer located at the Reserve Bank of India Building opposite the Mumbai Central Railway Station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appellate mechanism strictly terminates with the Chief General Manager of the Corporation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Bharatiya Reserve Bank Note Mudran Private Limited is responsible for the highly secure printing of currency notes. This entity maintains its corporate headquarters in Bengaluru, managing strategic operations, while press-specific Assistant Public Information Officers are located at facilities such as the Salboni Press in West Bengal and the Mysuru Press in Karnataka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Due to the hyper-sensitive nature of currency production, a significant portion of information requested from this entity may invoke exemption clauses under Section 8(1)(a) of the RTI Act regarding the security and economic interests of the state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Sector Banks operate independently of the Reserve Bank regarding their internal administrative actions, customer-specific operational data, and localized branch management. While the foundational schema includes a generalized template for these banks, mapping specific zonal or regional headquarters drastically enhances routing precision. The Central Bank of India, for instance, designates Regional Heads as Central Public Information Officers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For applicants within the Gwalior jurisdiction, queries regarding non-performing asset classifications, foreclosure proceedings, and account freezes must be directed to the Regional Office located at Krishna Motors, Sakhia Vilas, Jhansi Road, Gwalior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Conversely, Indian Bank maintains a centralized approach for initial applications, with its Head Office CPIO situated at Rajaji Salai in Chennai</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Department of Posts, operating under the Ministry of Communications, represents an unparalleled logistical network. The department manages a vast array of services including Speed Post tracking, registered post deliveries, Postal Life Insurance policies, and the Post Office Savings Bank</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Structurally, RTI requests are handled at the localized divisional level by the Senior Superintendent of Post Offices or the Superintendent of Post Offices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Escalations and first appeals are subsequently directed to the Director of Postal Services or the Chief Postmaster General of the respective postal circle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Data Mapping: Central Authority Extensions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delineates the routing parameters, structural hierarchies, and filing architectures required to integrate these central macroeconomic entities into the JSON database.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Authority Identifier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Semantic Keyword Cluster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CPIO Designation &amp; Filing Node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First Appellate Authority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reserve-bank-of-india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Banking Regulation &amp; Macroeconomics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rbi, repo rate, ombudsman, monetary policy, bank license, forex</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CPIO, HRMD, RBI Central Office, Shahid Bhagat Singh Marg, Mumbai</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Executive Director (HRMD), Reserve Bank of India</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dicgc-insurance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Deposit Insurance &amp; Liquidation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dicgc, deposit insurance, bank liquidation, bank failure</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CPIO, DICGC, Opp. Mumbai Central Railway Station, Mumbai</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Chief General Manager, DICGC</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brbnmpl-currency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Currency Printing Operations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brbnmpl, note mudran, currency printing, mint, salboni press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General Manager, Corporate Office, BTM Layout, Bengaluru</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Chief General Manager, BRBNMPL Corporate Office</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central-bank-of-india-mp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Sector Banking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central bank of india, cbi bank, loan account, npa, foreclosure</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Regional Head, Central Bank of India, Jhansi Road, Gwalior</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Zonal Manager, Central Bank of India</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indian-bank-central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Sector Banking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indian bank, savings account, loan default, branch manager</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CPIO, Head Office, Rajaji Salai, Chennai</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General Manager, Indian Bank Head Office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department-of-posts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Postal Services &amp; Savings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speed post, tracking, postal life insurance, money order</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Senior Superintendent of Post Offices (Divisional Level)</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Director of Postal Services / Chief Postmaster General</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Synthesized JSON Integration for Central Authorities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"reserve-bank-of-india"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"domain"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"banking_regulation"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"keywords"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"rbi"</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"repo rate"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"banking ombudsman"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"monetary policy"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"bank license"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"forex regulation"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"currency circulation"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"bank complaint"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"rbi guidelines"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"authorityName"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"Reserve Bank of India (RBI)"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"pioDesignation"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"Central Public Information Officer / Deputy General Manager, Human Resources Management Department"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"appellateAuthority"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"First Appellate Authority, Executive Director (HRMD), Reserve Bank of India"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"filingAddress"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"Reserve Bank of India, Central Office Building, Shahid Bhagat Singh Marg, Fort, Mumbai - 400001"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"verifyAt"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"https://www.rbi.org.in/Scripts/Righttoinfoact.aspx"</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"central"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"notes"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"Queries regarding individual accounts in private banks should be directed to the RBI Banking Ombudsman geographically. Systemic macroeconomic policy queries route directly to the Central Office in Mumbai."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"ministry"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"Ministry of Finance"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"dicgc-insurance"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"domain"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"banking_insurance"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"keywords"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"dicgc"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"deposit insurance"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"bank liquidation"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"bank failure"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"insured deposits"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"credit guarantee"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"authorityName"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"Deposit Insurance and Credit Guarantee Corporation (DICGC)"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"pioDesignation"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"Central Public Information Officer, DICGC"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"appellateAuthority"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"First Appellate Authority / Chief General Manager, DICGC"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"filingAddress"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"Reserve Bank of India Building (2nd Floor), Opp. Mumbai Central Railway Station, Byculla, Mumbai - 400008"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"verifyAt"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"https://www.dicgc.org.in/RTI"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"central"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"notes"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"DICGC is a wholly-owned subsidiary of the RBI. Utilized exclusively for queries regarding insurance coverage of bank deposits in the event of a commercial bank's structural collapse."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"ministry"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"Ministry of Finance"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"brbnmpl-currency"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"domain"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"currency_printing"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"keywords"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"brbnmpl"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"note mudran"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"currency printing"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"banknote"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"salboni press"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"mysuru press"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"authorityName"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"Bharatiya Reserve Bank Note Mudran Private Limited (BRBNMPL)"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"pioDesignation"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"Central Public Information Officer / General Manager"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"appellateAuthority"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"First Appellate Authority / Chief General Manager"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"filingAddress"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"Corporate Office, No. 3 &amp; 4, 1st Stage, 1st Phase, BTM Layout, Bannerghatta Road, Bengaluru – 560029"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"verifyAt"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"https://www.brbnmpl.co.in/rti-act-2005/"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"central"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"notes"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"Wholly owned subsidiary of RBI responsible for printing currency notes. Tactical and security-related supply chain information is highly likely to be exempt under Section 8(1)(a) of the RTI Act."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"ministry"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"Ministry of Finance"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"central-bank-of-india-mp"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"domain"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"banking"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"keywords"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"central bank of 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"cbi bank"</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"loan account"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"account freeze"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"bank manager"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"npa"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"foreclosure"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"authorityName"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"Central Bank of India"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"pioDesignation"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"Central Public Information Officer / Regional Head"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"appellateAuthority"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"First Appellate Authority / Zonal Manager"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"filingAddress"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"Central Bank of India, Gwalior Regional Office, Krishna Motors, Sakhia Vilas, Jhansi Road, Gwalior, MP - 474009"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"verifyAt"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"https://centralbank.bank.in/en/Central-Public-Information-Officers-Regional-Offices"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"central"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"notes"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"The Regional Head serves as CPIO for all branches within the Gwalior jurisdiction. The specific branch name, code, and exact account number must be quoted to facilitate retrieval."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"ministry"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"Ministry of Finance"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"indian-bank-central"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"domain"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"banking"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"keywords"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"indian bank"</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"savings account"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"fixed deposit"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"loan default"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"branch manager"</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"authorityName"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"Indian Bank"</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"pioDesignation"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"Central Public Information Officer"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"appellateAuthority"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"First Appellate Authority"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"filingAddress"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"Head Office, Indian Bank, No. 66 Rajaji Salai, Chennai – 600001"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"verifyAt"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"https://indianbank.bank.in/en/right-to-information-act-2005"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"central"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"notes"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"Centralized filing at the Chennai Head Office, which subsequently distributes queries to relevant zonal departments."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"ministry"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"Ministry of Finance"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"department-of-posts"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"domain"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"postal_services"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"keywords"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"speed post"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"postal tracking"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"post office savings"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"pli"</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"money order"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"postmaster"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"dak sevak"</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"registered post"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"authorityName"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"Department of Posts (India Post)"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"pioDesignation"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"Central Public Information Officer, Office of the Senior Superintendent of Post Offices (SSPO)"</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"appellateAuthority"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"First Appellate Authority, Office of the Director of Postal Services"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"filingAddress"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"Head Post Office or Division Postal Office holding the postal account or delivery jurisdiction"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"verifyAt"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"https://www.indiapost.gov.in"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"central"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"notes"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"Covers Speed Post transit logs, registered post delivery failures, Post Office Savings Bank ledger queries, and Postal Life Insurance statuses."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"ministry"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"Ministry of Communications"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Expansion Vector II: Madhya Pradesh State Infrastructural and Regulatory Nodes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State-level public authorities encompass the expansive machinery of provincial governance. The Government of Madhya Pradesh operates a highly defined administrative structure overseeing real estate regulation, electricity distribution, higher education administration, and the appellate justice mechanisms. Navigating this state tier requires precise alignment with the specific bureaucratic structuring enacted in Bhopal.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Madhya Pradesh Real Estate Regulatory Authority commands strict jurisdiction over the state's entire real estate sector, established fundamentally to ensure transparency, enforce accountability, and protect consumer interests in real estate development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Public Information Officer for this authority is centrally located at the Rera Bhawan in Arera Hills, Bhopal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Citizens routinely invoke the RTI Act to secure statutory occupancy certificates, investigate unauthorized or illegal construction deviations from approved master plans, verify foundational property registration details, and audit third-party service contracts linked to massive housing projects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Under the RTI Act, citizens cannot demand justifications for quasi-judicial decisions made by the Authority, which requires a formal appeal to the Real Estate Appellate Tribunal, but they possess an absolute right to procure certified copies of project files, financial disclosures submitted by builders, and project registration mandates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Electricity distribution in Madhya Pradesh operates through an unbundled framework of regional distribution companies. The central geographic region, which prominently includes the Gwalior and Bhopal administrative districts, falls entirely under the jurisdiction of the Madhya Pradesh Madhya Kshetra Vidyut Vitaran Company Limited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entity is responsible for managing both civilian and commercial electrical grid infrastructure. Public Information Officers and Assistant Public Information Officers are strategically designated at the corporate headquarters in Bhopal and across localized divisional circle offices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Citizens file applications regarding arbitrary power supply interruptions, transformer installation delays, rolling load shedding schedules, severe billing anomalies, and the fiscal deployment of rural electrification projects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corporate structure of the company integrates distinct civil and electrical engineering divisions, necessitating clear routing parameters for infrastructural grid queries within the Gwalior-Bhopal operational belt.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governance of state universities, affiliated colleges, and the broader higher educational infrastructure is heavily centralized under the Higher Education Department of the Government of Madhya Pradesh. Specifically, the State Project Directorate manages the administration of statewide academic schemes, university grant distributions, structural college affiliations, and rigorous quality assurance frameworks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Public Information Officer is located at the AVN Towers in Maharana Pratap Nagar, Bhopal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RTI queries directed to this directorate typically address broad systemic policy issues, the legal authenticity of specific institutional affiliations, statewide eligibility criteria for entrance examinations, and structural complaints against university administrations that have defied resolution at the localized campus level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Appellate Apex: Madhya Pradesh State Information Commission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integrity of the Right to Information Act relies entirely on its appellate mechanisms. When an applicant is profoundly dissatisfied with an incomplete, misleading, or outright rejected response from a State Public Information Officer, or if the First Appellate Authority fails to adjudicate the first statutory appeal within the maximum 45-day window, the applicant is empowered under Section 19(3) to file a Second Appeal. For all state-level authorities situated within the jurisdiction of Madhya Pradesh, this apex adjudicatory body is the Madhya Pradesh State Information Commission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Commission, functioning from the Information Building in Arera Hills, Bhopal, operates as a quasi-judicial body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It holds expansive powers to summon recalcitrant officials, mandate the immediate disclosure of unlawfully withheld records, and crucially, levy severe financial penalties on errant Public Information Officers under Section 20 of the RTI Act for mala fide denial of information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digital navigator must explicitly map this entity as the ultimate destination for grievance redressal regarding state subjects, ensuring users do not mistakenly file appeals for state issues with the Central Information Commission in New Delhi.</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Data Mapping: Madhya Pradesh State Authorities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Authority Identifier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Semantic Keyword Cluster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CPIO Designation &amp; Filing Node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First Appellate Authority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mp-rera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 Estate Regulation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mp rera, builder complaint, occupancy certificate, illegal construction</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Public Information Officer, O/o MP RERA, Arera Hills, Bhopal</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First Appellate Authority, MP RERA, Bhopal</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mpmkvvcl-electricity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Grid Infrastructure &amp; Distribution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mpmkvvcl, madhya kshetra, electricity bill, transformer, power cut</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Superintending Engineer (Circle Office), MPMKVVCL</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Chief General Manager, MPMKVVCL</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mp-higher-education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Higher Education Administration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higher education department, university grant, college affiliation</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Public Information Officer, State Project Directorate, Bhopal</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First Appellate Authority, Higher Education Department</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mp-sic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RTI Adjudication &amp; Appeals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state information commission, second appeal, sic mp, penalty on pio</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State Information Officer, MPSIC, Arera Hills, Bhopal</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Chief State Information Commissioner, MPSIC</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Synthesized JSON Integration for MP State Authorities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"mp-rera"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"domain"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"real_estate_regulation"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"keywords"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"mp rera"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"builder complaint"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"occupancy certificate"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"illegal construction"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"project registration"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"real estate"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"flat possession"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"rera bhawan"</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"authorityName"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"Madhya Pradesh Real Estate Regulatory Authority (MP RERA)"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"pioDesignation"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"Public Information Officer, O/o MP RERA"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"appellateAuthority"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"First Appellate Authority, MP RERA"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"filingAddress"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"Rera Bhawan, Main Road No. 1, Arera Hills, Bhopal, Madhya Pradesh - 462011"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"verifyAt"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"https://rera.mp.gov.in"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"notes"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"Exclusively covers formal project registrations, mandatory builder financial disclosures, and structural occupancy certificates. It does not govern peripheral property disputes between private individuals absent a registered developer element."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"mpmkvvcl-electricity"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"domain"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"electricity_distribution"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"keywords"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"mpmkvvcl"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"madhya kshetra"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"vidyut vitaran"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"electricity bill"</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"transformer"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"power cut"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"load shedding"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"meter"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"mseb equivalent mp"</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"authorityName"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"Madhya Pradesh Madhya Kshetra Vidyut Vitaran Company Limited (MPMKVVCL)"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"pioDesignation"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"Public Information Officer / Superintending Engineer (Circle Office)"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"appellateAuthority"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"First Appellate Authority / Chief General Manager"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"filingAddress"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"Corporate Office: Nishtha Parisar, Govindpura, Bhopal, MP. Localized operational queries should be transmitted directly to the respective divisional Circle Office."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"verifyAt"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"https://portal.mpcz.in"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"notes"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"This specific distribution company is responsible for the central region of Madhya Pradesh, encompassing Bhopal and Gwalior. The Consumer Identification Number (IVRS) must be quoted."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"mp-higher-education"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"domain"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"higher_education"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"keywords"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"higher education department"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"university grant"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"college affiliation"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"state project directorate"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"ugc 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"professor recruitment"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"authorityName"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"State Project Directorate, Higher Education Department, Govt. of M.P."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"pioDesignation"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"Public Information Officer, State Project Directorate"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"appellateAuthority"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"First Appellate Authority, Higher Education Department"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"filingAddress"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"Mezanine Floor, AVN Towers, 192, Zone-I, Maharana Pratap Nagar, Bhopal, MP"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"verifyAt"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"https://highereducation.mp.gov.in"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"notes"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"Configured for statewide education policies, infrastructural affiliations of colleges, and directorate-level administrative queries. For individual degrees or marksheets, the applicant must file directly with the autonomous University."</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"mp-sic"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"domain"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"rti_appeals"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"keywords"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"state information commission"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"second appeal"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"sic mp"</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"penalty on pio"</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"information commissioner"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"bhopal rti office"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"authorityName"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"Madhya Pradesh State Information Commission"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"pioDesignation"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"State Information Officer / Secretary"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"appellateAuthority"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"Chief State Information Commissioner"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"filingAddress"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"Information Building, 35-B, Arera Hills, Bhopal, Madhya Pradesh - 462011"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"verifyAt"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"http://mpsic.gov.in"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"notes"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"This authority operates strictly for the filing of Second Appeals under Section 19(3) when a State PIO or State FAA fails to provide information. It does not entertain original RTI queries regarding public services."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Expansion Vector III: Hyper-Local Civic Infrastructure in Gwalior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self-government institutions and localized parastatals constitute the most highly trafficked tier of the RTI framework. Citizens engage intimately with these localized entities for daily civic administration, localized urban planning, and primary or tertiary educational credential verification. Expanding the navigator to encompass Gwalior-specific entities provides essential hyper-local granularity.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Gwalior Municipal Corporation, locally known as Nagar Nigam Gwalior, represents the foundational urban local body for the city's populace. Empowered by the 74th Constitutional Amendment Act, the municipal corporation holds an expansive constitutional mandate encompassing public health sanitation, systematic solid waste management, urban forestry, construction of arterial roads, and the generation of crucial vital statistics, primarily birth and death certificates. RTI applications investigating property tax assessments, the legality of building permissions, the removal of illegal encroachments on municipal land, street light deployment, and drainage infrastructure maintenance must be routed directly to the Public Information Officer located at the Nagar Nigam Mukhyalay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primary filing address is concentrated at the City Center in Gwalior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digital navigator must algorithmically map keywords such as </w:t>
      </w:r>
      <w:r w:rsidDel="00000000" w:rsidR="00000000" w:rsidRPr="00000000">
        <w:rPr>
          <w:rFonts w:ascii="Google Sans" w:cs="Google Sans" w:eastAsia="Google Sans" w:hAnsi="Google Sans"/>
          <w:i w:val="1"/>
          <w:iCs w:val="1"/>
          <w:color w:val="1f1f1f"/>
          <w:rtl w:val="0"/>
        </w:rPr>
        <w:t xml:space="preserve">Nagar Nigam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garbage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trade licence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property tax</w:t>
      </w:r>
      <w:r w:rsidDel="00000000" w:rsidR="00000000" w:rsidRPr="00000000">
        <w:rPr>
          <w:rFonts w:ascii="Google Sans" w:cs="Google Sans" w:eastAsia="Google Sans" w:hAnsi="Google Sans"/>
          <w:color w:val="1f1f1f"/>
          <w:rtl w:val="0"/>
        </w:rPr>
        <w:t xml:space="preserve"> strictly to this municipal authority for urban users registering within the Gwalior jurisdiction.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Jiwaji University, operating as a premier state-affiliated university in Gwalior and recognized by the University Grants Commission, is wholly subject to the transparency mandates of the RTI Act. Educational credential verification constitutes a massive, continuous volume of RTI requests. Current students, global alumni, and corporate background verification agencies frequently utilize the RTI mechanism to procure certified copies of evaluated examination answer sheets, comprehensively verify the authenticity of awarded degrees, obtain mandatory migration certificates, and audit internal marking and revaluation mechanisms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Public Information Officer for Jiwaji University is positioned within the Office of the Registrar, physically located at Sachin Tendulkar Road in Kailash Nagar, Gwalior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When an applicant files an RTI with Jiwaji University, the statutory application fee of Rs. 10 must be addressed explicitly to the Registrar, Jiwaji University, Gwalior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Furthermore, to obtain physical document copies, the applicant is mandated to remit an additional Rs. 2 per page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 critical procedural nuance exists here: third-party corporate verification agencies leveraging the RTI Act under Section 2(f) to conduct background verifications must provide authorization letters and identity proofs of the specific candidate. Failure to provide this consent inevitably results in the PIO rejecting the application under Section 8(1)(j), citing an unwarranted invasion of the candidate's privacy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first appellate mechanism lies strictly within the University's internal hierarchy, requiring escalation to the First Appellate Authority, generally the Vice Chancellor, if the PIO fails to furnish the requested academic records within the mandated 30-day timeline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completely distinct from the Municipal Corporation, the Gwalior Development Authority functions as a highly specialized urban planning and infrastructural housing parastatal. The Authority is legally responsible for massive land acquisitions, the architectural development of sprawling residential and commercial layouts, lucrative plot allotments, and the execution of state housing schemes, including affordable housing lotteries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Queries regarding extreme possession delays in GDA residential layouts, the legal status of land acquisition for proposed ring roads, and master layout approvals must be channeled directly to the Public Information Officer of the Gwalior Development Authority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Data Mapping: Gwalior Local Authorities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Authority Identifier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Semantic Keyword Cluster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CPIO Designation &amp; Filing Node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First Appellate Authority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gwalior-municipal-corporation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Municipal &amp; Urban Civic 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nagar nigam gwalior, property tax, building permission, garbage disposal</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Public Information Officer, Nagar Nigam Gwalior, City Center</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Municipal Commissioner, Gwalior Municipal Corporation</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jiwaji-university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University Education &amp; Credential Verification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jiwaji university, degree verification, answer sheet copy, transcript</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Public Information Officer, O/o The Registrar, Jiwaji University</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Vice Chancellor, Jiwaji University</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gwalior-development-authority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Urban Land Development &amp; Housing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gda, plot allotment, housing scheme, land acquisition, possession delay</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Public Information Officer, GDA, Ravi Nagar, Gwalior</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CEO, Gwalior Development Authority</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Synthesized JSON Integration for Gwalior Local Authorities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"gwalior-municipal-corporation"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"domain"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"municipal_urban"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"keywords"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"gwalior municipal corporation"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"nagar nigam gwalior"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"birth certificate"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"property tax"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"building permission"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"garbage disposal"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"street light"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"drainage"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"trade licence"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"encroachment"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"authorityName"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"Gwalior Municipal Corporation (Nagar Nigam Gwalior)"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"pioDesignation"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"Public Information Officer, Nagar Nigam Gwalior"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"appellateAuthority"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"First Appellate Authority / Municipal Commissioner, Gwalior"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"filingAddress"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"Nagar Nigam Mukhyalay, City Center, Gwalior, Madhya Pradesh - 474011"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"verifyAt"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"https://gwaliormunicipalcorporation.org"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"notes"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"Encompasses all foundational civic amenities, local municipal tax records, and systemic civil works strictly within the Gwalior urban municipal geographic limits."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"jiwaji-university"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"domain"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"university_education"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"keywords"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"jiwaji university"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"degree verification"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"marksheet verification"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"answer sheet copy"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"migration certificate"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"convocation"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"transcript"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"revaluation"</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"authorityName"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"Jiwaji University, Gwalior"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"pioDesignation"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"Public Information Officer, O/o The Registrar"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"appellateAuthority"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"First Appellate Authority / Vice Chancellor, Jiwaji University"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"filingAddress"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"O/o The Registrar, Jiwaji University, Sachin Tendulkar Rd, Kailash Nagar, Gwalior, Madhya Pradesh - 474011"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"verifyAt"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"http://www.jiwaji.edu"</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"notes"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"Mandatory RTI fees must be made payable directly to 'The Registrar, Jiwaji University Gwalior'. For third-party corporate degree verification, a signed authorization letter and physical identity proof of the candidate must be attached to successfully bypass privacy exemptions defined under Section 8(1)(j)."</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"gwalior-development-authority"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"domain"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"urban_development"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"keywords"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"gda"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"gwalior development authority"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"plot allotment"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"housing scheme"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"layout approval"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"land acquisition"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"possession delay"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"gda layout"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"authorityName"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"Gwalior Development Authority (GDA)"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"pioDesignation"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"Public Information Officer, GDA"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"appellateAuthority"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"First Appellate Authority / CEO, GDA"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"filingAddress"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"Gwalior Development Authority, Ravi Nagar, Gwalior, Madhya Pradesh - 474002"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"verifyAt"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"http://www.gdagwalior.com"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"notes"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"Maintains strict focus on GDA-specific infrastructural housing projects, state land acquisitions, and commercial plot auctions. General, day-to-day city maintenance queries must be directed to the Municipal Corporation instead."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Expansion Vector IV: Judicial Transparency and the High Court of Madhya Pradesh</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judicial infrastructure operates as a distinct, constitutionally separated branch of the state. However, the administrative and infrastructural functions of the courts fall strictly under the legislative purview of the Right to Information Act. The High Court of Madhya Pradesh, operating with its principal seat in Jabalpur and a prominent bench in Gwalior, constitutes a massive administrative authority.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High Court designates its State Public Information Officer and Additional Registrar (Establishment) to meticulously manage the influx of RTI applications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Through the RTI mechanism, citizens can legally procure information regarding judicial staff recruitment algorithms, administrative supply tenders, massive court infrastructure projects, and all non-exempt court administrative data matrices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absolutely vital for the navigator to disambiguate between administrative court data and actual judicial case records. While administrative data is readily and statutorily accessible via the High Court PIO, accessing specific judicial case documents, evidence, and orders by the parties involved is typically governed by the specific High Court Rules regarding the issuance of certified copies, rather than the generalized RTI Act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While precedent varies significantly regarding third-party access to disposed case records, active litigation records remain fiercely protected by internal court rules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Applications directed to the High Court of Madhya Pradesh must be precisely addressed to the SPIO &amp; Additional Registrar at the Jabalpur principal seat, utilizing a standardized RTI fee protocol made payable to the Additional Registrar</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Data Mapping: Judicial Authority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Authority Identifier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Semantic Keyword Cluster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CPIO Designation &amp; Filing Node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First Appellate Authority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high-court-mp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Judicial Administration &amp; 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court mp, gwalior bench, judicial recruitment, court administration</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SPIO &amp; Additional Registrar (Establishment), Jabalpur</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Registrar General, High Court of MP</w:t>
            </w:r>
            <w:r w:rsidDel="00000000" w:rsidR="00000000" w:rsidRPr="00000000">
              <w:rPr>
                <w:rFonts w:ascii="Google Sans" w:cs="Google Sans" w:eastAsia="Google Sans" w:hAnsi="Google Sans"/>
                <w:color w:val="444746"/>
                <w:sz w:val="24"/>
                <w:szCs w:val="24"/>
                <w:vertAlign w:val="superscript"/>
                <w:rtl w:val="0"/>
              </w:rPr>
              <w:t xml:space="preserve">28</w:t>
            </w:r>
          </w:p>
        </w:tc>
      </w:tr>
    </w:tbl>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Synthesized JSON Integration for Judicial Authority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"high-court-mp"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"domain"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"judiciary"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"keywords"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"high court 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"jabalpur high court"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"gwalior bench"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"judicial recruitment"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"court administration"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"case 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"registry"</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"authorityName"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"High Court of Madhya Pradesh"</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"pioDesignation"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"State Public Information Officer (SPIO) &amp; Additional Registrar (Establishment)"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"appellateAuthority"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"First Appellate Authority / Registrar General, High Court of MP"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"filingAddress"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"High Court of Madhya Pradesh, Principal Seat Jabalpur, South Civil Lines, Jabalpur, MP – 482001"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"verifyAt"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"https://mphc.gov.in"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"notes"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"Strictly applicable for court administrative data, staff recruitment records, and infrastructure planning. Seeking certified copies of specific judicial case records by parties involved in active litigation must follow the specific High Court Rules mechanism, not the generalized RTI mechanism."</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Jurisprudential Imperatives: The Evidentiary Value of RTI Records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often overlooked functionality of the digital RTI navigator is its role in enabling citizens and legal professionals to procure irrefutable documents for utilization in formal legal and judicial proceedings. The evidentiary value of documents obtained via the RTI Act has been the subject of profound, highly debated judicial interpretation, particularly concerning its intersection with the Indian Evidence Act, 1872.</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citizen utilizes the digital navigator to successfully file an RTI, they are legally exercising their fundamental right under Section 2(j)(ii) of the RTI Act to obtain "certified copies of documents or records"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operational reality gives rise to a central legal quandary: Can a certified copy provided by a Public Information Officer be introduced seamlessly into a court of law without the arduous process of calling the original author of the document to testify?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High Court of Madhya Pradesh established a critical, foundational precedent in the matter of </w:t>
      </w:r>
      <w:r w:rsidDel="00000000" w:rsidR="00000000" w:rsidRPr="00000000">
        <w:rPr>
          <w:rFonts w:ascii="Google Sans" w:cs="Google Sans" w:eastAsia="Google Sans" w:hAnsi="Google Sans"/>
          <w:i w:val="1"/>
          <w:iCs w:val="1"/>
          <w:color w:val="1f1f1f"/>
          <w:rtl w:val="0"/>
        </w:rPr>
        <w:t xml:space="preserve">Narayan Singh v. Kallaram @ Kalluram Kushwaha &amp; Ors.</w:t>
      </w:r>
      <w:r w:rsidDel="00000000" w:rsidR="00000000" w:rsidRPr="00000000">
        <w:rPr>
          <w:rFonts w:ascii="Google Sans" w:cs="Google Sans" w:eastAsia="Google Sans" w:hAnsi="Google Sans"/>
          <w:color w:val="1f1f1f"/>
          <w:rtl w:val="0"/>
        </w:rPr>
        <w:t xml:space="preserve"> (reported as 2015 (2) M.P.L.J. 337). The Court meticulously evaluated Section 65 of the Indian Evidence Act, which strictly dictates the limited conditions under which secondary evidence may be given regarding the existence, condition, or contents of a document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Specifically, Clause (f) of Section 65 explicitly states that secondary evidence is permissible when the original is a document of which a certified copy is permitted by the Evidence Act, "or by any other law in force in India"</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High Court decisively interpreted the phrase "by any other law in force in India" to explicitly and unequivocally encompass the Right to Information Act, 2005. The Court decreed that because the RTI Act legally mandates designated Public Information Officers to issue certified copies of public records upon request, these certified true copies fall squarely and legally within the ambit of Section 65(f) of the Evidence Act. Therefore, they are strictly admissible as secondary evidence in a court of law</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progressive interpretation was further reinforced by the Supreme Court of India in the landmark case of </w:t>
      </w:r>
      <w:r w:rsidDel="00000000" w:rsidR="00000000" w:rsidRPr="00000000">
        <w:rPr>
          <w:rFonts w:ascii="Google Sans" w:cs="Google Sans" w:eastAsia="Google Sans" w:hAnsi="Google Sans"/>
          <w:i w:val="1"/>
          <w:iCs w:val="1"/>
          <w:color w:val="1f1f1f"/>
          <w:rtl w:val="0"/>
        </w:rPr>
        <w:t xml:space="preserve">Jaswant Singh vs. Gurdev Singh and others</w:t>
      </w:r>
      <w:r w:rsidDel="00000000" w:rsidR="00000000" w:rsidRPr="00000000">
        <w:rPr>
          <w:rFonts w:ascii="Google Sans" w:cs="Google Sans" w:eastAsia="Google Sans" w:hAnsi="Google Sans"/>
          <w:color w:val="1f1f1f"/>
          <w:rtl w:val="0"/>
        </w:rPr>
        <w:t xml:space="preserve"> (2011), wherein the apex court held that a certified copy of a public document is inherently admissible in evidence without requiring it to be proved by calling a witness to the stand</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High Court clarified a crucial, defining distinction regarding the nature of the document itself. If the document procured via the RTI mechanism is inherently a </w:t>
      </w:r>
      <w:r w:rsidDel="00000000" w:rsidR="00000000" w:rsidRPr="00000000">
        <w:rPr>
          <w:rFonts w:ascii="Google Sans" w:cs="Google Sans" w:eastAsia="Google Sans" w:hAnsi="Google Sans"/>
          <w:i w:val="1"/>
          <w:iCs w:val="1"/>
          <w:color w:val="1f1f1f"/>
          <w:rtl w:val="0"/>
        </w:rPr>
        <w:t xml:space="preserve">private</w:t>
      </w:r>
      <w:r w:rsidDel="00000000" w:rsidR="00000000" w:rsidRPr="00000000">
        <w:rPr>
          <w:rFonts w:ascii="Google Sans" w:cs="Google Sans" w:eastAsia="Google Sans" w:hAnsi="Google Sans"/>
          <w:color w:val="1f1f1f"/>
          <w:rtl w:val="0"/>
        </w:rPr>
        <w:t xml:space="preserve"> document that is merely being held in the administrative files of a government department, the act of a PIO providing a true copy via RTI does not magically transform that private paper into a certified public document for evidentiary purposes. For private documents, the rigorous foundational requirements for secondary evidence under clauses (a), (b), or (c) of Section 65 of the Evidence Act must still be laboriously laid before the court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Conversely, true copies of actual </w:t>
      </w:r>
      <w:r w:rsidDel="00000000" w:rsidR="00000000" w:rsidRPr="00000000">
        <w:rPr>
          <w:rFonts w:ascii="Google Sans" w:cs="Google Sans" w:eastAsia="Google Sans" w:hAnsi="Google Sans"/>
          <w:i w:val="1"/>
          <w:iCs w:val="1"/>
          <w:color w:val="1f1f1f"/>
          <w:rtl w:val="0"/>
        </w:rPr>
        <w:t xml:space="preserve">public documents</w:t>
      </w:r>
      <w:r w:rsidDel="00000000" w:rsidR="00000000" w:rsidRPr="00000000">
        <w:rPr>
          <w:rFonts w:ascii="Google Sans" w:cs="Google Sans" w:eastAsia="Google Sans" w:hAnsi="Google Sans"/>
          <w:color w:val="1f1f1f"/>
          <w:rtl w:val="0"/>
        </w:rPr>
        <w:t xml:space="preserve">—such as official government notifications, administrative orders, and master architectural plans—that are formally certified by a PIO require no such foundation and are immediately admissible as secondary evidence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architects of the digital navigator, this jurisprudential reality dictates a specific design imperative. The platform must actively guide users to specifically and explicitly request "Certified Copies under Section 2(j)(ii) of the RTI Act" in their generated application templates, rather than merely asking for "information." This subtle but critical semantic shift ensures that the documents procured by the citizen are legally robust and immediately admissible for subsequent civil or criminal litigation.</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Disambiguation and Appellate Routing Mechanisms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heavily expanded dataset features highly overlapping administrative domains, presenting a significant computational challenge. To ensure flawless routing without requiring constant human intervention, the navigator's routing algorithm must employ advanced semantic clustering and deep contextual disambiguation.</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Jurisdictional and Semantic Disambiguation Strategies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algorithmic challenge lies in distinguishing between central and state authorities when user keywords intersect across jurisdictions. For example, the colloquial term "Bank" might trigger both the Reserve Bank of India (Central level) and the Central Bank of India (Central level). Similarly, the term "Electricity" might trigger a localized query meant strictly for MPMKVVCL (State level).</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navigator should utilize a sophisticated, multi-tiered decision tree architecture:</w:t>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Geospatial Flagging Protocols:</w:t>
      </w:r>
      <w:r w:rsidDel="00000000" w:rsidR="00000000" w:rsidRPr="00000000">
        <w:rPr>
          <w:rFonts w:ascii="Google Sans" w:cs="Google Sans" w:eastAsia="Google Sans" w:hAnsi="Google Sans"/>
          <w:color w:val="1f1f1f"/>
          <w:rtl w:val="0"/>
        </w:rPr>
        <w:t xml:space="preserve"> If the user query contains localized geographic markers such as "Gwalior", "Bhopal", or "MP", the routing algorithm must significantly elevate the priority weighting of entities tagged specifically with the state level of Madhya Pradesh (e.g., MPMKVVCL, Jiwaji University, Nagar Nigam Gwalior).</w:t>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Intent Classification (Regulatory versus Operational):</w:t>
      </w:r>
      <w:r w:rsidDel="00000000" w:rsidR="00000000" w:rsidRPr="00000000">
        <w:rPr>
          <w:rFonts w:ascii="Google Sans" w:cs="Google Sans" w:eastAsia="Google Sans" w:hAnsi="Google Sans"/>
          <w:color w:val="1f1f1f"/>
          <w:rtl w:val="0"/>
        </w:rPr>
        <w:t xml:space="preserve"> The array of keywords acts as a powerful heuristic filter.</w:t>
      </w:r>
    </w:p>
    <w:p w:rsidR="00000000" w:rsidDel="00000000" w:rsidP="00000000" w:rsidRDefault="00000000" w:rsidRPr="00000000" w14:paraId="000000B2">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Scenario A:</w:t>
      </w:r>
      <w:r w:rsidDel="00000000" w:rsidR="00000000" w:rsidRPr="00000000">
        <w:rPr>
          <w:rFonts w:ascii="Google Sans" w:cs="Google Sans" w:eastAsia="Google Sans" w:hAnsi="Google Sans"/>
          <w:color w:val="1f1f1f"/>
          <w:rtl w:val="0"/>
        </w:rPr>
        <w:t xml:space="preserve"> Query: "My loan at Central Bank Gwalior is wrongly declared as an NPA." Keywords isolated: "loan", "Central Bank", "NPA". Route immediately to central-bank-of-india-mp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Scenario B:</w:t>
      </w:r>
      <w:r w:rsidDel="00000000" w:rsidR="00000000" w:rsidRPr="00000000">
        <w:rPr>
          <w:rFonts w:ascii="Google Sans" w:cs="Google Sans" w:eastAsia="Google Sans" w:hAnsi="Google Sans"/>
          <w:color w:val="1f1f1f"/>
          <w:rtl w:val="0"/>
        </w:rPr>
        <w:t xml:space="preserve"> Query: "What is the national repo rate policy?" Keywords isolated: "repo rate", "policy". Route immediately to reserve-bank-of-india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Scenario C:</w:t>
      </w:r>
      <w:r w:rsidDel="00000000" w:rsidR="00000000" w:rsidRPr="00000000">
        <w:rPr>
          <w:rFonts w:ascii="Google Sans" w:cs="Google Sans" w:eastAsia="Google Sans" w:hAnsi="Google Sans"/>
          <w:color w:val="1f1f1f"/>
          <w:rtl w:val="0"/>
        </w:rPr>
        <w:t xml:space="preserve"> Query: "HDFC bank rejected my loan without providing a reason." As private banking institutions like HDFC are fundamentally not public authorities under Section 2(h) of the RTI Act, the navigator must intelligently parse "HDFC" + "complaint" and route the user directly to the RBI Banking Ombudsman for regulatory intervention, rather than attempting to route the query to the private bank itself</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Operationalizing First and Second Appellate Pathways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utility of the digital navigator extends far beyond the initial filing under Section 6(1). It must programmatically guide the citizen through the complex, multi-tiered appellate process delineated in Section 19 of the RTI Act.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Gwalior Municipal Corporation Public Information Officer fails to respond within the statutory 30-day limit, the platform must automatically generate a First Appeal draft. This draft must be dynamically addressed to the First Appellate Authority associated with that specific JSON block (typically the Municipal Commissioner or Deputy Commissioner)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First Appellate Authority is legally mandated to pass a binding order within 30 days (extendable to a maximum of 45 days for recorded, exceptional reasons)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First Appellate Authority upholds an unlawful rejection by the PIO, or simply ignores the first appeal entirely, the geographical and jurisdictional classification established in the JSON database becomes paramount.</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If the original authority's level is defined as central (e.g., Department of Posts, Reserve Bank of India, Central Bank of India), the system must route the Second Appeal under Section 19(3) exclusively to the Central Information Commission (CIC) located in New Delhi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If the original authority's level is defined as state (e.g., MPMKVVCL, Jiwaji University, MP RERA, High Court of Madhya Pradesh), the system must route the Second Appeal exclusively to the Madhya Pradesh State Information Commission (MPSIC) located in Bhopal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rigid, binary routing architecture prevents the fatal, commonly occurring administrative error of a citizen filing a state-level second appeal with the central commission, which inevitably results in a summary dismissal for lack of jurisdiction and further delays the realization of the right to information.</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Syntheses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systematic expansion of the Right to Information navigator's ontological database to encompass highly localized public authorities in Gwalior, vast state-level regulatory frameworks in Madhya Pradesh, and massive central macroeconomic institutions fundamentally transforms the platform from a mere static directory into a jurisprudentially robust, dynamic legal-tech architecture.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rigorously codifying distinct administrative entities such as Jiwaji University, MPMKVVCL, MP RERA, and the Reserve Bank of India, alongside their exact semantic triggers, appellate hierarchies, and highly specific filing nuances, the system successfully eliminates the primary operational barrier to information access: jurisdictional obfuscation. Furthermore, the deep integration of evidentiary jurisprudence—specifically acknowledging the immediate admissibility of RTI-procured certified copies under Section 65(f) of the Indian Evidence Act—elevates the ultimate utility of the procured data. This ensures that citizens and legal professionals can confidently utilize the digital navigator to secure verified public documents for immediate deployment in formal legal recourse.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nested JSON structures and detailed semantic routing matrices provided herein establish a highly scalable, mathematically precise framework. As public administration continues to expand and fracture into highly specialized parastatals and regulatory bodies, this localized yet fundamentally interconnected database architecture ensures that the statutory mandate of transparency remains digitally accessible, programmatically logical, and practically enforceable across all tiers of the Indian state.</w:t>
      </w:r>
    </w:p>
    <w:p w:rsidR="00000000" w:rsidDel="00000000" w:rsidP="00000000" w:rsidRDefault="00000000" w:rsidRPr="00000000" w14:paraId="000000C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File Online RTI For Reserve Bank of India | RBI RTI Online, </w:t>
      </w:r>
      <w:hyperlink r:id="rId6">
        <w:r w:rsidDel="00000000" w:rsidR="00000000" w:rsidRPr="00000000">
          <w:rPr>
            <w:rFonts w:ascii="Google Sans" w:cs="Google Sans" w:eastAsia="Google Sans" w:hAnsi="Google Sans"/>
            <w:color w:val="0000ee"/>
            <w:sz w:val="24"/>
            <w:szCs w:val="24"/>
            <w:u w:val="single"/>
            <w:rtl w:val="0"/>
          </w:rPr>
          <w:t xml:space="preserve">https://rtiguru.com/blog/rbi-apply-rti-online</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Mr.Kishanlal Mittal vs Reserve Bank Of India on 4 October, 2013, </w:t>
      </w:r>
      <w:hyperlink r:id="rId7">
        <w:r w:rsidDel="00000000" w:rsidR="00000000" w:rsidRPr="00000000">
          <w:rPr>
            <w:rFonts w:ascii="Google Sans" w:cs="Google Sans" w:eastAsia="Google Sans" w:hAnsi="Google Sans"/>
            <w:color w:val="0000ee"/>
            <w:sz w:val="24"/>
            <w:szCs w:val="24"/>
            <w:u w:val="single"/>
            <w:rtl w:val="0"/>
          </w:rPr>
          <w:t xml:space="preserve">https://indiankanoon.org/doc/171941920/</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Right to Information Act - Reserve Bank of India, </w:t>
      </w:r>
      <w:hyperlink r:id="rId8">
        <w:r w:rsidDel="00000000" w:rsidR="00000000" w:rsidRPr="00000000">
          <w:rPr>
            <w:rFonts w:ascii="Google Sans" w:cs="Google Sans" w:eastAsia="Google Sans" w:hAnsi="Google Sans"/>
            <w:color w:val="0000ee"/>
            <w:sz w:val="24"/>
            <w:szCs w:val="24"/>
            <w:u w:val="single"/>
            <w:rtl w:val="0"/>
          </w:rPr>
          <w:t xml:space="preserve">https://rbi.org.in/Scripts/Righttoinfoact.aspx</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RTI | DICGC, </w:t>
      </w:r>
      <w:hyperlink r:id="rId9">
        <w:r w:rsidDel="00000000" w:rsidR="00000000" w:rsidRPr="00000000">
          <w:rPr>
            <w:rFonts w:ascii="Google Sans" w:cs="Google Sans" w:eastAsia="Google Sans" w:hAnsi="Google Sans"/>
            <w:color w:val="0000ee"/>
            <w:sz w:val="24"/>
            <w:szCs w:val="24"/>
            <w:u w:val="single"/>
            <w:rtl w:val="0"/>
          </w:rPr>
          <w:t xml:space="preserve">https://www.dicgc.org.in/RTI</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RTI Act 2005 - Bharatiya Reserve Bank Note Mudran, </w:t>
      </w:r>
      <w:hyperlink r:id="rId10">
        <w:r w:rsidDel="00000000" w:rsidR="00000000" w:rsidRPr="00000000">
          <w:rPr>
            <w:rFonts w:ascii="Google Sans" w:cs="Google Sans" w:eastAsia="Google Sans" w:hAnsi="Google Sans"/>
            <w:color w:val="0000ee"/>
            <w:sz w:val="24"/>
            <w:szCs w:val="24"/>
            <w:u w:val="single"/>
            <w:rtl w:val="0"/>
          </w:rPr>
          <w:t xml:space="preserve">https://www.brbnmpl.co.in/rti-act-2005/</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Central Public Information Officers - Regional Offices, </w:t>
      </w:r>
      <w:hyperlink r:id="rId11">
        <w:r w:rsidDel="00000000" w:rsidR="00000000" w:rsidRPr="00000000">
          <w:rPr>
            <w:rFonts w:ascii="Google Sans" w:cs="Google Sans" w:eastAsia="Google Sans" w:hAnsi="Google Sans"/>
            <w:color w:val="0000ee"/>
            <w:sz w:val="24"/>
            <w:szCs w:val="24"/>
            <w:u w:val="single"/>
            <w:rtl w:val="0"/>
          </w:rPr>
          <w:t xml:space="preserve">https://centralbank.bank.in/en/Central-Public-Information-Officers-Regional-Offices</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Right to Information Act 2005 - Indian Bank, </w:t>
      </w:r>
      <w:hyperlink r:id="rId12">
        <w:r w:rsidDel="00000000" w:rsidR="00000000" w:rsidRPr="00000000">
          <w:rPr>
            <w:rFonts w:ascii="Google Sans" w:cs="Google Sans" w:eastAsia="Google Sans" w:hAnsi="Google Sans"/>
            <w:color w:val="0000ee"/>
            <w:sz w:val="24"/>
            <w:szCs w:val="24"/>
            <w:u w:val="single"/>
            <w:rtl w:val="0"/>
          </w:rPr>
          <w:t xml:space="preserve">https://indianbank.bank.in/en/right-to-information-act-2005</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hyperlink r:id="rId13">
        <w:r w:rsidDel="00000000" w:rsidR="00000000" w:rsidRPr="00000000">
          <w:rPr>
            <w:rFonts w:ascii="Google Sans" w:cs="Google Sans" w:eastAsia="Google Sans" w:hAnsi="Google Sans"/>
            <w:color w:val="0000ee"/>
            <w:sz w:val="24"/>
            <w:szCs w:val="24"/>
            <w:u w:val="single"/>
            <w:rtl w:val="0"/>
          </w:rPr>
          <w:t xml:space="preserve">unknown_url</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rti madhya pradesh real estate regulatory authority (2026 Process), </w:t>
      </w:r>
      <w:hyperlink r:id="rId14">
        <w:r w:rsidDel="00000000" w:rsidR="00000000" w:rsidRPr="00000000">
          <w:rPr>
            <w:rFonts w:ascii="Google Sans" w:cs="Google Sans" w:eastAsia="Google Sans" w:hAnsi="Google Sans"/>
            <w:color w:val="0000ee"/>
            <w:sz w:val="24"/>
            <w:szCs w:val="24"/>
            <w:u w:val="single"/>
            <w:rtl w:val="0"/>
          </w:rPr>
          <w:t xml:space="preserve">https://rtiguru.com/how-to-file-rti-in-madhya-pradesh-real-estate-regulatory-authority-in-madhya-pradesh</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RTI Applicant In Madhya Pradesh Asked To Pay GST For Information, </w:t>
      </w:r>
      <w:hyperlink r:id="rId15">
        <w:r w:rsidDel="00000000" w:rsidR="00000000" w:rsidRPr="00000000">
          <w:rPr>
            <w:rFonts w:ascii="Google Sans" w:cs="Google Sans" w:eastAsia="Google Sans" w:hAnsi="Google Sans"/>
            <w:color w:val="0000ee"/>
            <w:sz w:val="24"/>
            <w:szCs w:val="24"/>
            <w:u w:val="single"/>
            <w:rtl w:val="0"/>
          </w:rPr>
          <w:t xml:space="preserve">https://www.ndtv.com/india-news/ajay-dubey-rti-right-to-information-applicant-in-madhya-pradesh-asked-to-pay-gst-cgst-sgst-for-infor-1910004</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BREAT, </w:t>
      </w:r>
      <w:hyperlink r:id="rId16">
        <w:r w:rsidDel="00000000" w:rsidR="00000000" w:rsidRPr="00000000">
          <w:rPr>
            <w:rFonts w:ascii="Google Sans" w:cs="Google Sans" w:eastAsia="Google Sans" w:hAnsi="Google Sans"/>
            <w:color w:val="0000ee"/>
            <w:sz w:val="24"/>
            <w:szCs w:val="24"/>
            <w:u w:val="single"/>
            <w:rtl w:val="0"/>
          </w:rPr>
          <w:t xml:space="preserve">https://reat.bihar.gov.in/</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KALPANA DUBEY - BSE, </w:t>
      </w:r>
      <w:hyperlink r:id="rId17">
        <w:r w:rsidDel="00000000" w:rsidR="00000000" w:rsidRPr="00000000">
          <w:rPr>
            <w:rFonts w:ascii="Google Sans" w:cs="Google Sans" w:eastAsia="Google Sans" w:hAnsi="Google Sans"/>
            <w:color w:val="0000ee"/>
            <w:sz w:val="24"/>
            <w:szCs w:val="24"/>
            <w:u w:val="single"/>
            <w:rtl w:val="0"/>
          </w:rPr>
          <w:t xml:space="preserve">https://www.bseindia.com/xml-data/corpfiling/AttachLive/c3b85eee-02ce-48e5-a541-fc3e2c09006d.pdf</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KALPAN A DUBEY - Bombay Stock Exchange, </w:t>
      </w:r>
      <w:hyperlink r:id="rId18">
        <w:r w:rsidDel="00000000" w:rsidR="00000000" w:rsidRPr="00000000">
          <w:rPr>
            <w:rFonts w:ascii="Google Sans" w:cs="Google Sans" w:eastAsia="Google Sans" w:hAnsi="Google Sans"/>
            <w:color w:val="0000ee"/>
            <w:sz w:val="24"/>
            <w:szCs w:val="24"/>
            <w:u w:val="single"/>
            <w:rtl w:val="0"/>
          </w:rPr>
          <w:t xml:space="preserve">https://www.bseindia.com/xml-data/corpfiling/AttachHis/0f8d2869-2f18-4d96-96a5-489d94fddc4c.pdf</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Director's Report - ITI Securities Broking Ltd, </w:t>
      </w:r>
      <w:hyperlink r:id="rId19">
        <w:r w:rsidDel="00000000" w:rsidR="00000000" w:rsidRPr="00000000">
          <w:rPr>
            <w:rFonts w:ascii="Google Sans" w:cs="Google Sans" w:eastAsia="Google Sans" w:hAnsi="Google Sans"/>
            <w:color w:val="0000ee"/>
            <w:sz w:val="24"/>
            <w:szCs w:val="24"/>
            <w:u w:val="single"/>
            <w:rtl w:val="0"/>
          </w:rPr>
          <w:t xml:space="preserve">https://itisbl.com/Market/CorporateInformation/Director-Report/rail_vikas/26721</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Electricity Board | powerprofessionals | Page 5 - WordPress.com, </w:t>
      </w:r>
      <w:hyperlink r:id="rId20">
        <w:r w:rsidDel="00000000" w:rsidR="00000000" w:rsidRPr="00000000">
          <w:rPr>
            <w:rFonts w:ascii="Google Sans" w:cs="Google Sans" w:eastAsia="Google Sans" w:hAnsi="Google Sans"/>
            <w:color w:val="0000ee"/>
            <w:sz w:val="24"/>
            <w:szCs w:val="24"/>
            <w:u w:val="single"/>
            <w:rtl w:val="0"/>
          </w:rPr>
          <w:t xml:space="preserve">https://powerprofessionals.wordpress.com/category/state-electricity-board/page/5/</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NEA Annual Report 2020/21 Overview | PDF | Power Station - Scribd, </w:t>
      </w:r>
      <w:hyperlink r:id="rId21">
        <w:r w:rsidDel="00000000" w:rsidR="00000000" w:rsidRPr="00000000">
          <w:rPr>
            <w:rFonts w:ascii="Google Sans" w:cs="Google Sans" w:eastAsia="Google Sans" w:hAnsi="Google Sans"/>
            <w:color w:val="0000ee"/>
            <w:sz w:val="24"/>
            <w:szCs w:val="24"/>
            <w:u w:val="single"/>
            <w:rtl w:val="0"/>
          </w:rPr>
          <w:t xml:space="preserve">https://www.scribd.com/document/734812768/MOP-Annual-Report-Eng-2020-21</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rti state project directorate higher education department govt.of m.p., </w:t>
      </w:r>
      <w:hyperlink r:id="rId22">
        <w:r w:rsidDel="00000000" w:rsidR="00000000" w:rsidRPr="00000000">
          <w:rPr>
            <w:rFonts w:ascii="Google Sans" w:cs="Google Sans" w:eastAsia="Google Sans" w:hAnsi="Google Sans"/>
            <w:color w:val="0000ee"/>
            <w:sz w:val="24"/>
            <w:szCs w:val="24"/>
            <w:u w:val="single"/>
            <w:rtl w:val="0"/>
          </w:rPr>
          <w:t xml:space="preserve">https://rtiguru.com/how-to-file-rti-in-state-project-directorate-higher-education-department-govt-of-m-p-in-madhya-pradesh</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rti madhya pradesh state information commission (2026 Process), </w:t>
      </w:r>
      <w:hyperlink r:id="rId23">
        <w:r w:rsidDel="00000000" w:rsidR="00000000" w:rsidRPr="00000000">
          <w:rPr>
            <w:rFonts w:ascii="Google Sans" w:cs="Google Sans" w:eastAsia="Google Sans" w:hAnsi="Google Sans"/>
            <w:color w:val="0000ee"/>
            <w:sz w:val="24"/>
            <w:szCs w:val="24"/>
            <w:u w:val="single"/>
            <w:rtl w:val="0"/>
          </w:rPr>
          <w:t xml:space="preserve">https://rtiguru.com/how-to-file-rti-in-madhya-pradesh-state-information-commission-in-madhya-pradesh</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Neither the Central Information Commission nor the State ... - LexForti, </w:t>
      </w:r>
      <w:hyperlink r:id="rId24">
        <w:r w:rsidDel="00000000" w:rsidR="00000000" w:rsidRPr="00000000">
          <w:rPr>
            <w:rFonts w:ascii="Google Sans" w:cs="Google Sans" w:eastAsia="Google Sans" w:hAnsi="Google Sans"/>
            <w:color w:val="0000ee"/>
            <w:sz w:val="24"/>
            <w:szCs w:val="24"/>
            <w:u w:val="single"/>
            <w:rtl w:val="0"/>
          </w:rPr>
          <w:t xml:space="preserve">https://lexforti.com/legal-news/neither-the-central-information-commission-nor-the-state-information-commission-is-empowered-to-appoint-a-committee-for-conducting-an-inquiry-for-and-on-its-behalf-2/</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File RTI Online in Gwalior , Madhya Pradesh | RTI Application Form, </w:t>
      </w:r>
      <w:hyperlink r:id="rId25">
        <w:r w:rsidDel="00000000" w:rsidR="00000000" w:rsidRPr="00000000">
          <w:rPr>
            <w:rFonts w:ascii="Google Sans" w:cs="Google Sans" w:eastAsia="Google Sans" w:hAnsi="Google Sans"/>
            <w:color w:val="0000ee"/>
            <w:sz w:val="24"/>
            <w:szCs w:val="24"/>
            <w:u w:val="single"/>
            <w:rtl w:val="0"/>
          </w:rPr>
          <w:t xml:space="preserve">https://www.filertionline.in/rti/rti-in-madhya-pradesh/rti-in-gwalior</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File RTI in gwalior, madhya pradesh (2026 Process), </w:t>
      </w:r>
      <w:hyperlink r:id="rId26">
        <w:r w:rsidDel="00000000" w:rsidR="00000000" w:rsidRPr="00000000">
          <w:rPr>
            <w:rFonts w:ascii="Google Sans" w:cs="Google Sans" w:eastAsia="Google Sans" w:hAnsi="Google Sans"/>
            <w:color w:val="0000ee"/>
            <w:sz w:val="24"/>
            <w:szCs w:val="24"/>
            <w:u w:val="single"/>
            <w:rtl w:val="0"/>
          </w:rPr>
          <w:t xml:space="preserve">https://rtiguru.com/about/how-to-file-rti-for-gwalior-in-madhya-pradesh</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File RTI for Jiwaji University (2026 Process), </w:t>
      </w:r>
      <w:hyperlink r:id="rId27">
        <w:r w:rsidDel="00000000" w:rsidR="00000000" w:rsidRPr="00000000">
          <w:rPr>
            <w:rFonts w:ascii="Google Sans" w:cs="Google Sans" w:eastAsia="Google Sans" w:hAnsi="Google Sans"/>
            <w:color w:val="0000ee"/>
            <w:sz w:val="24"/>
            <w:szCs w:val="24"/>
            <w:u w:val="single"/>
            <w:rtl w:val="0"/>
          </w:rPr>
          <w:t xml:space="preserve">https://rtiguru.com/how-to-file-rti-in-jiwaji-university-in-madhya-pradesh</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Jiwaji University Degree verification - Edvantage Solution, </w:t>
      </w:r>
      <w:hyperlink r:id="rId28">
        <w:r w:rsidDel="00000000" w:rsidR="00000000" w:rsidRPr="00000000">
          <w:rPr>
            <w:rFonts w:ascii="Google Sans" w:cs="Google Sans" w:eastAsia="Google Sans" w:hAnsi="Google Sans"/>
            <w:color w:val="0000ee"/>
            <w:sz w:val="24"/>
            <w:szCs w:val="24"/>
            <w:u w:val="single"/>
            <w:rtl w:val="0"/>
          </w:rPr>
          <w:t xml:space="preserve">https://edvantagesolution.com/product/jiwaji-university-2/</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File RTI in Jiwaji University Gwalior @filertionline.in, </w:t>
      </w:r>
      <w:hyperlink r:id="rId29">
        <w:r w:rsidDel="00000000" w:rsidR="00000000" w:rsidRPr="00000000">
          <w:rPr>
            <w:rFonts w:ascii="Google Sans" w:cs="Google Sans" w:eastAsia="Google Sans" w:hAnsi="Google Sans"/>
            <w:color w:val="0000ee"/>
            <w:sz w:val="24"/>
            <w:szCs w:val="24"/>
            <w:u w:val="single"/>
            <w:rtl w:val="0"/>
          </w:rPr>
          <w:t xml:space="preserve">https://www.filertionline.in/how-to-file-rti-in-jiwaji-university-gwalior-in-madhya-pradesh</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Rti on jiwaji university - Lawyers Club India, </w:t>
      </w:r>
      <w:hyperlink r:id="rId30">
        <w:r w:rsidDel="00000000" w:rsidR="00000000" w:rsidRPr="00000000">
          <w:rPr>
            <w:rFonts w:ascii="Google Sans" w:cs="Google Sans" w:eastAsia="Google Sans" w:hAnsi="Google Sans"/>
            <w:color w:val="0000ee"/>
            <w:sz w:val="24"/>
            <w:szCs w:val="24"/>
            <w:u w:val="single"/>
            <w:rtl w:val="0"/>
          </w:rPr>
          <w:t xml:space="preserve">https://www.lawyersclubindia.com/experts/rti-on-jiwaji-university-617511.asp</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Mr. Mohd Hasmath Ali vs Ministry Of External Affairs on 9 January, </w:t>
      </w:r>
      <w:hyperlink r:id="rId31">
        <w:r w:rsidDel="00000000" w:rsidR="00000000" w:rsidRPr="00000000">
          <w:rPr>
            <w:rFonts w:ascii="Google Sans" w:cs="Google Sans" w:eastAsia="Google Sans" w:hAnsi="Google Sans"/>
            <w:color w:val="0000ee"/>
            <w:sz w:val="24"/>
            <w:szCs w:val="24"/>
            <w:u w:val="single"/>
            <w:rtl w:val="0"/>
          </w:rPr>
          <w:t xml:space="preserve">https://indiankanoon.org/doc/32370024/</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File RTI for High Court Of Madhya Pradesh (2026 Process), </w:t>
      </w:r>
      <w:hyperlink r:id="rId32">
        <w:r w:rsidDel="00000000" w:rsidR="00000000" w:rsidRPr="00000000">
          <w:rPr>
            <w:rFonts w:ascii="Google Sans" w:cs="Google Sans" w:eastAsia="Google Sans" w:hAnsi="Google Sans"/>
            <w:color w:val="0000ee"/>
            <w:sz w:val="24"/>
            <w:szCs w:val="24"/>
            <w:u w:val="single"/>
            <w:rtl w:val="0"/>
          </w:rPr>
          <w:t xml:space="preserve">https://rtiguru.com/how-to-file-rti-in-high-court-of-madhya-pradesh-in-madhya-pradesh</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File RTI in HIGH COURT OF MADHYA PRADESH JABALPUR, </w:t>
      </w:r>
      <w:hyperlink r:id="rId33">
        <w:r w:rsidDel="00000000" w:rsidR="00000000" w:rsidRPr="00000000">
          <w:rPr>
            <w:rFonts w:ascii="Google Sans" w:cs="Google Sans" w:eastAsia="Google Sans" w:hAnsi="Google Sans"/>
            <w:color w:val="0000ee"/>
            <w:sz w:val="24"/>
            <w:szCs w:val="24"/>
            <w:u w:val="single"/>
            <w:rtl w:val="0"/>
          </w:rPr>
          <w:t xml:space="preserve">https://www.filertionline.in/how-to-file-rti-in-high-court-of-madhya-pradesh-jabalpur-in-madhya-pradesh</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RTI - Kaanoon, </w:t>
      </w:r>
      <w:hyperlink r:id="rId34">
        <w:r w:rsidDel="00000000" w:rsidR="00000000" w:rsidRPr="00000000">
          <w:rPr>
            <w:rFonts w:ascii="Google Sans" w:cs="Google Sans" w:eastAsia="Google Sans" w:hAnsi="Google Sans"/>
            <w:color w:val="0000ee"/>
            <w:sz w:val="24"/>
            <w:szCs w:val="24"/>
            <w:u w:val="single"/>
            <w:rtl w:val="0"/>
          </w:rPr>
          <w:t xml:space="preserve">https://www.kaanoon.com/145376/rti</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 &amp; Bench (www.barandbench.com), </w:t>
      </w:r>
      <w:hyperlink r:id="rId35">
        <w:r w:rsidDel="00000000" w:rsidR="00000000" w:rsidRPr="00000000">
          <w:rPr>
            <w:rFonts w:ascii="Google Sans" w:cs="Google Sans" w:eastAsia="Google Sans" w:hAnsi="Google Sans"/>
            <w:color w:val="0000ee"/>
            <w:sz w:val="24"/>
            <w:szCs w:val="24"/>
            <w:u w:val="single"/>
            <w:rtl w:val="0"/>
          </w:rPr>
          <w:t xml:space="preserve">https://images.assettype.com/barandbench/import/2017/12/jic_gangele_report-watermark.pdf</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File RTI in Reserve Bank of India delhi @filertionline.in, </w:t>
      </w:r>
      <w:hyperlink r:id="rId36">
        <w:r w:rsidDel="00000000" w:rsidR="00000000" w:rsidRPr="00000000">
          <w:rPr>
            <w:rFonts w:ascii="Google Sans" w:cs="Google Sans" w:eastAsia="Google Sans" w:hAnsi="Google Sans"/>
            <w:color w:val="0000ee"/>
            <w:sz w:val="24"/>
            <w:szCs w:val="24"/>
            <w:u w:val="single"/>
            <w:rtl w:val="0"/>
          </w:rPr>
          <w:t xml:space="preserve">https://www.filertionline.in/how-to-file-rti-in-reserve-bank-of-india-delhi-in-delhi</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Mahesh Kumar Goyal vs Reserve Bank Of India on 5 April, 2022, </w:t>
      </w:r>
      <w:hyperlink r:id="rId37">
        <w:r w:rsidDel="00000000" w:rsidR="00000000" w:rsidRPr="00000000">
          <w:rPr>
            <w:rFonts w:ascii="Google Sans" w:cs="Google Sans" w:eastAsia="Google Sans" w:hAnsi="Google Sans"/>
            <w:color w:val="0000ee"/>
            <w:sz w:val="24"/>
            <w:szCs w:val="24"/>
            <w:u w:val="single"/>
            <w:rtl w:val="0"/>
          </w:rPr>
          <w:t xml:space="preserve">https://indiankanoon.org/doc/12571814/</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gwalior+sandhu | Indian Case Law - CaseMine, </w:t>
      </w:r>
      <w:hyperlink r:id="rId38">
        <w:r w:rsidDel="00000000" w:rsidR="00000000" w:rsidRPr="00000000">
          <w:rPr>
            <w:rFonts w:ascii="Google Sans" w:cs="Google Sans" w:eastAsia="Google Sans" w:hAnsi="Google Sans"/>
            <w:color w:val="0000ee"/>
            <w:sz w:val="24"/>
            <w:szCs w:val="24"/>
            <w:u w:val="single"/>
            <w:rtl w:val="0"/>
          </w:rPr>
          <w:t xml:space="preserve">https://www.casemine.com/search/in/gwalior%2Bsandhu</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owerprofessionals.wordpress.com/category/state-electricity-board/page/5/" TargetMode="External"/><Relationship Id="rId22" Type="http://schemas.openxmlformats.org/officeDocument/2006/relationships/hyperlink" Target="https://rtiguru.com/how-to-file-rti-in-state-project-directorate-higher-education-department-govt-of-m-p-in-madhya-pradesh" TargetMode="External"/><Relationship Id="rId21" Type="http://schemas.openxmlformats.org/officeDocument/2006/relationships/hyperlink" Target="https://www.scribd.com/document/734812768/MOP-Annual-Report-Eng-2020-21" TargetMode="External"/><Relationship Id="rId24" Type="http://schemas.openxmlformats.org/officeDocument/2006/relationships/hyperlink" Target="https://lexforti.com/legal-news/neither-the-central-information-commission-nor-the-state-information-commission-is-empowered-to-appoint-a-committee-for-conducting-an-inquiry-for-and-on-its-behalf-2/" TargetMode="External"/><Relationship Id="rId23" Type="http://schemas.openxmlformats.org/officeDocument/2006/relationships/hyperlink" Target="https://rtiguru.com/how-to-file-rti-in-madhya-pradesh-state-information-commission-in-madhya-prades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icgc.org.in/RTI" TargetMode="External"/><Relationship Id="rId26" Type="http://schemas.openxmlformats.org/officeDocument/2006/relationships/hyperlink" Target="https://rtiguru.com/about/how-to-file-rti-for-gwalior-in-madhya-pradesh" TargetMode="External"/><Relationship Id="rId25" Type="http://schemas.openxmlformats.org/officeDocument/2006/relationships/hyperlink" Target="https://www.filertionline.in/rti/rti-in-madhya-pradesh/rti-in-gwalior" TargetMode="External"/><Relationship Id="rId28" Type="http://schemas.openxmlformats.org/officeDocument/2006/relationships/hyperlink" Target="https://edvantagesolution.com/product/jiwaji-university-2/" TargetMode="External"/><Relationship Id="rId27" Type="http://schemas.openxmlformats.org/officeDocument/2006/relationships/hyperlink" Target="https://rtiguru.com/how-to-file-rti-in-jiwaji-university-in-madhya-pradesh" TargetMode="External"/><Relationship Id="rId5" Type="http://schemas.openxmlformats.org/officeDocument/2006/relationships/styles" Target="styles.xml"/><Relationship Id="rId6" Type="http://schemas.openxmlformats.org/officeDocument/2006/relationships/hyperlink" Target="https://rtiguru.com/blog/rbi-apply-rti-online" TargetMode="External"/><Relationship Id="rId29" Type="http://schemas.openxmlformats.org/officeDocument/2006/relationships/hyperlink" Target="https://www.filertionline.in/how-to-file-rti-in-jiwaji-university-gwalior-in-madhya-pradesh" TargetMode="External"/><Relationship Id="rId7" Type="http://schemas.openxmlformats.org/officeDocument/2006/relationships/hyperlink" Target="https://indiankanoon.org/doc/171941920/" TargetMode="External"/><Relationship Id="rId8" Type="http://schemas.openxmlformats.org/officeDocument/2006/relationships/hyperlink" Target="https://rbi.org.in/Scripts/Righttoinfoact.aspx" TargetMode="External"/><Relationship Id="rId31" Type="http://schemas.openxmlformats.org/officeDocument/2006/relationships/hyperlink" Target="https://indiankanoon.org/doc/32370024/" TargetMode="External"/><Relationship Id="rId30" Type="http://schemas.openxmlformats.org/officeDocument/2006/relationships/hyperlink" Target="https://www.lawyersclubindia.com/experts/rti-on-jiwaji-university-617511.asp" TargetMode="External"/><Relationship Id="rId11" Type="http://schemas.openxmlformats.org/officeDocument/2006/relationships/hyperlink" Target="https://centralbank.bank.in/en/Central-Public-Information-Officers-Regional-Offices" TargetMode="External"/><Relationship Id="rId33" Type="http://schemas.openxmlformats.org/officeDocument/2006/relationships/hyperlink" Target="https://www.filertionline.in/how-to-file-rti-in-high-court-of-madhya-pradesh-jabalpur-in-madhya-pradesh" TargetMode="External"/><Relationship Id="rId10" Type="http://schemas.openxmlformats.org/officeDocument/2006/relationships/hyperlink" Target="https://www.brbnmpl.co.in/rti-act-2005/" TargetMode="External"/><Relationship Id="rId32" Type="http://schemas.openxmlformats.org/officeDocument/2006/relationships/hyperlink" Target="https://rtiguru.com/how-to-file-rti-in-high-court-of-madhya-pradesh-in-madhya-pradesh" TargetMode="External"/><Relationship Id="rId13" Type="http://schemas.openxmlformats.org/officeDocument/2006/relationships/hyperlink" Target="http://docs.google.com/unknown_url" TargetMode="External"/><Relationship Id="rId35" Type="http://schemas.openxmlformats.org/officeDocument/2006/relationships/hyperlink" Target="https://images.assettype.com/barandbench/import/2017/12/jic_gangele_report-watermark.pdf" TargetMode="External"/><Relationship Id="rId12" Type="http://schemas.openxmlformats.org/officeDocument/2006/relationships/hyperlink" Target="https://indianbank.bank.in/en/right-to-information-act-2005" TargetMode="External"/><Relationship Id="rId34" Type="http://schemas.openxmlformats.org/officeDocument/2006/relationships/hyperlink" Target="https://www.kaanoon.com/145376/rti" TargetMode="External"/><Relationship Id="rId15" Type="http://schemas.openxmlformats.org/officeDocument/2006/relationships/hyperlink" Target="https://www.ndtv.com/india-news/ajay-dubey-rti-right-to-information-applicant-in-madhya-pradesh-asked-to-pay-gst-cgst-sgst-for-infor-1910004" TargetMode="External"/><Relationship Id="rId37" Type="http://schemas.openxmlformats.org/officeDocument/2006/relationships/hyperlink" Target="https://indiankanoon.org/doc/12571814/" TargetMode="External"/><Relationship Id="rId14" Type="http://schemas.openxmlformats.org/officeDocument/2006/relationships/hyperlink" Target="https://rtiguru.com/how-to-file-rti-in-madhya-pradesh-real-estate-regulatory-authority-in-madhya-pradesh" TargetMode="External"/><Relationship Id="rId36" Type="http://schemas.openxmlformats.org/officeDocument/2006/relationships/hyperlink" Target="https://www.filertionline.in/how-to-file-rti-in-reserve-bank-of-india-delhi-in-delhi" TargetMode="External"/><Relationship Id="rId17" Type="http://schemas.openxmlformats.org/officeDocument/2006/relationships/hyperlink" Target="https://www.bseindia.com/xml-data/corpfiling/AttachLive/c3b85eee-02ce-48e5-a541-fc3e2c09006d.pdf" TargetMode="External"/><Relationship Id="rId16" Type="http://schemas.openxmlformats.org/officeDocument/2006/relationships/hyperlink" Target="https://reat.bihar.gov.in/" TargetMode="External"/><Relationship Id="rId38" Type="http://schemas.openxmlformats.org/officeDocument/2006/relationships/hyperlink" Target="https://www.casemine.com/search/in/gwalior%2Bsandhu" TargetMode="External"/><Relationship Id="rId19" Type="http://schemas.openxmlformats.org/officeDocument/2006/relationships/hyperlink" Target="https://itisbl.com/Market/CorporateInformation/Director-Report/rail_vikas/26721" TargetMode="External"/><Relationship Id="rId18" Type="http://schemas.openxmlformats.org/officeDocument/2006/relationships/hyperlink" Target="https://www.bseindia.com/xml-data/corpfiling/AttachHis/0f8d2869-2f18-4d96-96a5-489d94fddc4c.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