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240" w:lineRule="auto"/>
        <w:ind w:right="-450"/>
        <w:rPr>
          <w:rFonts w:ascii="Times New Roman" w:cs="Times New Roman" w:eastAsia="Times New Roman" w:hAnsi="Times New Roman"/>
          <w:b w:val="1"/>
          <w:color w:val="000000"/>
          <w:sz w:val="24"/>
          <w:szCs w:val="24"/>
        </w:rPr>
      </w:pPr>
      <w:bookmarkStart w:colFirst="0" w:colLast="0" w:name="_xfpx622kbc5u" w:id="0"/>
      <w:bookmarkEnd w:id="0"/>
      <w:r w:rsidDel="00000000" w:rsidR="00000000" w:rsidRPr="00000000">
        <w:rPr>
          <w:rFonts w:ascii="Times New Roman" w:cs="Times New Roman" w:eastAsia="Times New Roman" w:hAnsi="Times New Roman"/>
          <w:b w:val="1"/>
          <w:color w:val="000000"/>
          <w:rtl w:val="0"/>
        </w:rPr>
        <w:t xml:space="preserve">Time series Forecasting Tidal Power Generation: A comparative study with Machine Learning and Quantile Regression</w:t>
      </w:r>
      <w:r w:rsidDel="00000000" w:rsidR="00000000" w:rsidRPr="00000000">
        <w:rPr>
          <w:rtl w:val="0"/>
        </w:rPr>
      </w:r>
    </w:p>
    <w:p w:rsidR="00000000" w:rsidDel="00000000" w:rsidP="00000000" w:rsidRDefault="00000000" w:rsidRPr="00000000" w14:paraId="00000002">
      <w:pPr>
        <w:pStyle w:val="Heading3"/>
        <w:keepNext w:val="0"/>
        <w:keepLines w:val="0"/>
        <w:spacing w:after="120" w:before="80" w:line="240" w:lineRule="auto"/>
        <w:ind w:right="-450"/>
        <w:rPr>
          <w:rFonts w:ascii="Times New Roman" w:cs="Times New Roman" w:eastAsia="Times New Roman" w:hAnsi="Times New Roman"/>
          <w:b w:val="1"/>
          <w:color w:val="000000"/>
          <w:sz w:val="24"/>
          <w:szCs w:val="24"/>
        </w:rPr>
      </w:pPr>
      <w:bookmarkStart w:colFirst="0" w:colLast="0" w:name="_1k1vx2rx5n75" w:id="1"/>
      <w:bookmarkEnd w:id="1"/>
      <w:r w:rsidDel="00000000" w:rsidR="00000000" w:rsidRPr="00000000">
        <w:rPr>
          <w:rFonts w:ascii="Times New Roman" w:cs="Times New Roman" w:eastAsia="Times New Roman" w:hAnsi="Times New Roman"/>
          <w:b w:val="1"/>
          <w:color w:val="000000"/>
          <w:sz w:val="24"/>
          <w:szCs w:val="24"/>
          <w:rtl w:val="0"/>
        </w:rPr>
        <w:t xml:space="preserve">Project Overview</w:t>
      </w:r>
    </w:p>
    <w:p w:rsidR="00000000" w:rsidDel="00000000" w:rsidP="00000000" w:rsidRDefault="00000000" w:rsidRPr="00000000" w14:paraId="00000003">
      <w:pPr>
        <w:pStyle w:val="Heading3"/>
        <w:keepNext w:val="0"/>
        <w:keepLines w:val="0"/>
        <w:spacing w:before="80" w:line="240" w:lineRule="auto"/>
        <w:ind w:right="-450"/>
        <w:rPr>
          <w:rFonts w:ascii="Times New Roman" w:cs="Times New Roman" w:eastAsia="Times New Roman" w:hAnsi="Times New Roman"/>
          <w:b w:val="1"/>
          <w:color w:val="000000"/>
          <w:sz w:val="24"/>
          <w:szCs w:val="24"/>
        </w:rPr>
      </w:pPr>
      <w:bookmarkStart w:colFirst="0" w:colLast="0" w:name="_bantq9qcg93d" w:id="2"/>
      <w:bookmarkEnd w:id="2"/>
      <w:r w:rsidDel="00000000" w:rsidR="00000000" w:rsidRPr="00000000">
        <w:rPr>
          <w:rFonts w:ascii="Times New Roman" w:cs="Times New Roman" w:eastAsia="Times New Roman" w:hAnsi="Times New Roman"/>
          <w:b w:val="1"/>
          <w:color w:val="000000"/>
          <w:sz w:val="24"/>
          <w:szCs w:val="24"/>
          <w:rtl w:val="0"/>
        </w:rPr>
        <w:t xml:space="preserve">Background</w:t>
      </w:r>
    </w:p>
    <w:p w:rsidR="00000000" w:rsidDel="00000000" w:rsidP="00000000" w:rsidRDefault="00000000" w:rsidRPr="00000000" w14:paraId="00000004">
      <w:pPr>
        <w:spacing w:after="80" w:before="0" w:line="240" w:lineRule="auto"/>
        <w:ind w:righ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Tidal and wave energy are promising sources of renewable energy, offering a continuous and predictable power supply compared to other intermittent sources like solar and wind. However, the efficiency of wave energy systems depends heavily on accurately predicting ocean wave characteristics such as Significant Wave Height (SWH) and Mean Wave Period (MWP). These parameters influence the power output and operational planning of tidal power systems.</w:t>
      </w:r>
    </w:p>
    <w:p w:rsidR="00000000" w:rsidDel="00000000" w:rsidP="00000000" w:rsidRDefault="00000000" w:rsidRPr="00000000" w14:paraId="00000005">
      <w:pPr>
        <w:spacing w:after="80" w:before="0" w:line="240" w:lineRule="auto"/>
        <w:ind w:righ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variability in wave conditions presents a challenge in maintaining stable power generation, making accurate forecasts essential for efficient integration into power grids. Traditional forecasting models, while effective to some extent, often struggle with capturing the complex temporal dependencies and uncertainties in oceanographic data. This project aims to address these challenges by developing and comparing time series forecasting models using machine learning techniques and quantile regression. The integration of these methods is intended to not only improve predictive accuracy but also provide insights into the range and uncertainty of forecasts, thus supporting better decision-making in wave power generation.</w:t>
      </w:r>
      <w:r w:rsidDel="00000000" w:rsidR="00000000" w:rsidRPr="00000000">
        <w:rPr>
          <w:rtl w:val="0"/>
        </w:rPr>
      </w:r>
    </w:p>
    <w:p w:rsidR="00000000" w:rsidDel="00000000" w:rsidP="00000000" w:rsidRDefault="00000000" w:rsidRPr="00000000" w14:paraId="00000006">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Aim</w:t>
      </w:r>
    </w:p>
    <w:p w:rsidR="00000000" w:rsidDel="00000000" w:rsidP="00000000" w:rsidRDefault="00000000" w:rsidRPr="00000000" w14:paraId="00000007">
      <w:pPr>
        <w:spacing w:line="240" w:lineRule="auto"/>
        <w:ind w:righ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aims to develop and compare models for forecasting SWH and MWP using historical oceanographic data. A combination of machine learning methods and quantile regression will be applied to provide point and interval estimates of wave conditions. The goal is to assess the effectiveness of each approach in forecasting tidal power generation, contributing to improved planning and optimization of wave energy systems.</w:t>
      </w:r>
      <w:r w:rsidDel="00000000" w:rsidR="00000000" w:rsidRPr="00000000">
        <w:rPr>
          <w:rtl w:val="0"/>
        </w:rPr>
      </w:r>
    </w:p>
    <w:p w:rsidR="00000000" w:rsidDel="00000000" w:rsidP="00000000" w:rsidRDefault="00000000" w:rsidRPr="00000000" w14:paraId="00000008">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Research Questions</w:t>
      </w:r>
    </w:p>
    <w:p w:rsidR="00000000" w:rsidDel="00000000" w:rsidP="00000000" w:rsidRDefault="00000000" w:rsidRPr="00000000" w14:paraId="00000009">
      <w:pPr>
        <w:spacing w:line="240" w:lineRule="auto"/>
        <w:ind w:righ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seeks to address the following research questions:</w:t>
      </w:r>
    </w:p>
    <w:p w:rsidR="00000000" w:rsidDel="00000000" w:rsidP="00000000" w:rsidRDefault="00000000" w:rsidRPr="00000000" w14:paraId="0000000A">
      <w:pPr>
        <w:numPr>
          <w:ilvl w:val="0"/>
          <w:numId w:val="4"/>
        </w:numPr>
        <w:spacing w:line="240" w:lineRule="auto"/>
        <w:ind w:left="720" w:righ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accurately can we predict SWH and MWP using time series data and machine learning models?</w:t>
      </w:r>
    </w:p>
    <w:p w:rsidR="00000000" w:rsidDel="00000000" w:rsidP="00000000" w:rsidRDefault="00000000" w:rsidRPr="00000000" w14:paraId="0000000B">
      <w:pPr>
        <w:numPr>
          <w:ilvl w:val="0"/>
          <w:numId w:val="4"/>
        </w:numPr>
        <w:spacing w:line="240" w:lineRule="auto"/>
        <w:ind w:left="720" w:righ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quantile regression enhance the understanding of uncertainty in SWH and MWP forecasts?</w:t>
      </w:r>
    </w:p>
    <w:p w:rsidR="00000000" w:rsidDel="00000000" w:rsidP="00000000" w:rsidRDefault="00000000" w:rsidRPr="00000000" w14:paraId="0000000C">
      <w:pPr>
        <w:numPr>
          <w:ilvl w:val="0"/>
          <w:numId w:val="4"/>
        </w:numPr>
        <w:spacing w:line="240" w:lineRule="auto"/>
        <w:ind w:left="720" w:righ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oceanographic variables significantly impact day-ahead forecasts of SWH and MWP?</w:t>
      </w:r>
    </w:p>
    <w:p w:rsidR="00000000" w:rsidDel="00000000" w:rsidP="00000000" w:rsidRDefault="00000000" w:rsidRPr="00000000" w14:paraId="0000000D">
      <w:pPr>
        <w:numPr>
          <w:ilvl w:val="0"/>
          <w:numId w:val="4"/>
        </w:numPr>
        <w:spacing w:line="240" w:lineRule="auto"/>
        <w:ind w:left="720" w:righ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the combined approach improve the practical application of wave forecasts in tidal power generation?</w:t>
      </w:r>
    </w:p>
    <w:p w:rsidR="00000000" w:rsidDel="00000000" w:rsidP="00000000" w:rsidRDefault="00000000" w:rsidRPr="00000000" w14:paraId="0000000E">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Objectives</w:t>
      </w:r>
    </w:p>
    <w:p w:rsidR="00000000" w:rsidDel="00000000" w:rsidP="00000000" w:rsidRDefault="00000000" w:rsidRPr="00000000" w14:paraId="0000000F">
      <w:pPr>
        <w:numPr>
          <w:ilvl w:val="0"/>
          <w:numId w:val="3"/>
        </w:numPr>
        <w:spacing w:after="0" w:afterAutospacing="0" w:line="240" w:lineRule="auto"/>
        <w:ind w:left="720" w:righ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and compare predictive models for SWH and MWP using time series data:</w:t>
      </w:r>
    </w:p>
    <w:p w:rsidR="00000000" w:rsidDel="00000000" w:rsidP="00000000" w:rsidRDefault="00000000" w:rsidRPr="00000000" w14:paraId="00000010">
      <w:pPr>
        <w:numPr>
          <w:ilvl w:val="1"/>
          <w:numId w:val="3"/>
        </w:numPr>
        <w:spacing w:after="0" w:afterAutospacing="0" w:before="0" w:beforeAutospacing="0" w:line="240" w:lineRule="auto"/>
        <w:ind w:left="1440" w:righ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Utilize variables like wave velocity, SST, wind speed, and tidal height.</w:t>
      </w:r>
    </w:p>
    <w:p w:rsidR="00000000" w:rsidDel="00000000" w:rsidP="00000000" w:rsidRDefault="00000000" w:rsidRPr="00000000" w14:paraId="00000011">
      <w:pPr>
        <w:numPr>
          <w:ilvl w:val="1"/>
          <w:numId w:val="3"/>
        </w:numPr>
        <w:spacing w:after="0" w:afterAutospacing="0" w:before="0" w:beforeAutospacing="0" w:line="240" w:lineRule="auto"/>
        <w:ind w:left="1440" w:righ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performance of traditional time series models with machine learning methods.</w:t>
      </w:r>
    </w:p>
    <w:p w:rsidR="00000000" w:rsidDel="00000000" w:rsidP="00000000" w:rsidRDefault="00000000" w:rsidRPr="00000000" w14:paraId="00000012">
      <w:pPr>
        <w:numPr>
          <w:ilvl w:val="0"/>
          <w:numId w:val="3"/>
        </w:numPr>
        <w:spacing w:after="0" w:afterAutospacing="0" w:line="240" w:lineRule="auto"/>
        <w:ind w:left="720" w:righ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quantile regression to provide prediction intervals for SWH and MWP:</w:t>
      </w:r>
    </w:p>
    <w:p w:rsidR="00000000" w:rsidDel="00000000" w:rsidP="00000000" w:rsidRDefault="00000000" w:rsidRPr="00000000" w14:paraId="00000013">
      <w:pPr>
        <w:numPr>
          <w:ilvl w:val="1"/>
          <w:numId w:val="3"/>
        </w:numPr>
        <w:spacing w:after="0" w:afterAutospacing="0" w:before="0" w:beforeAutospacing="0" w:line="240" w:lineRule="auto"/>
        <w:ind w:left="1440" w:righ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Focus on key quantiles (e.g., 10th, 50th, 90th percentiles).</w:t>
      </w:r>
    </w:p>
    <w:p w:rsidR="00000000" w:rsidDel="00000000" w:rsidP="00000000" w:rsidRDefault="00000000" w:rsidRPr="00000000" w14:paraId="00000014">
      <w:pPr>
        <w:numPr>
          <w:ilvl w:val="0"/>
          <w:numId w:val="3"/>
        </w:numPr>
        <w:spacing w:after="0" w:afterAutospacing="0" w:line="240" w:lineRule="auto"/>
        <w:ind w:left="720" w:righ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Analyze model performance using metrics like RMSE, MAE, and interval coverage:</w:t>
      </w:r>
    </w:p>
    <w:p w:rsidR="00000000" w:rsidDel="00000000" w:rsidP="00000000" w:rsidRDefault="00000000" w:rsidRPr="00000000" w14:paraId="00000015">
      <w:pPr>
        <w:numPr>
          <w:ilvl w:val="1"/>
          <w:numId w:val="3"/>
        </w:numPr>
        <w:spacing w:after="0" w:afterAutospacing="0" w:before="0" w:beforeAutospacing="0" w:line="240" w:lineRule="auto"/>
        <w:ind w:left="1440" w:righ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Assess the accuracy and reliability of forecasts for practical energy planning.</w:t>
      </w:r>
    </w:p>
    <w:p w:rsidR="00000000" w:rsidDel="00000000" w:rsidP="00000000" w:rsidRDefault="00000000" w:rsidRPr="00000000" w14:paraId="00000016">
      <w:pPr>
        <w:numPr>
          <w:ilvl w:val="0"/>
          <w:numId w:val="3"/>
        </w:numPr>
        <w:spacing w:line="240" w:lineRule="auto"/>
        <w:ind w:left="720" w:righ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insights into optimizing wave energy generation based on predictive models.</w:t>
      </w:r>
      <w:r w:rsidDel="00000000" w:rsidR="00000000" w:rsidRPr="00000000">
        <w:rPr>
          <w:rtl w:val="0"/>
        </w:rPr>
      </w:r>
    </w:p>
    <w:p w:rsidR="00000000" w:rsidDel="00000000" w:rsidP="00000000" w:rsidRDefault="00000000" w:rsidRPr="00000000" w14:paraId="00000017">
      <w:pPr>
        <w:pStyle w:val="Heading3"/>
        <w:keepNext w:val="0"/>
        <w:keepLines w:val="0"/>
        <w:spacing w:after="120" w:before="80" w:line="240" w:lineRule="auto"/>
        <w:ind w:right="-450"/>
        <w:rPr>
          <w:rFonts w:ascii="Times New Roman" w:cs="Times New Roman" w:eastAsia="Times New Roman" w:hAnsi="Times New Roman"/>
          <w:b w:val="1"/>
          <w:color w:val="000000"/>
          <w:sz w:val="26"/>
          <w:szCs w:val="26"/>
        </w:rPr>
      </w:pPr>
      <w:bookmarkStart w:colFirst="0" w:colLast="0" w:name="_pz52p1vnn27f" w:id="3"/>
      <w:bookmarkEnd w:id="3"/>
      <w:r w:rsidDel="00000000" w:rsidR="00000000" w:rsidRPr="00000000">
        <w:rPr>
          <w:rFonts w:ascii="Times New Roman" w:cs="Times New Roman" w:eastAsia="Times New Roman" w:hAnsi="Times New Roman"/>
          <w:b w:val="1"/>
          <w:color w:val="000000"/>
          <w:sz w:val="26"/>
          <w:szCs w:val="26"/>
          <w:rtl w:val="0"/>
        </w:rPr>
        <w:t xml:space="preserve">Project Plan</w:t>
      </w:r>
    </w:p>
    <w:p w:rsidR="00000000" w:rsidDel="00000000" w:rsidP="00000000" w:rsidRDefault="00000000" w:rsidRPr="00000000" w14:paraId="00000018">
      <w:pPr>
        <w:spacing w:after="80" w:before="80" w:line="240" w:lineRule="auto"/>
        <w:ind w:right="-45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1. Project Timeline</w:t>
      </w:r>
      <w:r w:rsidDel="00000000" w:rsidR="00000000" w:rsidRPr="00000000">
        <w:rPr>
          <w:rtl w:val="0"/>
        </w:rPr>
      </w:r>
    </w:p>
    <w:tbl>
      <w:tblPr>
        <w:tblStyle w:val="Table1"/>
        <w:tblW w:w="999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2820"/>
        <w:gridCol w:w="6420"/>
        <w:tblGridChange w:id="0">
          <w:tblGrid>
            <w:gridCol w:w="750"/>
            <w:gridCol w:w="2820"/>
            <w:gridCol w:w="642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19">
            <w:pPr>
              <w:spacing w:after="80" w:before="80" w:line="240" w:lineRule="auto"/>
              <w:ind w:left="-450" w:right="-450"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Week</w:t>
            </w:r>
          </w:p>
        </w:tc>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1A">
            <w:pPr>
              <w:spacing w:after="80" w:before="80" w:line="240" w:lineRule="auto"/>
              <w:ind w:left="-360" w:right="-180"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1B">
            <w:pPr>
              <w:spacing w:after="80" w:before="80" w:line="240" w:lineRule="auto"/>
              <w:ind w:left="-360" w:right="-450"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Specific Tasks</w:t>
            </w:r>
          </w:p>
        </w:tc>
      </w:tr>
      <w:tr>
        <w:trPr>
          <w:cantSplit w:val="0"/>
          <w:trHeight w:val="637.9200000000001"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1C">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Review</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center"/>
          </w:tcPr>
          <w:p w:rsidR="00000000" w:rsidDel="00000000" w:rsidP="00000000" w:rsidRDefault="00000000" w:rsidRPr="00000000" w14:paraId="0000001E">
            <w:pPr>
              <w:spacing w:after="80" w:before="80"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background studies and refer similar literature </w:t>
            </w:r>
          </w:p>
        </w:tc>
      </w:tr>
      <w:tr>
        <w:trPr>
          <w:cantSplit w:val="0"/>
          <w:trHeight w:val="637.9200000000001"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1F">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center"/>
          </w:tcPr>
          <w:p w:rsidR="00000000" w:rsidDel="00000000" w:rsidP="00000000" w:rsidRDefault="00000000" w:rsidRPr="00000000" w14:paraId="00000021">
            <w:pPr>
              <w:spacing w:after="80" w:before="80"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historical oceanographic data for SWH and MWP, including relevant features; ensure data is cleaned and properly formatted for analysis.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2">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2</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3">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w:t>
            </w:r>
          </w:p>
        </w:tc>
        <w:tc>
          <w:tcPr>
            <w:tcBorders>
              <w:top w:color="000000" w:space="0" w:sz="4" w:val="single"/>
              <w:left w:color="000000" w:space="0" w:sz="4" w:val="single"/>
              <w:bottom w:color="000000" w:space="0" w:sz="4" w:val="single"/>
              <w:right w:color="000000" w:space="0" w:sz="4" w:val="single"/>
            </w:tcBorders>
            <w:shd w:fill="c9daf8" w:val="clear"/>
            <w:tcMar>
              <w:top w:w="99.36" w:type="dxa"/>
              <w:left w:w="99.36" w:type="dxa"/>
              <w:bottom w:w="99.36" w:type="dxa"/>
              <w:right w:w="99.36" w:type="dxa"/>
            </w:tcMar>
            <w:vAlign w:val="top"/>
          </w:tcPr>
          <w:p w:rsidR="00000000" w:rsidDel="00000000" w:rsidP="00000000" w:rsidRDefault="00000000" w:rsidRPr="00000000" w14:paraId="00000024">
            <w:pPr>
              <w:spacing w:after="80" w:before="80"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missing values and outliers in the dataset; normalize or standardize the feature variables as needed.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5">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 (EDA)</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27">
            <w:pPr>
              <w:spacing w:after="80" w:before="80"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descriptive statistics to summarize key variables; visualize data distributions, trends, and correlations using plots.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8">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4</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9">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Engineering for SWH</w:t>
            </w:r>
          </w:p>
        </w:tc>
        <w:tc>
          <w:tcPr>
            <w:tcBorders>
              <w:top w:color="000000" w:space="0" w:sz="4" w:val="single"/>
              <w:left w:color="000000" w:space="0" w:sz="4" w:val="single"/>
              <w:bottom w:color="000000" w:space="0" w:sz="4" w:val="single"/>
              <w:right w:color="000000" w:space="0" w:sz="4" w:val="single"/>
            </w:tcBorders>
            <w:shd w:fill="c9daf8" w:val="clear"/>
            <w:tcMar>
              <w:top w:w="99.36" w:type="dxa"/>
              <w:left w:w="99.36" w:type="dxa"/>
              <w:bottom w:w="99.36" w:type="dxa"/>
              <w:right w:w="99.36" w:type="dxa"/>
            </w:tcMar>
            <w:vAlign w:val="top"/>
          </w:tcPr>
          <w:p w:rsidR="00000000" w:rsidDel="00000000" w:rsidP="00000000" w:rsidRDefault="00000000" w:rsidRPr="00000000" w14:paraId="0000002A">
            <w:pPr>
              <w:spacing w:after="80" w:before="80"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lag features and rolling statistics for SWH; introduce interaction features and cyclic transformations for time-related variables.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B">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Selection for SWH</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2D">
            <w:pPr>
              <w:spacing w:after="80" w:before="80"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classical time series models (ARIMAX, SARIMAX) for baseline comparisons; begin implementing machine learning models (Random Forest, XGBoost and Quantile regression) for SWH forecasting.</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E">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6</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F">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Development for SWH</w:t>
            </w:r>
          </w:p>
        </w:tc>
        <w:tc>
          <w:tcPr>
            <w:tcBorders>
              <w:top w:color="000000" w:space="0" w:sz="4" w:val="single"/>
              <w:left w:color="000000" w:space="0" w:sz="4" w:val="single"/>
              <w:bottom w:color="000000" w:space="0" w:sz="4" w:val="single"/>
              <w:right w:color="000000" w:space="0" w:sz="4" w:val="single"/>
            </w:tcBorders>
            <w:shd w:fill="c9daf8" w:val="clear"/>
            <w:tcMar>
              <w:top w:w="99.36" w:type="dxa"/>
              <w:left w:w="99.36" w:type="dxa"/>
              <w:bottom w:w="99.36" w:type="dxa"/>
              <w:right w:w="99.36" w:type="dxa"/>
            </w:tcMar>
            <w:vAlign w:val="top"/>
          </w:tcPr>
          <w:p w:rsidR="00000000" w:rsidDel="00000000" w:rsidP="00000000" w:rsidRDefault="00000000" w:rsidRPr="00000000" w14:paraId="00000030">
            <w:pPr>
              <w:spacing w:after="80" w:before="80"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and evaluate selected machine learning models; perform hyperparameter tuning to optimize model performance.</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1">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Evaluation for SWH</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33">
            <w:pPr>
              <w:spacing w:after="80" w:before="80"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SWH models using RMSE, MAE, and correlation metrics; conduct time series cross-validation to assess model generalization.</w:t>
            </w:r>
          </w:p>
        </w:tc>
      </w:tr>
      <w:tr>
        <w:trPr>
          <w:cantSplit w:val="0"/>
          <w:trHeight w:val="349.91999999999996"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4">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8</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5">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Engineering for MWP</w:t>
            </w:r>
          </w:p>
        </w:tc>
        <w:tc>
          <w:tcPr>
            <w:tcBorders>
              <w:top w:color="000000" w:space="0" w:sz="4" w:val="single"/>
              <w:left w:color="000000" w:space="0" w:sz="4" w:val="single"/>
              <w:bottom w:color="000000" w:space="0" w:sz="4" w:val="single"/>
              <w:right w:color="000000" w:space="0" w:sz="4" w:val="single"/>
            </w:tcBorders>
            <w:shd w:fill="c9daf8" w:val="clear"/>
            <w:tcMar>
              <w:top w:w="99.36" w:type="dxa"/>
              <w:left w:w="99.36" w:type="dxa"/>
              <w:bottom w:w="99.36" w:type="dxa"/>
              <w:right w:w="99.36" w:type="dxa"/>
            </w:tcMar>
            <w:vAlign w:val="top"/>
          </w:tcPr>
          <w:p w:rsidR="00000000" w:rsidDel="00000000" w:rsidP="00000000" w:rsidRDefault="00000000" w:rsidRPr="00000000" w14:paraId="00000036">
            <w:pPr>
              <w:spacing w:after="80" w:before="80"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feature engineering steps for MWP similar to SWH; ensure to create lag and interaction features relevant to MWP.</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7">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Selection for MWP</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39">
            <w:pPr>
              <w:spacing w:after="80" w:before="80"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baseline models (ARIMA, SARIMA) for MWP; begin developing machine learning and deep learning models (LSTM, GRU) for MWP forecasting.</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A">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10</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B">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Development for MWP</w:t>
            </w:r>
          </w:p>
        </w:tc>
        <w:tc>
          <w:tcPr>
            <w:tcBorders>
              <w:top w:color="000000" w:space="0" w:sz="4" w:val="single"/>
              <w:left w:color="000000" w:space="0" w:sz="4" w:val="single"/>
              <w:bottom w:color="000000" w:space="0" w:sz="4" w:val="single"/>
              <w:right w:color="000000" w:space="0" w:sz="4" w:val="single"/>
            </w:tcBorders>
            <w:shd w:fill="c9daf8" w:val="clear"/>
            <w:tcMar>
              <w:top w:w="99.36" w:type="dxa"/>
              <w:left w:w="99.36" w:type="dxa"/>
              <w:bottom w:w="99.36" w:type="dxa"/>
              <w:right w:w="99.36" w:type="dxa"/>
            </w:tcMar>
            <w:vAlign w:val="top"/>
          </w:tcPr>
          <w:p w:rsidR="00000000" w:rsidDel="00000000" w:rsidP="00000000" w:rsidRDefault="00000000" w:rsidRPr="00000000" w14:paraId="0000003C">
            <w:pPr>
              <w:spacing w:after="80" w:before="80"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selected models for MWP and perform hyperparameter tuning; validate models using appropriate metrics for MWP.</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3D">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Comparative Analysis of SWH and MWP Models</w:t>
            </w:r>
          </w:p>
        </w:tc>
        <w:tc>
          <w:tcPr>
            <w:tcBorders>
              <w:top w:color="000000"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top"/>
          </w:tcPr>
          <w:p w:rsidR="00000000" w:rsidDel="00000000" w:rsidP="00000000" w:rsidRDefault="00000000" w:rsidRPr="00000000" w14:paraId="0000003F">
            <w:pPr>
              <w:spacing w:after="80" w:before="80" w:line="240" w:lineRule="auto"/>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the performance of SWH and MWP models using visualizations and summary statistics; prepare a report on findings and insights from both forecasting models.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0">
            <w:pPr>
              <w:spacing w:after="80" w:before="80" w:line="240" w:lineRule="auto"/>
              <w:ind w:right="-450"/>
              <w:rPr>
                <w:rFonts w:ascii="Times New Roman" w:cs="Times New Roman" w:eastAsia="Times New Roman" w:hAnsi="Times New Roman"/>
                <w:b w:val="1"/>
                <w:color w:val="ffffff"/>
              </w:rPr>
            </w:pPr>
            <w:r w:rsidDel="00000000" w:rsidR="00000000" w:rsidRPr="00000000">
              <w:rPr>
                <w:rtl w:val="0"/>
              </w:rPr>
            </w:r>
          </w:p>
          <w:p w:rsidR="00000000" w:rsidDel="00000000" w:rsidP="00000000" w:rsidRDefault="00000000" w:rsidRPr="00000000" w14:paraId="00000041">
            <w:pPr>
              <w:spacing w:after="80" w:before="80" w:line="240" w:lineRule="auto"/>
              <w:ind w:right="-45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12</w:t>
            </w:r>
          </w:p>
        </w:tc>
        <w:tc>
          <w:tcPr>
            <w:tcBorders>
              <w:top w:color="000000" w:space="0" w:sz="4" w:val="single"/>
              <w:left w:color="000000" w:space="0" w:sz="4" w:val="single"/>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2">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Review and Documentation</w:t>
            </w:r>
          </w:p>
        </w:tc>
        <w:tc>
          <w:tcPr>
            <w:tcBorders>
              <w:top w:color="000000" w:space="0" w:sz="4" w:val="single"/>
              <w:left w:color="000000" w:space="0" w:sz="4" w:val="single"/>
              <w:bottom w:color="000000" w:space="0" w:sz="4" w:val="single"/>
              <w:right w:color="000000" w:space="0" w:sz="4" w:val="single"/>
            </w:tcBorders>
            <w:shd w:fill="c9daf8" w:val="clear"/>
            <w:tcMar>
              <w:top w:w="99.36" w:type="dxa"/>
              <w:left w:w="99.36" w:type="dxa"/>
              <w:bottom w:w="99.36" w:type="dxa"/>
              <w:right w:w="99.36" w:type="dxa"/>
            </w:tcMar>
            <w:vAlign w:val="top"/>
          </w:tcPr>
          <w:p w:rsidR="00000000" w:rsidDel="00000000" w:rsidP="00000000" w:rsidRDefault="00000000" w:rsidRPr="00000000" w14:paraId="00000043">
            <w:pPr>
              <w:spacing w:after="80" w:before="80" w:line="240" w:lineRule="auto"/>
              <w:ind w:righ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and finalize project documentation, including methodology, results, and conclusions; prepare presentation slides summarizing key findings for stakeholder review.</w:t>
            </w:r>
          </w:p>
        </w:tc>
      </w:tr>
    </w:tbl>
    <w:p w:rsidR="00000000" w:rsidDel="00000000" w:rsidP="00000000" w:rsidRDefault="00000000" w:rsidRPr="00000000" w14:paraId="00000044">
      <w:pPr>
        <w:spacing w:line="240" w:lineRule="auto"/>
        <w:ind w:left="0" w:right="-45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3"/>
        <w:keepNext w:val="0"/>
        <w:keepLines w:val="0"/>
        <w:spacing w:after="120" w:before="80" w:line="240" w:lineRule="auto"/>
        <w:ind w:right="-450"/>
        <w:rPr>
          <w:rFonts w:ascii="Times New Roman" w:cs="Times New Roman" w:eastAsia="Times New Roman" w:hAnsi="Times New Roman"/>
          <w:b w:val="1"/>
          <w:color w:val="000000"/>
          <w:sz w:val="26"/>
          <w:szCs w:val="26"/>
        </w:rPr>
      </w:pPr>
      <w:bookmarkStart w:colFirst="0" w:colLast="0" w:name="_qo0m3gk5utga" w:id="4"/>
      <w:bookmarkEnd w:id="4"/>
      <w:r w:rsidDel="00000000" w:rsidR="00000000" w:rsidRPr="00000000">
        <w:rPr>
          <w:rFonts w:ascii="Times New Roman" w:cs="Times New Roman" w:eastAsia="Times New Roman" w:hAnsi="Times New Roman"/>
          <w:b w:val="1"/>
          <w:color w:val="000000"/>
          <w:sz w:val="26"/>
          <w:szCs w:val="26"/>
          <w:rtl w:val="0"/>
        </w:rPr>
        <w:t xml:space="preserve">Data Management Plan</w:t>
      </w:r>
    </w:p>
    <w:p w:rsidR="00000000" w:rsidDel="00000000" w:rsidP="00000000" w:rsidRDefault="00000000" w:rsidRPr="00000000" w14:paraId="00000046">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Data Collection and Storage</w:t>
      </w:r>
    </w:p>
    <w:p w:rsidR="00000000" w:rsidDel="00000000" w:rsidP="00000000" w:rsidRDefault="00000000" w:rsidRPr="00000000" w14:paraId="00000047">
      <w:pPr>
        <w:spacing w:line="240" w:lineRule="auto"/>
        <w:ind w:left="720" w:righ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Sources:</w:t>
      </w:r>
      <w:r w:rsidDel="00000000" w:rsidR="00000000" w:rsidRPr="00000000">
        <w:rPr>
          <w:rFonts w:ascii="Times New Roman" w:cs="Times New Roman" w:eastAsia="Times New Roman" w:hAnsi="Times New Roman"/>
          <w:rtl w:val="0"/>
        </w:rPr>
        <w:t xml:space="preserve"> The dataset consists of two years of hourly data, including SWH, MWP, and other oceanographic variables.</w:t>
      </w:r>
    </w:p>
    <w:p w:rsidR="00000000" w:rsidDel="00000000" w:rsidP="00000000" w:rsidRDefault="00000000" w:rsidRPr="00000000" w14:paraId="00000048">
      <w:pPr>
        <w:spacing w:line="240" w:lineRule="auto"/>
        <w:ind w:left="720" w:righ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Link: https://cds.climate.copernicus.eu</w:t>
      </w:r>
    </w:p>
    <w:p w:rsidR="00000000" w:rsidDel="00000000" w:rsidP="00000000" w:rsidRDefault="00000000" w:rsidRPr="00000000" w14:paraId="00000049">
      <w:pPr>
        <w:spacing w:line="240" w:lineRule="auto"/>
        <w:ind w:left="720" w:righ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Storage:</w:t>
      </w:r>
      <w:r w:rsidDel="00000000" w:rsidR="00000000" w:rsidRPr="00000000">
        <w:rPr>
          <w:rFonts w:ascii="Times New Roman" w:cs="Times New Roman" w:eastAsia="Times New Roman" w:hAnsi="Times New Roman"/>
          <w:rtl w:val="0"/>
        </w:rPr>
        <w:t xml:space="preserve"> All data will be stored securely on a cloud platform (e.g.,Google Cloud) with restricted access to ensure data integrity and confidentiality.</w:t>
      </w:r>
    </w:p>
    <w:p w:rsidR="00000000" w:rsidDel="00000000" w:rsidP="00000000" w:rsidRDefault="00000000" w:rsidRPr="00000000" w14:paraId="0000004A">
      <w:pPr>
        <w:spacing w:line="240" w:lineRule="auto"/>
        <w:ind w:left="720" w:righ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Format:</w:t>
      </w:r>
      <w:r w:rsidDel="00000000" w:rsidR="00000000" w:rsidRPr="00000000">
        <w:rPr>
          <w:rFonts w:ascii="Times New Roman" w:cs="Times New Roman" w:eastAsia="Times New Roman" w:hAnsi="Times New Roman"/>
          <w:rtl w:val="0"/>
        </w:rPr>
        <w:t xml:space="preserve"> Data will be stored in CSV and Parquet formats for easy processing and analysis.</w:t>
      </w:r>
    </w:p>
    <w:p w:rsidR="00000000" w:rsidDel="00000000" w:rsidP="00000000" w:rsidRDefault="00000000" w:rsidRPr="00000000" w14:paraId="0000004B">
      <w:pPr>
        <w:spacing w:line="240" w:lineRule="auto"/>
        <w:ind w:left="720" w:righ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Control:</w:t>
      </w:r>
      <w:r w:rsidDel="00000000" w:rsidR="00000000" w:rsidRPr="00000000">
        <w:rPr>
          <w:rFonts w:ascii="Times New Roman" w:cs="Times New Roman" w:eastAsia="Times New Roman" w:hAnsi="Times New Roman"/>
          <w:rtl w:val="0"/>
        </w:rPr>
        <w:t xml:space="preserve"> Version control for code and model iterations using Git ensures traceability and reproducibility of results. </w:t>
      </w:r>
      <w:commentRangeStart w:id="0"/>
      <w:r w:rsidDel="00000000" w:rsidR="00000000" w:rsidRPr="00000000">
        <w:rPr>
          <w:rtl w:val="0"/>
        </w:rPr>
      </w:r>
    </w:p>
    <w:p w:rsidR="00000000" w:rsidDel="00000000" w:rsidP="00000000" w:rsidRDefault="00000000" w:rsidRPr="00000000" w14:paraId="0000004C">
      <w:pPr>
        <w:spacing w:after="80" w:before="80" w:line="240" w:lineRule="auto"/>
        <w:ind w:right="-450"/>
        <w:rPr>
          <w:rFonts w:ascii="Times New Roman" w:cs="Times New Roman" w:eastAsia="Times New Roman" w:hAnsi="Times New Roman"/>
          <w:b w:val="1"/>
        </w:rPr>
      </w:pP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1"/>
          <w:rtl w:val="0"/>
        </w:rPr>
        <w:t xml:space="preserve">. Ethical Considerations</w:t>
      </w:r>
    </w:p>
    <w:p w:rsidR="00000000" w:rsidDel="00000000" w:rsidP="00000000" w:rsidRDefault="00000000" w:rsidRPr="00000000" w14:paraId="0000004D">
      <w:pPr>
        <w:spacing w:line="240" w:lineRule="auto"/>
        <w:ind w:left="720" w:righ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Transparency:</w:t>
      </w:r>
      <w:r w:rsidDel="00000000" w:rsidR="00000000" w:rsidRPr="00000000">
        <w:rPr>
          <w:rFonts w:ascii="Times New Roman" w:cs="Times New Roman" w:eastAsia="Times New Roman" w:hAnsi="Times New Roman"/>
          <w:rtl w:val="0"/>
        </w:rPr>
        <w:t xml:space="preserve"> Clearly communicate the limitations and uncertainties associated with model predictions.</w:t>
      </w:r>
    </w:p>
    <w:p w:rsidR="00000000" w:rsidDel="00000000" w:rsidP="00000000" w:rsidRDefault="00000000" w:rsidRPr="00000000" w14:paraId="0000004E">
      <w:pPr>
        <w:spacing w:line="240" w:lineRule="auto"/>
        <w:ind w:left="720" w:righ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Environmental Impact:</w:t>
      </w:r>
      <w:r w:rsidDel="00000000" w:rsidR="00000000" w:rsidRPr="00000000">
        <w:rPr>
          <w:rFonts w:ascii="Times New Roman" w:cs="Times New Roman" w:eastAsia="Times New Roman" w:hAnsi="Times New Roman"/>
          <w:rtl w:val="0"/>
        </w:rPr>
        <w:t xml:space="preserve"> Consider how forecasting can improve the environmental sustainability of wave energy systems.</w:t>
      </w:r>
    </w:p>
    <w:p w:rsidR="00000000" w:rsidDel="00000000" w:rsidP="00000000" w:rsidRDefault="00000000" w:rsidRPr="00000000" w14:paraId="0000004F">
      <w:pPr>
        <w:spacing w:line="240" w:lineRule="auto"/>
        <w:ind w:left="720" w:righ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Fairness:</w:t>
      </w:r>
      <w:r w:rsidDel="00000000" w:rsidR="00000000" w:rsidRPr="00000000">
        <w:rPr>
          <w:rFonts w:ascii="Times New Roman" w:cs="Times New Roman" w:eastAsia="Times New Roman" w:hAnsi="Times New Roman"/>
          <w:rtl w:val="0"/>
        </w:rPr>
        <w:t xml:space="preserve"> Address potential biases in model predictions to ensure accuracy across different time periods and regions.</w:t>
      </w:r>
    </w:p>
    <w:p w:rsidR="00000000" w:rsidDel="00000000" w:rsidP="00000000" w:rsidRDefault="00000000" w:rsidRPr="00000000" w14:paraId="00000050">
      <w:pPr>
        <w:spacing w:after="80" w:before="80"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Resources Needed</w:t>
      </w:r>
    </w:p>
    <w:p w:rsidR="00000000" w:rsidDel="00000000" w:rsidP="00000000" w:rsidRDefault="00000000" w:rsidRPr="00000000" w14:paraId="00000051">
      <w:pPr>
        <w:numPr>
          <w:ilvl w:val="0"/>
          <w:numId w:val="2"/>
        </w:numPr>
        <w:spacing w:line="240" w:lineRule="auto"/>
        <w:ind w:left="720" w:right="-450" w:hanging="360"/>
      </w:pPr>
      <w:r w:rsidDel="00000000" w:rsidR="00000000" w:rsidRPr="00000000">
        <w:rPr>
          <w:rFonts w:ascii="Times New Roman" w:cs="Times New Roman" w:eastAsia="Times New Roman" w:hAnsi="Times New Roman"/>
          <w:b w:val="1"/>
          <w:rtl w:val="0"/>
        </w:rPr>
        <w:t xml:space="preserve">Computing Resources:</w:t>
      </w:r>
      <w:r w:rsidDel="00000000" w:rsidR="00000000" w:rsidRPr="00000000">
        <w:rPr>
          <w:rFonts w:ascii="Times New Roman" w:cs="Times New Roman" w:eastAsia="Times New Roman" w:hAnsi="Times New Roman"/>
          <w:rtl w:val="0"/>
        </w:rPr>
        <w:t xml:space="preserve"> High-performance computing for training deep learning models.</w:t>
      </w:r>
    </w:p>
    <w:p w:rsidR="00000000" w:rsidDel="00000000" w:rsidP="00000000" w:rsidRDefault="00000000" w:rsidRPr="00000000" w14:paraId="00000052">
      <w:pPr>
        <w:numPr>
          <w:ilvl w:val="0"/>
          <w:numId w:val="2"/>
        </w:numPr>
        <w:spacing w:line="240" w:lineRule="auto"/>
        <w:ind w:left="720" w:right="-450" w:hanging="360"/>
      </w:pPr>
      <w:r w:rsidDel="00000000" w:rsidR="00000000" w:rsidRPr="00000000">
        <w:rPr>
          <w:rFonts w:ascii="Times New Roman" w:cs="Times New Roman" w:eastAsia="Times New Roman" w:hAnsi="Times New Roman"/>
          <w:b w:val="1"/>
          <w:rtl w:val="0"/>
        </w:rPr>
        <w:t xml:space="preserve">Software:</w:t>
      </w:r>
      <w:r w:rsidDel="00000000" w:rsidR="00000000" w:rsidRPr="00000000">
        <w:rPr>
          <w:rFonts w:ascii="Times New Roman" w:cs="Times New Roman" w:eastAsia="Times New Roman" w:hAnsi="Times New Roman"/>
          <w:rtl w:val="0"/>
        </w:rPr>
        <w:t xml:space="preserve"> Python with libraries like TensorFlow, Keras, scikit-learn, and statsmodels.</w:t>
      </w:r>
    </w:p>
    <w:p w:rsidR="00000000" w:rsidDel="00000000" w:rsidP="00000000" w:rsidRDefault="00000000" w:rsidRPr="00000000" w14:paraId="00000053">
      <w:pPr>
        <w:pStyle w:val="Heading3"/>
        <w:keepNext w:val="0"/>
        <w:keepLines w:val="0"/>
        <w:spacing w:after="120" w:before="80" w:line="240" w:lineRule="auto"/>
        <w:ind w:right="-450"/>
        <w:rPr>
          <w:rFonts w:ascii="Times New Roman" w:cs="Times New Roman" w:eastAsia="Times New Roman" w:hAnsi="Times New Roman"/>
          <w:b w:val="1"/>
          <w:color w:val="000000"/>
          <w:sz w:val="26"/>
          <w:szCs w:val="26"/>
        </w:rPr>
      </w:pPr>
      <w:bookmarkStart w:colFirst="0" w:colLast="0" w:name="_33rw6g568cbj" w:id="5"/>
      <w:bookmarkEnd w:id="5"/>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54">
      <w:pPr>
        <w:spacing w:line="240" w:lineRule="auto"/>
        <w:ind w:righ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PDM plan outlines a comprehensive approach to forecasting Significant Wave Height (SWH) and Mean Wave Period (MWP) using multivariate time series analysis. By developing robust predictive models, this project aims to significantly improve the management of wave energy systems and enhance the integration of wave power into the energy grid. The successful implementation of this project has the potential to contribute to sustainable energy solutions and advance the field of ocean engineering.</w:t>
      </w:r>
    </w:p>
    <w:p w:rsidR="00000000" w:rsidDel="00000000" w:rsidP="00000000" w:rsidRDefault="00000000" w:rsidRPr="00000000" w14:paraId="00000055">
      <w:pPr>
        <w:pStyle w:val="Heading3"/>
        <w:keepNext w:val="0"/>
        <w:keepLines w:val="0"/>
        <w:spacing w:after="120" w:before="80" w:line="240" w:lineRule="auto"/>
        <w:ind w:right="-450"/>
        <w:rPr>
          <w:rFonts w:ascii="Times New Roman" w:cs="Times New Roman" w:eastAsia="Times New Roman" w:hAnsi="Times New Roman"/>
          <w:b w:val="1"/>
          <w:color w:val="000000"/>
          <w:sz w:val="26"/>
          <w:szCs w:val="26"/>
        </w:rPr>
      </w:pPr>
      <w:bookmarkStart w:colFirst="0" w:colLast="0" w:name="_mt6s1jij3f1u" w:id="6"/>
      <w:bookmarkEnd w:id="6"/>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056">
      <w:pPr>
        <w:numPr>
          <w:ilvl w:val="0"/>
          <w:numId w:val="1"/>
        </w:numPr>
        <w:spacing w:line="240" w:lineRule="auto"/>
        <w:ind w:left="720" w:righ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Holthuijsen, L. H. (2007). </w:t>
      </w:r>
      <w:r w:rsidDel="00000000" w:rsidR="00000000" w:rsidRPr="00000000">
        <w:rPr>
          <w:rFonts w:ascii="Times New Roman" w:cs="Times New Roman" w:eastAsia="Times New Roman" w:hAnsi="Times New Roman"/>
          <w:b w:val="1"/>
          <w:i w:val="1"/>
          <w:rtl w:val="0"/>
        </w:rPr>
        <w:t xml:space="preserve">Waves in Oceanic and Coastal Waters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Cambridge University Press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numPr>
          <w:ilvl w:val="0"/>
          <w:numId w:val="1"/>
        </w:numPr>
        <w:spacing w:line="240" w:lineRule="auto"/>
        <w:ind w:left="720" w:righ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Meinshausen, N. (2006). </w:t>
      </w:r>
      <w:r w:rsidDel="00000000" w:rsidR="00000000" w:rsidRPr="00000000">
        <w:rPr>
          <w:rFonts w:ascii="Times New Roman" w:cs="Times New Roman" w:eastAsia="Times New Roman" w:hAnsi="Times New Roman"/>
          <w:b w:val="1"/>
          <w:i w:val="1"/>
          <w:rtl w:val="0"/>
        </w:rPr>
        <w:t xml:space="preserve">Quantile regression forests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Journal of Machine Learning Research</w:t>
      </w:r>
      <w:r w:rsidDel="00000000" w:rsidR="00000000" w:rsidRPr="00000000">
        <w:rPr>
          <w:rFonts w:ascii="Times New Roman" w:cs="Times New Roman" w:eastAsia="Times New Roman" w:hAnsi="Times New Roman"/>
          <w:rtl w:val="0"/>
        </w:rPr>
        <w:t xml:space="preserve">, 7, 983-999.</w:t>
      </w:r>
    </w:p>
    <w:p w:rsidR="00000000" w:rsidDel="00000000" w:rsidP="00000000" w:rsidRDefault="00000000" w:rsidRPr="00000000" w14:paraId="00000058">
      <w:pPr>
        <w:ind w:right="-45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un Pm" w:id="0" w:date="2024-10-15T17:35:32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your github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