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Pancreatic Cancer Survival Analysis</w:t>
      </w:r>
    </w:p>
    <w:p>
      <w:pPr>
        <w:jc w:val="center"/>
      </w:pPr>
      <w:r>
        <w:rPr>
          <w:color w:val="536575"/>
          <w:sz w:val="20"/>
        </w:rPr>
        <w:t>MSK 2024 public cohort | 270-day classification and survival modeling</w:t>
      </w:r>
    </w:p>
    <w:p>
      <w:pPr>
        <w:jc w:val="center"/>
      </w:pPr>
      <w:r>
        <w:rPr>
          <w:b/>
          <w:sz w:val="17"/>
        </w:rPr>
        <w:t>Abhishek Aithal (PES1UG24CS651)  |  Shreeranganath Manjunath Saravade (PES1UG24CS622)</w:t>
      </w:r>
    </w:p>
    <w:p>
      <w:pPr>
        <w:pStyle w:val="Heading1"/>
      </w:pPr>
      <w:r>
        <w:t>Project question</w:t>
      </w:r>
    </w:p>
    <w:p>
      <w:r>
        <w:t>Can routinely recorded clinical and demographic information help distinguish patients with pancreatic cancer who die within a chosen time horizon from those with longer observed survival? We reproduce the broad analysis workflow in the reference report and extend its Naive Bayes classifier with four additional classifiers. The Stanford cohort and radiomic features in that report are unavailable, so this MSK analysis is a public-cohort adaptation, not a numerical replication.</w:t>
      </w:r>
    </w:p>
    <w:p>
      <w:pPr>
        <w:pStyle w:val="Heading1"/>
      </w:pPr>
      <w:r>
        <w:t>Dataset and outcome</w:t>
      </w:r>
    </w:p>
    <w:p>
      <w:r>
        <w:t>We use the cBioPortal PDAC MSK 2024 study. Of the portal records, 2260 had usable overall-survival time/status and positive follow-up (1521 observed deaths and 739 right-censored observations). Survival time reported in months is converted to days. Classification predictors include age, sex, stage, genomic group, tumor location, tobacco exposure, and recorded medical histories. The Cox model uses age, sex, and stage. The public extract has no radiomic features; treatment fields are excluded.</w:t>
      </w:r>
    </w:p>
    <w:p>
      <w:r>
        <w:t>The primary classifier label is death recorded by day 270. Patients censored before day 270 are excluded because their status at the cutoff is unknown. This leaves 2027 known labels, including 533 high-risk events, and excludes 233 early-censored records.</w:t>
      </w:r>
    </w:p>
    <w:p>
      <w:pPr>
        <w:pStyle w:val="Heading1"/>
      </w:pPr>
      <w:r>
        <w:t>Methods</w:t>
      </w:r>
    </w:p>
    <w:p>
      <w:r>
        <w:t>We compare Naive Bayes, Logistic Regression, an RBF-kernel SVM, Random Forest, and Gradient Boosting. Missing numeric values are filled with training-fold medians and scaled; missing categories use the training-fold mode and are one-hot encoded. Each preprocessing step is fitted inside the training fold. Fixed classifiers use stratified five-fold cross-validation with seed 229. Hyperparameters are tuned with a three-fold inner search inside each of five outer folds. The Cox proportional-hazards model uses five-fold evaluation and Harrell’s C-index. SMOTE is omitted because synthetic interpolation can create invalid examples for censored survival data.</w:t>
      </w:r>
    </w:p>
    <w:p>
      <w:r>
        <w:br w:type="page"/>
      </w:r>
    </w:p>
    <w:p>
      <w:pPr>
        <w:pStyle w:val="Heading1"/>
      </w:pPr>
      <w:r>
        <w:t>Results and interpretation</w:t>
      </w:r>
    </w:p>
    <w:p>
      <w:r>
        <w:t>The table reports the fixed-parameter five-fold results at the primary 270-day cutoff. Balanced accuracy gives equal weight to the two classes. Precision and recall describe the high-risk class, and ROC-AUC measures ranking across score cutoffs.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shd w:fill="17324D"/>
            <w:vAlign w:val="center"/>
          </w:tcPr>
          <w:p>
            <w:r>
              <w:rPr>
                <w:b/>
                <w:color w:val="FFFFFF"/>
                <w:sz w:val="16"/>
              </w:rPr>
              <w:t>Classifier</w:t>
            </w:r>
          </w:p>
        </w:tc>
        <w:tc>
          <w:tcPr>
            <w:tcW w:type="dxa" w:w="1714"/>
            <w:shd w:fill="17324D"/>
            <w:vAlign w:val="center"/>
          </w:tcPr>
          <w:p>
            <w:r>
              <w:rPr>
                <w:b/>
                <w:color w:val="FFFFFF"/>
                <w:sz w:val="16"/>
              </w:rPr>
              <w:t>Bal. acc.</w:t>
            </w:r>
          </w:p>
        </w:tc>
        <w:tc>
          <w:tcPr>
            <w:tcW w:type="dxa" w:w="1714"/>
            <w:shd w:fill="17324D"/>
            <w:vAlign w:val="center"/>
          </w:tcPr>
          <w:p>
            <w:r>
              <w:rPr>
                <w:b/>
                <w:color w:val="FFFFFF"/>
                <w:sz w:val="16"/>
              </w:rPr>
              <w:t>Precision</w:t>
            </w:r>
          </w:p>
        </w:tc>
        <w:tc>
          <w:tcPr>
            <w:tcW w:type="dxa" w:w="1714"/>
            <w:shd w:fill="17324D"/>
            <w:vAlign w:val="center"/>
          </w:tcPr>
          <w:p>
            <w:r>
              <w:rPr>
                <w:b/>
                <w:color w:val="FFFFFF"/>
                <w:sz w:val="16"/>
              </w:rPr>
              <w:t>Recall</w:t>
            </w:r>
          </w:p>
        </w:tc>
        <w:tc>
          <w:tcPr>
            <w:tcW w:type="dxa" w:w="1714"/>
            <w:shd w:fill="17324D"/>
            <w:vAlign w:val="center"/>
          </w:tcPr>
          <w:p>
            <w:r>
              <w:rPr>
                <w:b/>
                <w:color w:val="FFFFFF"/>
                <w:sz w:val="16"/>
              </w:rPr>
              <w:t>F1</w:t>
            </w:r>
          </w:p>
        </w:tc>
        <w:tc>
          <w:tcPr>
            <w:tcW w:type="dxa" w:w="1714"/>
            <w:shd w:fill="17324D"/>
            <w:vAlign w:val="center"/>
          </w:tcPr>
          <w:p>
            <w:r>
              <w:rPr>
                <w:b/>
                <w:color w:val="FFFFFF"/>
                <w:sz w:val="16"/>
              </w:rPr>
              <w:t>ROC-AUC</w:t>
            </w:r>
          </w:p>
        </w:tc>
      </w:tr>
      <w:tr>
        <w:tc>
          <w:tcPr>
            <w:tcW w:type="dxa" w:w="1714"/>
            <w:vAlign w:val="center"/>
            <w:shd w:fill="EEF4F6"/>
          </w:tcPr>
          <w:p>
            <w:pPr>
              <w:spacing w:after="0"/>
            </w:pPr>
            <w:r>
              <w:rPr>
                <w:sz w:val="16"/>
              </w:rPr>
              <w:t>Logistic Regression</w:t>
            </w:r>
          </w:p>
        </w:tc>
        <w:tc>
          <w:tcPr>
            <w:tcW w:type="dxa" w:w="1714"/>
            <w:vAlign w:val="center"/>
            <w:shd w:fill="EEF4F6"/>
          </w:tcPr>
          <w:p>
            <w:pPr>
              <w:spacing w:after="0"/>
            </w:pPr>
            <w:r>
              <w:rPr>
                <w:sz w:val="16"/>
              </w:rPr>
              <w:t>0.653</w:t>
            </w:r>
          </w:p>
        </w:tc>
        <w:tc>
          <w:tcPr>
            <w:tcW w:type="dxa" w:w="1714"/>
            <w:vAlign w:val="center"/>
            <w:shd w:fill="EEF4F6"/>
          </w:tcPr>
          <w:p>
            <w:pPr>
              <w:spacing w:after="0"/>
            </w:pPr>
            <w:r>
              <w:rPr>
                <w:sz w:val="16"/>
              </w:rPr>
              <w:t>0.389</w:t>
            </w:r>
          </w:p>
        </w:tc>
        <w:tc>
          <w:tcPr>
            <w:tcW w:type="dxa" w:w="1714"/>
            <w:vAlign w:val="center"/>
            <w:shd w:fill="EEF4F6"/>
          </w:tcPr>
          <w:p>
            <w:pPr>
              <w:spacing w:after="0"/>
            </w:pPr>
            <w:r>
              <w:rPr>
                <w:sz w:val="16"/>
              </w:rPr>
              <w:t>0.696</w:t>
            </w:r>
          </w:p>
        </w:tc>
        <w:tc>
          <w:tcPr>
            <w:tcW w:type="dxa" w:w="1714"/>
            <w:vAlign w:val="center"/>
            <w:shd w:fill="EEF4F6"/>
          </w:tcPr>
          <w:p>
            <w:pPr>
              <w:spacing w:after="0"/>
            </w:pPr>
            <w:r>
              <w:rPr>
                <w:sz w:val="16"/>
              </w:rPr>
              <w:t>0.499</w:t>
            </w:r>
          </w:p>
        </w:tc>
        <w:tc>
          <w:tcPr>
            <w:tcW w:type="dxa" w:w="1714"/>
            <w:vAlign w:val="center"/>
            <w:shd w:fill="EEF4F6"/>
          </w:tcPr>
          <w:p>
            <w:pPr>
              <w:spacing w:after="0"/>
            </w:pPr>
            <w:r>
              <w:rPr>
                <w:sz w:val="16"/>
              </w:rPr>
              <w:t>0.692</w:t>
            </w:r>
          </w:p>
        </w:tc>
      </w:tr>
      <w:tr>
        <w:tc>
          <w:tcPr>
            <w:tcW w:type="dxa" w:w="1714"/>
            <w:vAlign w:val="center"/>
          </w:tcPr>
          <w:p>
            <w:pPr>
              <w:spacing w:after="0"/>
            </w:pPr>
            <w:r>
              <w:rPr>
                <w:sz w:val="16"/>
              </w:rPr>
              <w:t>SVM (RBF)</w:t>
            </w:r>
          </w:p>
        </w:tc>
        <w:tc>
          <w:tcPr>
            <w:tcW w:type="dxa" w:w="1714"/>
            <w:vAlign w:val="center"/>
          </w:tcPr>
          <w:p>
            <w:pPr>
              <w:spacing w:after="0"/>
            </w:pPr>
            <w:r>
              <w:rPr>
                <w:sz w:val="16"/>
              </w:rPr>
              <w:t>0.652</w:t>
            </w:r>
          </w:p>
        </w:tc>
        <w:tc>
          <w:tcPr>
            <w:tcW w:type="dxa" w:w="1714"/>
            <w:vAlign w:val="center"/>
          </w:tcPr>
          <w:p>
            <w:pPr>
              <w:spacing w:after="0"/>
            </w:pPr>
            <w:r>
              <w:rPr>
                <w:sz w:val="16"/>
              </w:rPr>
              <w:t>0.390</w:t>
            </w:r>
          </w:p>
        </w:tc>
        <w:tc>
          <w:tcPr>
            <w:tcW w:type="dxa" w:w="1714"/>
            <w:vAlign w:val="center"/>
          </w:tcPr>
          <w:p>
            <w:pPr>
              <w:spacing w:after="0"/>
            </w:pPr>
            <w:r>
              <w:rPr>
                <w:sz w:val="16"/>
              </w:rPr>
              <w:t>0.685</w:t>
            </w:r>
          </w:p>
        </w:tc>
        <w:tc>
          <w:tcPr>
            <w:tcW w:type="dxa" w:w="1714"/>
            <w:vAlign w:val="center"/>
          </w:tcPr>
          <w:p>
            <w:pPr>
              <w:spacing w:after="0"/>
            </w:pPr>
            <w:r>
              <w:rPr>
                <w:sz w:val="16"/>
              </w:rPr>
              <w:t>0.497</w:t>
            </w:r>
          </w:p>
        </w:tc>
        <w:tc>
          <w:tcPr>
            <w:tcW w:type="dxa" w:w="1714"/>
            <w:vAlign w:val="center"/>
          </w:tcPr>
          <w:p>
            <w:pPr>
              <w:spacing w:after="0"/>
            </w:pPr>
            <w:r>
              <w:rPr>
                <w:sz w:val="16"/>
              </w:rPr>
              <w:t>0.666</w:t>
            </w:r>
          </w:p>
        </w:tc>
      </w:tr>
      <w:tr>
        <w:tc>
          <w:tcPr>
            <w:tcW w:type="dxa" w:w="1714"/>
            <w:vAlign w:val="center"/>
            <w:shd w:fill="EEF4F6"/>
          </w:tcPr>
          <w:p>
            <w:pPr>
              <w:spacing w:after="0"/>
            </w:pPr>
            <w:r>
              <w:rPr>
                <w:sz w:val="16"/>
              </w:rPr>
              <w:t>Naive Bayes</w:t>
            </w:r>
          </w:p>
        </w:tc>
        <w:tc>
          <w:tcPr>
            <w:tcW w:type="dxa" w:w="1714"/>
            <w:vAlign w:val="center"/>
            <w:shd w:fill="EEF4F6"/>
          </w:tcPr>
          <w:p>
            <w:pPr>
              <w:spacing w:after="0"/>
            </w:pPr>
            <w:r>
              <w:rPr>
                <w:sz w:val="16"/>
              </w:rPr>
              <w:t>0.650</w:t>
            </w:r>
          </w:p>
        </w:tc>
        <w:tc>
          <w:tcPr>
            <w:tcW w:type="dxa" w:w="1714"/>
            <w:vAlign w:val="center"/>
            <w:shd w:fill="EEF4F6"/>
          </w:tcPr>
          <w:p>
            <w:pPr>
              <w:spacing w:after="0"/>
            </w:pPr>
            <w:r>
              <w:rPr>
                <w:sz w:val="16"/>
              </w:rPr>
              <w:t>0.388</w:t>
            </w:r>
          </w:p>
        </w:tc>
        <w:tc>
          <w:tcPr>
            <w:tcW w:type="dxa" w:w="1714"/>
            <w:vAlign w:val="center"/>
            <w:shd w:fill="EEF4F6"/>
          </w:tcPr>
          <w:p>
            <w:pPr>
              <w:spacing w:after="0"/>
            </w:pPr>
            <w:r>
              <w:rPr>
                <w:sz w:val="16"/>
              </w:rPr>
              <w:t>0.685</w:t>
            </w:r>
          </w:p>
        </w:tc>
        <w:tc>
          <w:tcPr>
            <w:tcW w:type="dxa" w:w="1714"/>
            <w:vAlign w:val="center"/>
            <w:shd w:fill="EEF4F6"/>
          </w:tcPr>
          <w:p>
            <w:pPr>
              <w:spacing w:after="0"/>
            </w:pPr>
            <w:r>
              <w:rPr>
                <w:sz w:val="16"/>
              </w:rPr>
              <w:t>0.495</w:t>
            </w:r>
          </w:p>
        </w:tc>
        <w:tc>
          <w:tcPr>
            <w:tcW w:type="dxa" w:w="1714"/>
            <w:vAlign w:val="center"/>
            <w:shd w:fill="EEF4F6"/>
          </w:tcPr>
          <w:p>
            <w:pPr>
              <w:spacing w:after="0"/>
            </w:pPr>
            <w:r>
              <w:rPr>
                <w:sz w:val="16"/>
              </w:rPr>
              <w:t>0.684</w:t>
            </w:r>
          </w:p>
        </w:tc>
      </w:tr>
      <w:tr>
        <w:tc>
          <w:tcPr>
            <w:tcW w:type="dxa" w:w="1714"/>
            <w:vAlign w:val="center"/>
          </w:tcPr>
          <w:p>
            <w:pPr>
              <w:spacing w:after="0"/>
            </w:pPr>
            <w:r>
              <w:rPr>
                <w:sz w:val="16"/>
              </w:rPr>
              <w:t>Random Forest</w:t>
            </w:r>
          </w:p>
        </w:tc>
        <w:tc>
          <w:tcPr>
            <w:tcW w:type="dxa" w:w="1714"/>
            <w:vAlign w:val="center"/>
          </w:tcPr>
          <w:p>
            <w:pPr>
              <w:spacing w:after="0"/>
            </w:pPr>
            <w:r>
              <w:rPr>
                <w:sz w:val="16"/>
              </w:rPr>
              <w:t>0.590</w:t>
            </w:r>
          </w:p>
        </w:tc>
        <w:tc>
          <w:tcPr>
            <w:tcW w:type="dxa" w:w="1714"/>
            <w:vAlign w:val="center"/>
          </w:tcPr>
          <w:p>
            <w:pPr>
              <w:spacing w:after="0"/>
            </w:pPr>
            <w:r>
              <w:rPr>
                <w:sz w:val="16"/>
              </w:rPr>
              <w:t>0.346</w:t>
            </w:r>
          </w:p>
        </w:tc>
        <w:tc>
          <w:tcPr>
            <w:tcW w:type="dxa" w:w="1714"/>
            <w:vAlign w:val="center"/>
          </w:tcPr>
          <w:p>
            <w:pPr>
              <w:spacing w:after="0"/>
            </w:pPr>
            <w:r>
              <w:rPr>
                <w:sz w:val="16"/>
              </w:rPr>
              <w:t>0.552</w:t>
            </w:r>
          </w:p>
        </w:tc>
        <w:tc>
          <w:tcPr>
            <w:tcW w:type="dxa" w:w="1714"/>
            <w:vAlign w:val="center"/>
          </w:tcPr>
          <w:p>
            <w:pPr>
              <w:spacing w:after="0"/>
            </w:pPr>
            <w:r>
              <w:rPr>
                <w:sz w:val="16"/>
              </w:rPr>
              <w:t>0.425</w:t>
            </w:r>
          </w:p>
        </w:tc>
        <w:tc>
          <w:tcPr>
            <w:tcW w:type="dxa" w:w="1714"/>
            <w:vAlign w:val="center"/>
          </w:tcPr>
          <w:p>
            <w:pPr>
              <w:spacing w:after="0"/>
            </w:pPr>
            <w:r>
              <w:rPr>
                <w:sz w:val="16"/>
              </w:rPr>
              <w:t>0.636</w:t>
            </w:r>
          </w:p>
        </w:tc>
      </w:tr>
      <w:tr>
        <w:tc>
          <w:tcPr>
            <w:tcW w:type="dxa" w:w="1714"/>
            <w:vAlign w:val="center"/>
            <w:shd w:fill="EEF4F6"/>
          </w:tcPr>
          <w:p>
            <w:pPr>
              <w:spacing w:after="0"/>
            </w:pPr>
            <w:r>
              <w:rPr>
                <w:sz w:val="16"/>
              </w:rPr>
              <w:t>Gradient Boosting</w:t>
            </w:r>
          </w:p>
        </w:tc>
        <w:tc>
          <w:tcPr>
            <w:tcW w:type="dxa" w:w="1714"/>
            <w:vAlign w:val="center"/>
            <w:shd w:fill="EEF4F6"/>
          </w:tcPr>
          <w:p>
            <w:pPr>
              <w:spacing w:after="0"/>
            </w:pPr>
            <w:r>
              <w:rPr>
                <w:sz w:val="16"/>
              </w:rPr>
              <w:t>0.540</w:t>
            </w:r>
          </w:p>
        </w:tc>
        <w:tc>
          <w:tcPr>
            <w:tcW w:type="dxa" w:w="1714"/>
            <w:vAlign w:val="center"/>
            <w:shd w:fill="EEF4F6"/>
          </w:tcPr>
          <w:p>
            <w:pPr>
              <w:spacing w:after="0"/>
            </w:pPr>
            <w:r>
              <w:rPr>
                <w:sz w:val="16"/>
              </w:rPr>
              <w:t>0.374</w:t>
            </w:r>
          </w:p>
        </w:tc>
        <w:tc>
          <w:tcPr>
            <w:tcW w:type="dxa" w:w="1714"/>
            <w:vAlign w:val="center"/>
            <w:shd w:fill="EEF4F6"/>
          </w:tcPr>
          <w:p>
            <w:pPr>
              <w:spacing w:after="0"/>
            </w:pPr>
            <w:r>
              <w:rPr>
                <w:sz w:val="16"/>
              </w:rPr>
              <w:t>0.201</w:t>
            </w:r>
          </w:p>
        </w:tc>
        <w:tc>
          <w:tcPr>
            <w:tcW w:type="dxa" w:w="1714"/>
            <w:vAlign w:val="center"/>
            <w:shd w:fill="EEF4F6"/>
          </w:tcPr>
          <w:p>
            <w:pPr>
              <w:spacing w:after="0"/>
            </w:pPr>
            <w:r>
              <w:rPr>
                <w:sz w:val="16"/>
              </w:rPr>
              <w:t>0.261</w:t>
            </w:r>
          </w:p>
        </w:tc>
        <w:tc>
          <w:tcPr>
            <w:tcW w:type="dxa" w:w="1714"/>
            <w:vAlign w:val="center"/>
            <w:shd w:fill="EEF4F6"/>
          </w:tcPr>
          <w:p>
            <w:pPr>
              <w:spacing w:after="0"/>
            </w:pPr>
            <w:r>
              <w:rPr>
                <w:sz w:val="16"/>
              </w:rPr>
              <w:t>0.631</w:t>
            </w:r>
          </w:p>
        </w:tc>
      </w:tr>
    </w:tbl>
    <w:p>
      <w:r>
        <w:t>Fixed Logistic Regression had the highest balanced accuracy (0.653) and ROC-AUC (0.692). Its recall exceeded precision, so it detected many early-death cases while also flagging some patients who did not meet the cutoff.</w:t>
      </w:r>
    </w:p>
    <w:p>
      <w:pPr>
        <w:pStyle w:val="Heading2"/>
      </w:pPr>
      <w:r>
        <w:t>Nested hyperparameter tuning</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17324D"/>
            <w:vAlign w:val="center"/>
          </w:tcPr>
          <w:p>
            <w:r>
              <w:rPr>
                <w:b/>
                <w:color w:val="FFFFFF"/>
                <w:sz w:val="16"/>
              </w:rPr>
              <w:t>Classifier</w:t>
            </w:r>
          </w:p>
        </w:tc>
        <w:tc>
          <w:tcPr>
            <w:tcW w:type="dxa" w:w="2570"/>
            <w:shd w:fill="17324D"/>
            <w:vAlign w:val="center"/>
          </w:tcPr>
          <w:p>
            <w:r>
              <w:rPr>
                <w:b/>
                <w:color w:val="FFFFFF"/>
                <w:sz w:val="16"/>
              </w:rPr>
              <w:t>Fixed bAcc</w:t>
            </w:r>
          </w:p>
        </w:tc>
        <w:tc>
          <w:tcPr>
            <w:tcW w:type="dxa" w:w="2570"/>
            <w:shd w:fill="17324D"/>
            <w:vAlign w:val="center"/>
          </w:tcPr>
          <w:p>
            <w:r>
              <w:rPr>
                <w:b/>
                <w:color w:val="FFFFFF"/>
                <w:sz w:val="16"/>
              </w:rPr>
              <w:t>Tuned bAcc</w:t>
            </w:r>
          </w:p>
        </w:tc>
        <w:tc>
          <w:tcPr>
            <w:tcW w:type="dxa" w:w="2570"/>
            <w:shd w:fill="17324D"/>
            <w:vAlign w:val="center"/>
          </w:tcPr>
          <w:p>
            <w:r>
              <w:rPr>
                <w:b/>
                <w:color w:val="FFFFFF"/>
                <w:sz w:val="16"/>
              </w:rPr>
              <w:t>Tuned ROC-AUC</w:t>
            </w:r>
          </w:p>
        </w:tc>
      </w:tr>
      <w:tr>
        <w:tc>
          <w:tcPr>
            <w:tcW w:type="dxa" w:w="2570"/>
            <w:vAlign w:val="center"/>
            <w:shd w:fill="EEF4F6"/>
          </w:tcPr>
          <w:p>
            <w:pPr>
              <w:spacing w:after="0"/>
            </w:pPr>
            <w:r>
              <w:rPr>
                <w:sz w:val="16"/>
              </w:rPr>
              <w:t>SVM (RBF)</w:t>
            </w:r>
          </w:p>
        </w:tc>
        <w:tc>
          <w:tcPr>
            <w:tcW w:type="dxa" w:w="2570"/>
            <w:vAlign w:val="center"/>
            <w:shd w:fill="EEF4F6"/>
          </w:tcPr>
          <w:p>
            <w:pPr>
              <w:spacing w:after="0"/>
            </w:pPr>
            <w:r>
              <w:rPr>
                <w:sz w:val="16"/>
              </w:rPr>
              <w:t>0.652</w:t>
            </w:r>
          </w:p>
        </w:tc>
        <w:tc>
          <w:tcPr>
            <w:tcW w:type="dxa" w:w="2570"/>
            <w:vAlign w:val="center"/>
            <w:shd w:fill="EEF4F6"/>
          </w:tcPr>
          <w:p>
            <w:pPr>
              <w:spacing w:after="0"/>
            </w:pPr>
            <w:r>
              <w:rPr>
                <w:sz w:val="16"/>
              </w:rPr>
              <w:t>0.661</w:t>
            </w:r>
          </w:p>
        </w:tc>
        <w:tc>
          <w:tcPr>
            <w:tcW w:type="dxa" w:w="2570"/>
            <w:vAlign w:val="center"/>
            <w:shd w:fill="EEF4F6"/>
          </w:tcPr>
          <w:p>
            <w:pPr>
              <w:spacing w:after="0"/>
            </w:pPr>
            <w:r>
              <w:rPr>
                <w:sz w:val="16"/>
              </w:rPr>
              <w:t>0.675</w:t>
            </w:r>
          </w:p>
        </w:tc>
      </w:tr>
      <w:tr>
        <w:tc>
          <w:tcPr>
            <w:tcW w:type="dxa" w:w="2570"/>
            <w:vAlign w:val="center"/>
          </w:tcPr>
          <w:p>
            <w:pPr>
              <w:spacing w:after="0"/>
            </w:pPr>
            <w:r>
              <w:rPr>
                <w:sz w:val="16"/>
              </w:rPr>
              <w:t>Random Forest</w:t>
            </w:r>
          </w:p>
        </w:tc>
        <w:tc>
          <w:tcPr>
            <w:tcW w:type="dxa" w:w="2570"/>
            <w:vAlign w:val="center"/>
          </w:tcPr>
          <w:p>
            <w:pPr>
              <w:spacing w:after="0"/>
            </w:pPr>
            <w:r>
              <w:rPr>
                <w:sz w:val="16"/>
              </w:rPr>
              <w:t>0.590</w:t>
            </w:r>
          </w:p>
        </w:tc>
        <w:tc>
          <w:tcPr>
            <w:tcW w:type="dxa" w:w="2570"/>
            <w:vAlign w:val="center"/>
          </w:tcPr>
          <w:p>
            <w:pPr>
              <w:spacing w:after="0"/>
            </w:pPr>
            <w:r>
              <w:rPr>
                <w:sz w:val="16"/>
              </w:rPr>
              <w:t>0.658</w:t>
            </w:r>
          </w:p>
        </w:tc>
        <w:tc>
          <w:tcPr>
            <w:tcW w:type="dxa" w:w="2570"/>
            <w:vAlign w:val="center"/>
          </w:tcPr>
          <w:p>
            <w:pPr>
              <w:spacing w:after="0"/>
            </w:pPr>
            <w:r>
              <w:rPr>
                <w:sz w:val="16"/>
              </w:rPr>
              <w:t>0.689</w:t>
            </w:r>
          </w:p>
        </w:tc>
      </w:tr>
      <w:tr>
        <w:tc>
          <w:tcPr>
            <w:tcW w:type="dxa" w:w="2570"/>
            <w:vAlign w:val="center"/>
            <w:shd w:fill="EEF4F6"/>
          </w:tcPr>
          <w:p>
            <w:pPr>
              <w:spacing w:after="0"/>
            </w:pPr>
            <w:r>
              <w:rPr>
                <w:sz w:val="16"/>
              </w:rPr>
              <w:t>Naive Bayes</w:t>
            </w:r>
          </w:p>
        </w:tc>
        <w:tc>
          <w:tcPr>
            <w:tcW w:type="dxa" w:w="2570"/>
            <w:vAlign w:val="center"/>
            <w:shd w:fill="EEF4F6"/>
          </w:tcPr>
          <w:p>
            <w:pPr>
              <w:spacing w:after="0"/>
            </w:pPr>
            <w:r>
              <w:rPr>
                <w:sz w:val="16"/>
              </w:rPr>
              <w:t>0.650</w:t>
            </w:r>
          </w:p>
        </w:tc>
        <w:tc>
          <w:tcPr>
            <w:tcW w:type="dxa" w:w="2570"/>
            <w:vAlign w:val="center"/>
            <w:shd w:fill="EEF4F6"/>
          </w:tcPr>
          <w:p>
            <w:pPr>
              <w:spacing w:after="0"/>
            </w:pPr>
            <w:r>
              <w:rPr>
                <w:sz w:val="16"/>
              </w:rPr>
              <w:t>0.652</w:t>
            </w:r>
          </w:p>
        </w:tc>
        <w:tc>
          <w:tcPr>
            <w:tcW w:type="dxa" w:w="2570"/>
            <w:vAlign w:val="center"/>
            <w:shd w:fill="EEF4F6"/>
          </w:tcPr>
          <w:p>
            <w:pPr>
              <w:spacing w:after="0"/>
            </w:pPr>
            <w:r>
              <w:rPr>
                <w:sz w:val="16"/>
              </w:rPr>
              <w:t>0.682</w:t>
            </w:r>
          </w:p>
        </w:tc>
      </w:tr>
      <w:tr>
        <w:tc>
          <w:tcPr>
            <w:tcW w:type="dxa" w:w="2570"/>
            <w:vAlign w:val="center"/>
          </w:tcPr>
          <w:p>
            <w:pPr>
              <w:spacing w:after="0"/>
            </w:pPr>
            <w:r>
              <w:rPr>
                <w:sz w:val="16"/>
              </w:rPr>
              <w:t>Logistic Regression</w:t>
            </w:r>
          </w:p>
        </w:tc>
        <w:tc>
          <w:tcPr>
            <w:tcW w:type="dxa" w:w="2570"/>
            <w:vAlign w:val="center"/>
          </w:tcPr>
          <w:p>
            <w:pPr>
              <w:spacing w:after="0"/>
            </w:pPr>
            <w:r>
              <w:rPr>
                <w:sz w:val="16"/>
              </w:rPr>
              <w:t>0.653</w:t>
            </w:r>
          </w:p>
        </w:tc>
        <w:tc>
          <w:tcPr>
            <w:tcW w:type="dxa" w:w="2570"/>
            <w:vAlign w:val="center"/>
          </w:tcPr>
          <w:p>
            <w:pPr>
              <w:spacing w:after="0"/>
            </w:pPr>
            <w:r>
              <w:rPr>
                <w:sz w:val="16"/>
              </w:rPr>
              <w:t>0.650</w:t>
            </w:r>
          </w:p>
        </w:tc>
        <w:tc>
          <w:tcPr>
            <w:tcW w:type="dxa" w:w="2570"/>
            <w:vAlign w:val="center"/>
          </w:tcPr>
          <w:p>
            <w:pPr>
              <w:spacing w:after="0"/>
            </w:pPr>
            <w:r>
              <w:rPr>
                <w:sz w:val="16"/>
              </w:rPr>
              <w:t>0.692</w:t>
            </w:r>
          </w:p>
        </w:tc>
      </w:tr>
      <w:tr>
        <w:tc>
          <w:tcPr>
            <w:tcW w:type="dxa" w:w="2570"/>
            <w:vAlign w:val="center"/>
            <w:shd w:fill="EEF4F6"/>
          </w:tcPr>
          <w:p>
            <w:pPr>
              <w:spacing w:after="0"/>
            </w:pPr>
            <w:r>
              <w:rPr>
                <w:sz w:val="16"/>
              </w:rPr>
              <w:t>Gradient Boosting</w:t>
            </w:r>
          </w:p>
        </w:tc>
        <w:tc>
          <w:tcPr>
            <w:tcW w:type="dxa" w:w="2570"/>
            <w:vAlign w:val="center"/>
            <w:shd w:fill="EEF4F6"/>
          </w:tcPr>
          <w:p>
            <w:pPr>
              <w:spacing w:after="0"/>
            </w:pPr>
            <w:r>
              <w:rPr>
                <w:sz w:val="16"/>
              </w:rPr>
              <w:t>0.540</w:t>
            </w:r>
          </w:p>
        </w:tc>
        <w:tc>
          <w:tcPr>
            <w:tcW w:type="dxa" w:w="2570"/>
            <w:vAlign w:val="center"/>
            <w:shd w:fill="EEF4F6"/>
          </w:tcPr>
          <w:p>
            <w:pPr>
              <w:spacing w:after="0"/>
            </w:pPr>
            <w:r>
              <w:rPr>
                <w:sz w:val="16"/>
              </w:rPr>
              <w:t>0.537</w:t>
            </w:r>
          </w:p>
        </w:tc>
        <w:tc>
          <w:tcPr>
            <w:tcW w:type="dxa" w:w="2570"/>
            <w:vAlign w:val="center"/>
            <w:shd w:fill="EEF4F6"/>
          </w:tcPr>
          <w:p>
            <w:pPr>
              <w:spacing w:after="0"/>
            </w:pPr>
            <w:r>
              <w:rPr>
                <w:sz w:val="16"/>
              </w:rPr>
              <w:t>0.664</w:t>
            </w:r>
          </w:p>
        </w:tc>
      </w:tr>
    </w:tbl>
    <w:p>
      <w:r>
        <w:t>Tuned RBF SVM led balanced accuracy (0.661); tuning changed performance differently by classifier. These nested outer-fold estimates are the fairer summary of the tuning process because each outer test fold stays out of parameter selection.</w:t>
      </w:r>
    </w:p>
    <w:p>
      <w:pPr>
        <w:pStyle w:val="Heading2"/>
      </w:pPr>
      <w:r>
        <w:t>Survival and threshold sensitivity</w:t>
      </w:r>
    </w:p>
    <w:p>
      <w:r>
        <w:t>The clinical Cox model achieved a mean cross-validated C-index of 0.657 (SD 0.016; 5/5 folds). The C-index measures how often the model ranks comparable patients in the correct risk order; it is not directly comparable to classifier balanced accuracy.</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17324D"/>
            <w:vAlign w:val="center"/>
          </w:tcPr>
          <w:p>
            <w:r>
              <w:rPr>
                <w:b/>
                <w:color w:val="FFFFFF"/>
                <w:sz w:val="16"/>
              </w:rPr>
              <w:t>Naive Bayes cutoff</w:t>
            </w:r>
          </w:p>
        </w:tc>
        <w:tc>
          <w:tcPr>
            <w:tcW w:type="dxa" w:w="2570"/>
            <w:shd w:fill="17324D"/>
            <w:vAlign w:val="center"/>
          </w:tcPr>
          <w:p>
            <w:r>
              <w:rPr>
                <w:b/>
                <w:color w:val="FFFFFF"/>
                <w:sz w:val="16"/>
              </w:rPr>
              <w:t>Known labels</w:t>
            </w:r>
          </w:p>
        </w:tc>
        <w:tc>
          <w:tcPr>
            <w:tcW w:type="dxa" w:w="2570"/>
            <w:shd w:fill="17324D"/>
            <w:vAlign w:val="center"/>
          </w:tcPr>
          <w:p>
            <w:r>
              <w:rPr>
                <w:b/>
                <w:color w:val="FFFFFF"/>
                <w:sz w:val="16"/>
              </w:rPr>
              <w:t>High-risk</w:t>
            </w:r>
          </w:p>
        </w:tc>
        <w:tc>
          <w:tcPr>
            <w:tcW w:type="dxa" w:w="2570"/>
            <w:shd w:fill="17324D"/>
            <w:vAlign w:val="center"/>
          </w:tcPr>
          <w:p>
            <w:r>
              <w:rPr>
                <w:b/>
                <w:color w:val="FFFFFF"/>
                <w:sz w:val="16"/>
              </w:rPr>
              <w:t>Bal. acc.</w:t>
            </w:r>
          </w:p>
        </w:tc>
      </w:tr>
      <w:tr>
        <w:tc>
          <w:tcPr>
            <w:tcW w:type="dxa" w:w="2570"/>
            <w:vAlign w:val="center"/>
            <w:shd w:fill="EEF4F6"/>
          </w:tcPr>
          <w:p>
            <w:pPr>
              <w:spacing w:after="0"/>
            </w:pPr>
            <w:r>
              <w:rPr>
                <w:sz w:val="16"/>
              </w:rPr>
              <w:t>240 days</w:t>
            </w:r>
          </w:p>
        </w:tc>
        <w:tc>
          <w:tcPr>
            <w:tcW w:type="dxa" w:w="2570"/>
            <w:vAlign w:val="center"/>
            <w:shd w:fill="EEF4F6"/>
          </w:tcPr>
          <w:p>
            <w:pPr>
              <w:spacing w:after="0"/>
            </w:pPr>
            <w:r>
              <w:rPr>
                <w:sz w:val="16"/>
              </w:rPr>
              <w:t>2044</w:t>
            </w:r>
          </w:p>
        </w:tc>
        <w:tc>
          <w:tcPr>
            <w:tcW w:type="dxa" w:w="2570"/>
            <w:vAlign w:val="center"/>
            <w:shd w:fill="EEF4F6"/>
          </w:tcPr>
          <w:p>
            <w:pPr>
              <w:spacing w:after="0"/>
            </w:pPr>
            <w:r>
              <w:rPr>
                <w:sz w:val="16"/>
              </w:rPr>
              <w:t>482</w:t>
            </w:r>
          </w:p>
        </w:tc>
        <w:tc>
          <w:tcPr>
            <w:tcW w:type="dxa" w:w="2570"/>
            <w:vAlign w:val="center"/>
            <w:shd w:fill="EEF4F6"/>
          </w:tcPr>
          <w:p>
            <w:pPr>
              <w:spacing w:after="0"/>
            </w:pPr>
            <w:r>
              <w:rPr>
                <w:sz w:val="16"/>
              </w:rPr>
              <w:t>0.664</w:t>
            </w:r>
          </w:p>
        </w:tc>
      </w:tr>
      <w:tr>
        <w:tc>
          <w:tcPr>
            <w:tcW w:type="dxa" w:w="2570"/>
            <w:vAlign w:val="center"/>
          </w:tcPr>
          <w:p>
            <w:pPr>
              <w:spacing w:after="0"/>
            </w:pPr>
            <w:r>
              <w:rPr>
                <w:sz w:val="16"/>
              </w:rPr>
              <w:t>270 days</w:t>
            </w:r>
          </w:p>
        </w:tc>
        <w:tc>
          <w:tcPr>
            <w:tcW w:type="dxa" w:w="2570"/>
            <w:vAlign w:val="center"/>
          </w:tcPr>
          <w:p>
            <w:pPr>
              <w:spacing w:after="0"/>
            </w:pPr>
            <w:r>
              <w:rPr>
                <w:sz w:val="16"/>
              </w:rPr>
              <w:t>2027</w:t>
            </w:r>
          </w:p>
        </w:tc>
        <w:tc>
          <w:tcPr>
            <w:tcW w:type="dxa" w:w="2570"/>
            <w:vAlign w:val="center"/>
          </w:tcPr>
          <w:p>
            <w:pPr>
              <w:spacing w:after="0"/>
            </w:pPr>
            <w:r>
              <w:rPr>
                <w:sz w:val="16"/>
              </w:rPr>
              <w:t>533</w:t>
            </w:r>
          </w:p>
        </w:tc>
        <w:tc>
          <w:tcPr>
            <w:tcW w:type="dxa" w:w="2570"/>
            <w:vAlign w:val="center"/>
          </w:tcPr>
          <w:p>
            <w:pPr>
              <w:spacing w:after="0"/>
            </w:pPr>
            <w:r>
              <w:rPr>
                <w:sz w:val="16"/>
              </w:rPr>
              <w:t>0.650</w:t>
            </w:r>
          </w:p>
        </w:tc>
      </w:tr>
      <w:tr>
        <w:tc>
          <w:tcPr>
            <w:tcW w:type="dxa" w:w="2570"/>
            <w:vAlign w:val="center"/>
            <w:shd w:fill="EEF4F6"/>
          </w:tcPr>
          <w:p>
            <w:pPr>
              <w:spacing w:after="0"/>
            </w:pPr>
            <w:r>
              <w:rPr>
                <w:sz w:val="16"/>
              </w:rPr>
              <w:t>300 days</w:t>
            </w:r>
          </w:p>
        </w:tc>
        <w:tc>
          <w:tcPr>
            <w:tcW w:type="dxa" w:w="2570"/>
            <w:vAlign w:val="center"/>
            <w:shd w:fill="EEF4F6"/>
          </w:tcPr>
          <w:p>
            <w:pPr>
              <w:spacing w:after="0"/>
            </w:pPr>
            <w:r>
              <w:rPr>
                <w:sz w:val="16"/>
              </w:rPr>
              <w:t>2014</w:t>
            </w:r>
          </w:p>
        </w:tc>
        <w:tc>
          <w:tcPr>
            <w:tcW w:type="dxa" w:w="2570"/>
            <w:vAlign w:val="center"/>
            <w:shd w:fill="EEF4F6"/>
          </w:tcPr>
          <w:p>
            <w:pPr>
              <w:spacing w:after="0"/>
            </w:pPr>
            <w:r>
              <w:rPr>
                <w:sz w:val="16"/>
              </w:rPr>
              <w:t>602</w:t>
            </w:r>
          </w:p>
        </w:tc>
        <w:tc>
          <w:tcPr>
            <w:tcW w:type="dxa" w:w="2570"/>
            <w:vAlign w:val="center"/>
            <w:shd w:fill="EEF4F6"/>
          </w:tcPr>
          <w:p>
            <w:pPr>
              <w:spacing w:after="0"/>
            </w:pPr>
            <w:r>
              <w:rPr>
                <w:sz w:val="16"/>
              </w:rPr>
              <w:t>0.658</w:t>
            </w:r>
          </w:p>
        </w:tc>
      </w:tr>
      <w:tr>
        <w:tc>
          <w:tcPr>
            <w:tcW w:type="dxa" w:w="2570"/>
            <w:vAlign w:val="center"/>
          </w:tcPr>
          <w:p>
            <w:pPr>
              <w:spacing w:after="0"/>
            </w:pPr>
            <w:r>
              <w:rPr>
                <w:sz w:val="16"/>
              </w:rPr>
              <w:t>330 days</w:t>
            </w:r>
          </w:p>
        </w:tc>
        <w:tc>
          <w:tcPr>
            <w:tcW w:type="dxa" w:w="2570"/>
            <w:vAlign w:val="center"/>
          </w:tcPr>
          <w:p>
            <w:pPr>
              <w:spacing w:after="0"/>
            </w:pPr>
            <w:r>
              <w:rPr>
                <w:sz w:val="16"/>
              </w:rPr>
              <w:t>1997</w:t>
            </w:r>
          </w:p>
        </w:tc>
        <w:tc>
          <w:tcPr>
            <w:tcW w:type="dxa" w:w="2570"/>
            <w:vAlign w:val="center"/>
          </w:tcPr>
          <w:p>
            <w:pPr>
              <w:spacing w:after="0"/>
            </w:pPr>
            <w:r>
              <w:rPr>
                <w:sz w:val="16"/>
              </w:rPr>
              <w:t>658</w:t>
            </w:r>
          </w:p>
        </w:tc>
        <w:tc>
          <w:tcPr>
            <w:tcW w:type="dxa" w:w="2570"/>
            <w:vAlign w:val="center"/>
          </w:tcPr>
          <w:p>
            <w:pPr>
              <w:spacing w:after="0"/>
            </w:pPr>
            <w:r>
              <w:rPr>
                <w:sz w:val="16"/>
              </w:rPr>
              <w:t>0.653</w:t>
            </w:r>
          </w:p>
        </w:tc>
      </w:tr>
      <w:tr>
        <w:tc>
          <w:tcPr>
            <w:tcW w:type="dxa" w:w="2570"/>
            <w:vAlign w:val="center"/>
            <w:shd w:fill="EEF4F6"/>
          </w:tcPr>
          <w:p>
            <w:pPr>
              <w:spacing w:after="0"/>
            </w:pPr>
            <w:r>
              <w:rPr>
                <w:sz w:val="16"/>
              </w:rPr>
              <w:t>360 days</w:t>
            </w:r>
          </w:p>
        </w:tc>
        <w:tc>
          <w:tcPr>
            <w:tcW w:type="dxa" w:w="2570"/>
            <w:vAlign w:val="center"/>
            <w:shd w:fill="EEF4F6"/>
          </w:tcPr>
          <w:p>
            <w:pPr>
              <w:spacing w:after="0"/>
            </w:pPr>
            <w:r>
              <w:rPr>
                <w:sz w:val="16"/>
              </w:rPr>
              <w:t>1989</w:t>
            </w:r>
          </w:p>
        </w:tc>
        <w:tc>
          <w:tcPr>
            <w:tcW w:type="dxa" w:w="2570"/>
            <w:vAlign w:val="center"/>
            <w:shd w:fill="EEF4F6"/>
          </w:tcPr>
          <w:p>
            <w:pPr>
              <w:spacing w:after="0"/>
            </w:pPr>
            <w:r>
              <w:rPr>
                <w:sz w:val="16"/>
              </w:rPr>
              <w:t>712</w:t>
            </w:r>
          </w:p>
        </w:tc>
        <w:tc>
          <w:tcPr>
            <w:tcW w:type="dxa" w:w="2570"/>
            <w:vAlign w:val="center"/>
            <w:shd w:fill="EEF4F6"/>
          </w:tcPr>
          <w:p>
            <w:pPr>
              <w:spacing w:after="0"/>
            </w:pPr>
            <w:r>
              <w:rPr>
                <w:sz w:val="16"/>
              </w:rPr>
              <w:t>0.653</w:t>
            </w:r>
          </w:p>
        </w:tc>
      </w:tr>
    </w:tbl>
    <w:p>
      <w:r>
        <w:t>In this exploratory horizon sweep, Naive Bayes was highest at 240 days (0.664). We keep 270 days as the primary comparison to match the reference study's cutoff; this sweep is exploratory, not nested selection. The Kaplan-Meier risk split is descriptive and formed from the full cohort (log-rank p=1.7e-72), so it is not independent out-of-fold validation.</w:t>
      </w:r>
    </w:p>
    <w:p>
      <w:pPr>
        <w:pStyle w:val="Heading2"/>
      </w:pPr>
      <w:r>
        <w:t>Conclusion and limitations</w:t>
      </w:r>
    </w:p>
    <w:p>
      <w:r>
        <w:t>Clinical variables provide modest discrimination in this MSK cohort. The sample differs from the private Stanford cohort in the reference report, and the available public data lack radiomic features, so scores should not be compared as if they came from the same experiment. Early censoring reduces the classification sample. These analyses are educational and are not clinical decision support.</w:t>
      </w:r>
    </w:p>
    <w:p>
      <w:r>
        <w:rPr>
          <w:color w:val="536575"/>
          <w:sz w:val="15"/>
        </w:rPr>
        <w:t>Data source: cBioPortal PDAC MSK 2024 study (pdac_msk_2024). Reference: Jamalian, CS229 Project Final Report on pancreatic cancer prognosis.</w:t>
      </w:r>
    </w:p>
    <w:sectPr w:rsidR="00FC693F" w:rsidRPr="0006063C" w:rsidSect="00034616">
      <w:footerReference w:type="default" r:id="rId9"/>
      <w:pgSz w:w="12240" w:h="15840"/>
      <w:pgMar w:top="835"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575"/>
        <w:sz w:val="16"/>
      </w:rPr>
      <w:t>UE24CS352A | ML Mini-Project | MSK 2024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02B3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rial" w:hAnsi="Arial"/>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b/>
      <w:bCs/>
      <w:color w:val="176B7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Arial" w:hAnsi="Arial"/>
      <w:b/>
      <w:color w:val="17324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