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Smart Budget and Expense Tracker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Software Requirements Specification (SRS)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A. Functional Requirements</w:t>
      </w:r>
      <w:r w:rsidDel="00000000" w:rsidR="00000000" w:rsidRPr="00000000">
        <w:rPr>
          <w:rtl w:val="0"/>
        </w:rPr>
      </w:r>
    </w:p>
    <w:tbl>
      <w:tblPr>
        <w:tblStyle w:val="Table1"/>
        <w:tblW w:w="1051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56"/>
        <w:gridCol w:w="5256"/>
        <w:tblGridChange w:id="0">
          <w:tblGrid>
            <w:gridCol w:w="5256"/>
            <w:gridCol w:w="5256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FR ID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Functional Requirement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FR01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Register and log in securely.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FR02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Update user profile and securely store credentials.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FR03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Add expenses with amount, category, date, payment method and description.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FR04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Edit or delete existing expenses.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FR05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View transaction history.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FR06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Search and filter expenses.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FR07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Provide categories such as Medical, Entertainment, Food, Travel and Shopping.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FR08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Create and edit custom expense categories.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FR09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Set and manage monthly/yearly budgets.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FR10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Generate alerts when a budget limit is crossed.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FR11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Calculate and display expense and budget statistics.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FR12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Generate monthly/yearly reports.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FR13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Allow administrators to manage users and monitor activity.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FR14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Maintain system and database security.</w:t>
            </w:r>
          </w:p>
        </w:tc>
      </w:tr>
    </w:tbl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1"/>
          <w:bCs w:val="1"/>
          <w:rtl w:val="0"/>
        </w:rPr>
        <w:t xml:space="preserve">B. Non-Functional Requirements</w:t>
      </w:r>
      <w:r w:rsidDel="00000000" w:rsidR="00000000" w:rsidRPr="00000000">
        <w:rPr>
          <w:rtl w:val="0"/>
        </w:rPr>
      </w:r>
    </w:p>
    <w:tbl>
      <w:tblPr>
        <w:tblStyle w:val="Table2"/>
        <w:tblW w:w="105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56"/>
        <w:gridCol w:w="5256"/>
        <w:tblGridChange w:id="0">
          <w:tblGrid>
            <w:gridCol w:w="5256"/>
            <w:gridCol w:w="5256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NFR ID</w:t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Non-Functional Requirement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NFR01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Performance: Dashboards and analytics should load quickly.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NFR02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Security: User credentials and financial information should be stored safely.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NFR03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Usability: The system should be simple and user-friendly.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NFR04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Reliability: User information should be stored properly and recoverable in case of data loss.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NFR05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Maintenance: The system should be regularly updated and maintained.</w:t>
            </w:r>
          </w:p>
        </w:tc>
      </w:tr>
    </w:tbl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