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0F48C0" w14:textId="27A3918B" w:rsidR="00362CEC" w:rsidRDefault="00472F69" w:rsidP="00472F69">
      <w:pPr>
        <w:jc w:val="center"/>
        <w:rPr>
          <w:rFonts w:asciiTheme="majorHAnsi" w:hAnsiTheme="majorHAnsi"/>
          <w:b/>
          <w:bCs/>
          <w:sz w:val="32"/>
          <w:szCs w:val="32"/>
        </w:rPr>
      </w:pPr>
      <w:r>
        <w:rPr>
          <w:rFonts w:asciiTheme="majorHAnsi" w:hAnsiTheme="majorHAnsi"/>
          <w:b/>
          <w:bCs/>
          <w:sz w:val="32"/>
          <w:szCs w:val="32"/>
        </w:rPr>
        <w:t>ABHISHEK SHARMA</w:t>
      </w:r>
    </w:p>
    <w:p w14:paraId="2A265A35" w14:textId="13357716" w:rsidR="00472F69" w:rsidRDefault="00472F69" w:rsidP="00472F69">
      <w:pPr>
        <w:jc w:val="center"/>
        <w:rPr>
          <w:rFonts w:asciiTheme="majorHAnsi" w:hAnsiTheme="majorHAnsi"/>
          <w:b/>
          <w:bCs/>
          <w:sz w:val="32"/>
          <w:szCs w:val="32"/>
        </w:rPr>
      </w:pPr>
      <w:r>
        <w:rPr>
          <w:rFonts w:asciiTheme="majorHAnsi" w:hAnsiTheme="majorHAnsi"/>
          <w:b/>
          <w:bCs/>
          <w:sz w:val="32"/>
          <w:szCs w:val="32"/>
        </w:rPr>
        <w:t>C.S.E – 4</w:t>
      </w:r>
    </w:p>
    <w:p w14:paraId="22B29655" w14:textId="77777777" w:rsidR="00472F69" w:rsidRDefault="00472F69" w:rsidP="00472F69">
      <w:pPr>
        <w:jc w:val="center"/>
        <w:rPr>
          <w:rFonts w:asciiTheme="majorHAnsi" w:hAnsiTheme="majorHAnsi"/>
          <w:b/>
          <w:bCs/>
          <w:sz w:val="32"/>
          <w:szCs w:val="32"/>
        </w:rPr>
      </w:pPr>
      <w:r>
        <w:rPr>
          <w:rFonts w:asciiTheme="majorHAnsi" w:hAnsiTheme="majorHAnsi"/>
          <w:b/>
          <w:bCs/>
          <w:sz w:val="32"/>
          <w:szCs w:val="32"/>
        </w:rPr>
        <w:t>220558</w:t>
      </w:r>
    </w:p>
    <w:p w14:paraId="345C1C66" w14:textId="77777777" w:rsidR="00220D2B" w:rsidRDefault="00472F69" w:rsidP="00472F69">
      <w:pPr>
        <w:jc w:val="center"/>
        <w:rPr>
          <w:rFonts w:asciiTheme="majorHAnsi" w:hAnsiTheme="majorHAnsi"/>
          <w:b/>
          <w:bCs/>
          <w:sz w:val="32"/>
          <w:szCs w:val="32"/>
        </w:rPr>
      </w:pPr>
      <w:r>
        <w:rPr>
          <w:rFonts w:asciiTheme="majorHAnsi" w:hAnsiTheme="majorHAnsi"/>
          <w:b/>
          <w:bCs/>
          <w:sz w:val="32"/>
          <w:szCs w:val="32"/>
        </w:rPr>
        <w:t>Report Title: “</w:t>
      </w:r>
      <w:r w:rsidRPr="00472F69">
        <w:rPr>
          <w:rFonts w:asciiTheme="majorHAnsi" w:hAnsiTheme="majorHAnsi"/>
          <w:b/>
          <w:bCs/>
          <w:sz w:val="32"/>
          <w:szCs w:val="32"/>
        </w:rPr>
        <w:t xml:space="preserve">The Nikkei 225: A Decade of Resilience and Recovery </w:t>
      </w:r>
    </w:p>
    <w:p w14:paraId="743DF0C8" w14:textId="3BF15524" w:rsidR="00220D2B" w:rsidRDefault="00472F69" w:rsidP="00472F69">
      <w:pPr>
        <w:jc w:val="center"/>
        <w:rPr>
          <w:rFonts w:asciiTheme="majorHAnsi" w:hAnsiTheme="majorHAnsi"/>
          <w:b/>
          <w:bCs/>
          <w:sz w:val="32"/>
          <w:szCs w:val="32"/>
        </w:rPr>
      </w:pPr>
      <w:r w:rsidRPr="00472F69">
        <w:rPr>
          <w:rFonts w:asciiTheme="majorHAnsi" w:hAnsiTheme="majorHAnsi"/>
          <w:b/>
          <w:bCs/>
          <w:sz w:val="32"/>
          <w:szCs w:val="32"/>
        </w:rPr>
        <w:t>(2010-2020)</w:t>
      </w:r>
      <w:r>
        <w:rPr>
          <w:rFonts w:asciiTheme="majorHAnsi" w:hAnsiTheme="majorHAnsi"/>
          <w:b/>
          <w:bCs/>
          <w:sz w:val="32"/>
          <w:szCs w:val="32"/>
        </w:rPr>
        <w:t>”</w:t>
      </w:r>
    </w:p>
    <w:p w14:paraId="6AB5E2DE" w14:textId="77777777" w:rsidR="00220D2B" w:rsidRDefault="00220D2B" w:rsidP="00472F69">
      <w:pPr>
        <w:jc w:val="center"/>
        <w:rPr>
          <w:rFonts w:asciiTheme="majorHAnsi" w:hAnsiTheme="majorHAnsi"/>
          <w:b/>
          <w:bCs/>
          <w:sz w:val="32"/>
          <w:szCs w:val="32"/>
        </w:rPr>
      </w:pPr>
    </w:p>
    <w:p w14:paraId="45214254" w14:textId="77777777" w:rsidR="00220D2B" w:rsidRPr="00220D2B" w:rsidRDefault="00220D2B" w:rsidP="00220D2B">
      <w:pPr>
        <w:rPr>
          <w:rFonts w:asciiTheme="majorHAnsi" w:hAnsiTheme="majorHAnsi"/>
          <w:b/>
          <w:bCs/>
          <w:sz w:val="32"/>
          <w:szCs w:val="32"/>
        </w:rPr>
      </w:pPr>
      <w:r w:rsidRPr="00220D2B">
        <w:rPr>
          <w:rFonts w:asciiTheme="majorHAnsi" w:hAnsiTheme="majorHAnsi"/>
          <w:b/>
          <w:bCs/>
          <w:sz w:val="32"/>
          <w:szCs w:val="32"/>
        </w:rPr>
        <w:t>Overview of the Nikkei 225 (2010-2020)</w:t>
      </w:r>
    </w:p>
    <w:p w14:paraId="06B22345" w14:textId="00709560" w:rsidR="00472F69" w:rsidRPr="00220D2B" w:rsidRDefault="00220D2B" w:rsidP="00220D2B">
      <w:pPr>
        <w:rPr>
          <w:sz w:val="28"/>
          <w:szCs w:val="28"/>
        </w:rPr>
      </w:pPr>
      <w:r w:rsidRPr="00220D2B">
        <w:rPr>
          <w:sz w:val="28"/>
          <w:szCs w:val="28"/>
        </w:rPr>
        <w:t>The Nikkei 225 is a price-weighted index that tracks 225 of the largest publicly traded companies on the Tokyo Stock Exchange. This period is marked by various global and domestic events that influenced market performance.</w:t>
      </w:r>
      <w:r w:rsidR="00472F69" w:rsidRPr="00220D2B">
        <w:rPr>
          <w:sz w:val="28"/>
          <w:szCs w:val="28"/>
        </w:rPr>
        <w:br/>
      </w:r>
    </w:p>
    <w:p w14:paraId="654D5236" w14:textId="6822F89C" w:rsidR="00472F69" w:rsidRPr="00472F69" w:rsidRDefault="00472F69" w:rsidP="00472F69">
      <w:pPr>
        <w:rPr>
          <w:rFonts w:asciiTheme="majorHAnsi" w:hAnsiTheme="majorHAnsi"/>
          <w:sz w:val="32"/>
          <w:szCs w:val="32"/>
        </w:rPr>
      </w:pPr>
      <w:r w:rsidRPr="00472F69">
        <w:rPr>
          <w:rFonts w:asciiTheme="majorHAnsi" w:hAnsiTheme="majorHAnsi"/>
          <w:b/>
          <w:bCs/>
          <w:sz w:val="32"/>
          <w:szCs w:val="32"/>
          <w:u w:val="thick"/>
        </w:rPr>
        <w:t>Introduction</w:t>
      </w:r>
      <w:r w:rsidRPr="00472F69">
        <w:rPr>
          <w:rFonts w:asciiTheme="majorHAnsi" w:hAnsiTheme="majorHAnsi"/>
          <w:sz w:val="32"/>
          <w:szCs w:val="32"/>
        </w:rPr>
        <w:t xml:space="preserve">: This report </w:t>
      </w:r>
      <w:r w:rsidRPr="00472F69">
        <w:rPr>
          <w:rFonts w:asciiTheme="majorHAnsi" w:hAnsiTheme="majorHAnsi"/>
          <w:sz w:val="32"/>
          <w:szCs w:val="32"/>
        </w:rPr>
        <w:t>analyses</w:t>
      </w:r>
      <w:r w:rsidRPr="00472F69">
        <w:rPr>
          <w:rFonts w:asciiTheme="majorHAnsi" w:hAnsiTheme="majorHAnsi"/>
          <w:sz w:val="32"/>
          <w:szCs w:val="32"/>
        </w:rPr>
        <w:t xml:space="preserve"> the performance of the Nikkei 225 index from April 1, 2010, to April 1, 2020. We'll explore how global events, domestic policies, and market dynamics shaped Japan's premier stock index during this crucial decade.</w:t>
      </w:r>
    </w:p>
    <w:p w14:paraId="6257BC47" w14:textId="15D1FB74" w:rsidR="00472F69" w:rsidRPr="00220D2B" w:rsidRDefault="00472F69" w:rsidP="00220D2B">
      <w:pPr>
        <w:numPr>
          <w:ilvl w:val="0"/>
          <w:numId w:val="1"/>
        </w:numPr>
        <w:rPr>
          <w:rFonts w:asciiTheme="majorHAnsi" w:hAnsiTheme="majorHAnsi"/>
          <w:b/>
          <w:bCs/>
          <w:sz w:val="32"/>
          <w:szCs w:val="32"/>
        </w:rPr>
      </w:pPr>
      <w:r w:rsidRPr="00472F69">
        <w:rPr>
          <w:rFonts w:asciiTheme="majorHAnsi" w:hAnsiTheme="majorHAnsi"/>
          <w:b/>
          <w:bCs/>
          <w:sz w:val="32"/>
          <w:szCs w:val="32"/>
        </w:rPr>
        <w:t>Setting the Stage: Recovery from the Global Financial Crisis (2010-2012)</w:t>
      </w:r>
      <w:r w:rsidRPr="00220D2B">
        <w:rPr>
          <w:rFonts w:asciiTheme="majorHAnsi" w:hAnsiTheme="majorHAnsi"/>
          <w:b/>
          <w:bCs/>
          <w:sz w:val="32"/>
          <w:szCs w:val="32"/>
        </w:rPr>
        <w:t>.</w:t>
      </w:r>
    </w:p>
    <w:p w14:paraId="6F014B84" w14:textId="0530FB8F" w:rsidR="00472F69" w:rsidRPr="00472F69" w:rsidRDefault="00472F69" w:rsidP="00472F69">
      <w:pPr>
        <w:ind w:left="720"/>
        <w:rPr>
          <w:rFonts w:asciiTheme="majorHAnsi" w:hAnsiTheme="majorHAnsi"/>
          <w:sz w:val="32"/>
          <w:szCs w:val="32"/>
        </w:rPr>
      </w:pPr>
      <w:r w:rsidRPr="00472F69">
        <w:rPr>
          <w:rFonts w:asciiTheme="majorHAnsi" w:hAnsiTheme="majorHAnsi"/>
          <w:noProof/>
          <w:sz w:val="32"/>
          <w:szCs w:val="32"/>
        </w:rPr>
        <w:drawing>
          <wp:inline distT="0" distB="0" distL="0" distR="0" wp14:anchorId="599A89E4" wp14:editId="18398419">
            <wp:extent cx="5528752" cy="2994660"/>
            <wp:effectExtent l="0" t="0" r="0" b="0"/>
            <wp:docPr id="1111846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47745" cy="3004947"/>
                    </a:xfrm>
                    <a:prstGeom prst="rect">
                      <a:avLst/>
                    </a:prstGeom>
                    <a:noFill/>
                    <a:ln>
                      <a:noFill/>
                    </a:ln>
                  </pic:spPr>
                </pic:pic>
              </a:graphicData>
            </a:graphic>
          </wp:inline>
        </w:drawing>
      </w:r>
    </w:p>
    <w:p w14:paraId="2AE45495" w14:textId="77777777" w:rsidR="00472F69" w:rsidRPr="00472F69" w:rsidRDefault="00472F69" w:rsidP="00472F69">
      <w:pPr>
        <w:rPr>
          <w:sz w:val="28"/>
          <w:szCs w:val="28"/>
        </w:rPr>
      </w:pPr>
      <w:r w:rsidRPr="00472F69">
        <w:rPr>
          <w:sz w:val="28"/>
          <w:szCs w:val="28"/>
        </w:rPr>
        <w:t>As we begin our journey in 2010, the Nikkei 225 was emerging from the shadows of the global financial crisis. On April 1, 2010, the index opened at 10,228.92, a sign of gradual recovery from its March 2009 low of 7,054.98.</w:t>
      </w:r>
    </w:p>
    <w:p w14:paraId="1E21AA87" w14:textId="77777777" w:rsidR="00220D2B" w:rsidRDefault="00220D2B" w:rsidP="00472F69">
      <w:pPr>
        <w:rPr>
          <w:b/>
          <w:bCs/>
          <w:sz w:val="28"/>
          <w:szCs w:val="28"/>
        </w:rPr>
      </w:pPr>
    </w:p>
    <w:p w14:paraId="33BA6036" w14:textId="77777777" w:rsidR="00220D2B" w:rsidRDefault="00220D2B" w:rsidP="00472F69">
      <w:pPr>
        <w:rPr>
          <w:b/>
          <w:bCs/>
          <w:sz w:val="28"/>
          <w:szCs w:val="28"/>
        </w:rPr>
      </w:pPr>
    </w:p>
    <w:p w14:paraId="148DB425" w14:textId="0C97B9AA" w:rsidR="00472F69" w:rsidRPr="00472F69" w:rsidRDefault="00472F69" w:rsidP="00472F69">
      <w:pPr>
        <w:rPr>
          <w:sz w:val="28"/>
          <w:szCs w:val="28"/>
        </w:rPr>
      </w:pPr>
      <w:r w:rsidRPr="00472F69">
        <w:rPr>
          <w:b/>
          <w:bCs/>
          <w:sz w:val="28"/>
          <w:szCs w:val="28"/>
        </w:rPr>
        <w:t>Key Observations</w:t>
      </w:r>
      <w:r w:rsidRPr="00472F69">
        <w:rPr>
          <w:sz w:val="28"/>
          <w:szCs w:val="28"/>
        </w:rPr>
        <w:t>:</w:t>
      </w:r>
    </w:p>
    <w:p w14:paraId="1B44A505" w14:textId="77777777" w:rsidR="00472F69" w:rsidRPr="00472F69" w:rsidRDefault="00472F69" w:rsidP="00472F69">
      <w:pPr>
        <w:numPr>
          <w:ilvl w:val="0"/>
          <w:numId w:val="2"/>
        </w:numPr>
        <w:rPr>
          <w:sz w:val="28"/>
          <w:szCs w:val="28"/>
        </w:rPr>
      </w:pPr>
      <w:r w:rsidRPr="00472F69">
        <w:rPr>
          <w:sz w:val="28"/>
          <w:szCs w:val="28"/>
        </w:rPr>
        <w:t>The graph shows a predominance of State 2 (S2), likely indicating moderate growth.</w:t>
      </w:r>
    </w:p>
    <w:p w14:paraId="337B5F6C" w14:textId="77777777" w:rsidR="00472F69" w:rsidRPr="00472F69" w:rsidRDefault="00472F69" w:rsidP="00472F69">
      <w:pPr>
        <w:numPr>
          <w:ilvl w:val="0"/>
          <w:numId w:val="2"/>
        </w:numPr>
        <w:rPr>
          <w:sz w:val="28"/>
          <w:szCs w:val="28"/>
        </w:rPr>
      </w:pPr>
      <w:r w:rsidRPr="00472F69">
        <w:rPr>
          <w:sz w:val="28"/>
          <w:szCs w:val="28"/>
        </w:rPr>
        <w:t>Occasional shifts to S1 suggest periods of caution or minor setbacks.</w:t>
      </w:r>
    </w:p>
    <w:p w14:paraId="7DCE9B6D" w14:textId="0748B59A" w:rsidR="00472F69" w:rsidRDefault="00472F69" w:rsidP="00472F69">
      <w:pPr>
        <w:rPr>
          <w:sz w:val="28"/>
          <w:szCs w:val="28"/>
        </w:rPr>
      </w:pPr>
      <w:r w:rsidRPr="00472F69">
        <w:rPr>
          <w:b/>
          <w:bCs/>
          <w:sz w:val="28"/>
          <w:szCs w:val="28"/>
        </w:rPr>
        <w:t>Market Research Insight</w:t>
      </w:r>
      <w:r w:rsidRPr="00472F69">
        <w:rPr>
          <w:sz w:val="28"/>
          <w:szCs w:val="28"/>
        </w:rPr>
        <w:t xml:space="preserve">: The recovery was </w:t>
      </w:r>
      <w:r w:rsidRPr="00472F69">
        <w:rPr>
          <w:sz w:val="28"/>
          <w:szCs w:val="28"/>
        </w:rPr>
        <w:t>fuelled</w:t>
      </w:r>
      <w:r w:rsidRPr="00472F69">
        <w:rPr>
          <w:sz w:val="28"/>
          <w:szCs w:val="28"/>
        </w:rPr>
        <w:t xml:space="preserve"> by increased exports and government stimulus measures aimed at boosting consumer confidence and spending.</w:t>
      </w:r>
    </w:p>
    <w:p w14:paraId="1312B230" w14:textId="77777777" w:rsidR="00472F69" w:rsidRDefault="00472F69" w:rsidP="00472F69">
      <w:pPr>
        <w:rPr>
          <w:sz w:val="28"/>
          <w:szCs w:val="28"/>
        </w:rPr>
      </w:pPr>
    </w:p>
    <w:p w14:paraId="62C4DBB8" w14:textId="77777777" w:rsidR="00472F69" w:rsidRPr="00220D2B" w:rsidRDefault="00472F69" w:rsidP="00472F69">
      <w:pPr>
        <w:pStyle w:val="ListParagraph"/>
        <w:numPr>
          <w:ilvl w:val="0"/>
          <w:numId w:val="1"/>
        </w:numPr>
        <w:rPr>
          <w:b/>
          <w:bCs/>
          <w:sz w:val="28"/>
          <w:szCs w:val="28"/>
        </w:rPr>
      </w:pPr>
      <w:r w:rsidRPr="00220D2B">
        <w:rPr>
          <w:b/>
          <w:bCs/>
          <w:sz w:val="28"/>
          <w:szCs w:val="28"/>
        </w:rPr>
        <w:t>The Great East Japan Earthquake: A Test of Resilience</w:t>
      </w:r>
    </w:p>
    <w:p w14:paraId="7CB23DA6" w14:textId="7A6A9AFB" w:rsidR="00472F69" w:rsidRDefault="00472F69" w:rsidP="00472F69">
      <w:pPr>
        <w:pStyle w:val="ListParagraph"/>
        <w:rPr>
          <w:sz w:val="28"/>
          <w:szCs w:val="28"/>
        </w:rPr>
      </w:pPr>
      <w:r w:rsidRPr="00220D2B">
        <w:rPr>
          <w:b/>
          <w:bCs/>
          <w:sz w:val="28"/>
          <w:szCs w:val="28"/>
        </w:rPr>
        <w:t xml:space="preserve"> (March 11, 2011)</w:t>
      </w:r>
      <w:r w:rsidRPr="00220D2B">
        <w:rPr>
          <w:b/>
          <w:bCs/>
          <w:sz w:val="28"/>
          <w:szCs w:val="28"/>
        </w:rPr>
        <w:t>.</w:t>
      </w:r>
      <w:r w:rsidRPr="00220D2B">
        <w:rPr>
          <w:sz w:val="28"/>
          <w:szCs w:val="28"/>
        </w:rPr>
        <w:br/>
      </w:r>
      <w:r>
        <w:rPr>
          <w:sz w:val="28"/>
          <w:szCs w:val="28"/>
        </w:rPr>
        <w:br/>
      </w:r>
      <w:r w:rsidRPr="00472F69">
        <w:rPr>
          <w:noProof/>
          <w:sz w:val="28"/>
          <w:szCs w:val="28"/>
        </w:rPr>
        <w:drawing>
          <wp:inline distT="0" distB="0" distL="0" distR="0" wp14:anchorId="31644A95" wp14:editId="4D7EE58F">
            <wp:extent cx="5413458" cy="2994660"/>
            <wp:effectExtent l="0" t="0" r="0" b="0"/>
            <wp:docPr id="315007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19127" cy="2997796"/>
                    </a:xfrm>
                    <a:prstGeom prst="rect">
                      <a:avLst/>
                    </a:prstGeom>
                    <a:noFill/>
                    <a:ln>
                      <a:noFill/>
                    </a:ln>
                  </pic:spPr>
                </pic:pic>
              </a:graphicData>
            </a:graphic>
          </wp:inline>
        </w:drawing>
      </w:r>
    </w:p>
    <w:p w14:paraId="2591608B" w14:textId="77777777" w:rsidR="00472F69" w:rsidRDefault="00472F69" w:rsidP="00472F69">
      <w:pPr>
        <w:pStyle w:val="ListParagraph"/>
        <w:rPr>
          <w:sz w:val="28"/>
          <w:szCs w:val="28"/>
        </w:rPr>
      </w:pPr>
    </w:p>
    <w:p w14:paraId="330D9BC4" w14:textId="77777777" w:rsidR="00472F69" w:rsidRDefault="00472F69" w:rsidP="00472F69">
      <w:pPr>
        <w:pStyle w:val="ListParagraph"/>
        <w:rPr>
          <w:sz w:val="28"/>
          <w:szCs w:val="28"/>
        </w:rPr>
      </w:pPr>
      <w:r w:rsidRPr="00472F69">
        <w:rPr>
          <w:sz w:val="28"/>
          <w:szCs w:val="28"/>
        </w:rPr>
        <w:t>On March 15, 2011, following the devastating earthquake and tsunami, the Nikkei experienced a sharp 10.55% drop, closing at around 8,605.</w:t>
      </w:r>
    </w:p>
    <w:p w14:paraId="3F153483" w14:textId="77777777" w:rsidR="00472F69" w:rsidRPr="00472F69" w:rsidRDefault="00472F69" w:rsidP="00472F69">
      <w:pPr>
        <w:pStyle w:val="ListParagraph"/>
        <w:rPr>
          <w:sz w:val="28"/>
          <w:szCs w:val="28"/>
        </w:rPr>
      </w:pPr>
    </w:p>
    <w:p w14:paraId="2C1D8845" w14:textId="77777777" w:rsidR="00472F69" w:rsidRPr="00472F69" w:rsidRDefault="00472F69" w:rsidP="00472F69">
      <w:pPr>
        <w:pStyle w:val="ListParagraph"/>
        <w:rPr>
          <w:sz w:val="28"/>
          <w:szCs w:val="28"/>
        </w:rPr>
      </w:pPr>
      <w:r w:rsidRPr="00472F69">
        <w:rPr>
          <w:b/>
          <w:bCs/>
          <w:sz w:val="28"/>
          <w:szCs w:val="28"/>
        </w:rPr>
        <w:t>Key Observations</w:t>
      </w:r>
      <w:r w:rsidRPr="00472F69">
        <w:rPr>
          <w:sz w:val="28"/>
          <w:szCs w:val="28"/>
        </w:rPr>
        <w:t>:</w:t>
      </w:r>
    </w:p>
    <w:p w14:paraId="04017F49" w14:textId="77777777" w:rsidR="00472F69" w:rsidRPr="00472F69" w:rsidRDefault="00472F69" w:rsidP="00472F69">
      <w:pPr>
        <w:pStyle w:val="ListParagraph"/>
        <w:numPr>
          <w:ilvl w:val="0"/>
          <w:numId w:val="3"/>
        </w:numPr>
        <w:rPr>
          <w:sz w:val="28"/>
          <w:szCs w:val="28"/>
        </w:rPr>
      </w:pPr>
      <w:r w:rsidRPr="00472F69">
        <w:rPr>
          <w:sz w:val="28"/>
          <w:szCs w:val="28"/>
        </w:rPr>
        <w:t>Increased volatility is visible, with more frequent transitions between S1 and S2.</w:t>
      </w:r>
    </w:p>
    <w:p w14:paraId="487CBA2F" w14:textId="77777777" w:rsidR="00472F69" w:rsidRDefault="00472F69" w:rsidP="00472F69">
      <w:pPr>
        <w:pStyle w:val="ListParagraph"/>
        <w:numPr>
          <w:ilvl w:val="0"/>
          <w:numId w:val="3"/>
        </w:numPr>
        <w:rPr>
          <w:sz w:val="28"/>
          <w:szCs w:val="28"/>
        </w:rPr>
      </w:pPr>
      <w:r w:rsidRPr="00472F69">
        <w:rPr>
          <w:sz w:val="28"/>
          <w:szCs w:val="28"/>
        </w:rPr>
        <w:t>Despite the shock, the market quickly returned to S2, demonstrating resilience.</w:t>
      </w:r>
    </w:p>
    <w:p w14:paraId="4432C541" w14:textId="77777777" w:rsidR="00472F69" w:rsidRPr="00472F69" w:rsidRDefault="00472F69" w:rsidP="00472F69">
      <w:pPr>
        <w:pStyle w:val="ListParagraph"/>
        <w:rPr>
          <w:sz w:val="28"/>
          <w:szCs w:val="28"/>
        </w:rPr>
      </w:pPr>
    </w:p>
    <w:p w14:paraId="73FF6C6C" w14:textId="77777777" w:rsidR="00472F69" w:rsidRPr="00472F69" w:rsidRDefault="00472F69" w:rsidP="00472F69">
      <w:pPr>
        <w:pStyle w:val="ListParagraph"/>
        <w:rPr>
          <w:sz w:val="28"/>
          <w:szCs w:val="28"/>
        </w:rPr>
      </w:pPr>
      <w:r w:rsidRPr="00472F69">
        <w:rPr>
          <w:b/>
          <w:bCs/>
          <w:sz w:val="28"/>
          <w:szCs w:val="28"/>
        </w:rPr>
        <w:t>Market Research Insight</w:t>
      </w:r>
      <w:r w:rsidRPr="00472F69">
        <w:rPr>
          <w:sz w:val="28"/>
          <w:szCs w:val="28"/>
        </w:rPr>
        <w:t>: Analysts noted severe impacts on investor sentiment due to uncertainty about reconstruction costs and potential economic slowdown.</w:t>
      </w:r>
    </w:p>
    <w:p w14:paraId="67FD989F" w14:textId="77777777" w:rsidR="00472F69" w:rsidRDefault="00472F69" w:rsidP="00472F69">
      <w:pPr>
        <w:pStyle w:val="ListParagraph"/>
        <w:rPr>
          <w:sz w:val="28"/>
          <w:szCs w:val="28"/>
        </w:rPr>
      </w:pPr>
    </w:p>
    <w:p w14:paraId="6E8813CC" w14:textId="77777777" w:rsidR="00220D2B" w:rsidRDefault="00220D2B" w:rsidP="00472F69">
      <w:pPr>
        <w:pStyle w:val="ListParagraph"/>
        <w:rPr>
          <w:sz w:val="28"/>
          <w:szCs w:val="28"/>
        </w:rPr>
      </w:pPr>
    </w:p>
    <w:p w14:paraId="5B62FBCF" w14:textId="77777777" w:rsidR="00220D2B" w:rsidRDefault="00220D2B" w:rsidP="00472F69">
      <w:pPr>
        <w:pStyle w:val="ListParagraph"/>
        <w:rPr>
          <w:sz w:val="28"/>
          <w:szCs w:val="28"/>
        </w:rPr>
      </w:pPr>
    </w:p>
    <w:p w14:paraId="176BD84E" w14:textId="77777777" w:rsidR="00220D2B" w:rsidRDefault="00220D2B" w:rsidP="00472F69">
      <w:pPr>
        <w:pStyle w:val="ListParagraph"/>
        <w:rPr>
          <w:sz w:val="28"/>
          <w:szCs w:val="28"/>
        </w:rPr>
      </w:pPr>
    </w:p>
    <w:p w14:paraId="4C5E9A97" w14:textId="1009CCF7" w:rsidR="00472F69" w:rsidRPr="00220D2B" w:rsidRDefault="00472F69" w:rsidP="00220D2B">
      <w:pPr>
        <w:pStyle w:val="ListParagraph"/>
        <w:numPr>
          <w:ilvl w:val="0"/>
          <w:numId w:val="1"/>
        </w:numPr>
        <w:rPr>
          <w:b/>
          <w:bCs/>
          <w:sz w:val="28"/>
          <w:szCs w:val="28"/>
        </w:rPr>
      </w:pPr>
      <w:r w:rsidRPr="00220D2B">
        <w:rPr>
          <w:b/>
          <w:bCs/>
          <w:sz w:val="28"/>
          <w:szCs w:val="28"/>
        </w:rPr>
        <w:t>The Abenomics Era: A New Hope (2012 onwards)</w:t>
      </w:r>
    </w:p>
    <w:p w14:paraId="6F36C2F1" w14:textId="77777777" w:rsidR="00472F69" w:rsidRDefault="00472F69" w:rsidP="00472F69">
      <w:pPr>
        <w:pStyle w:val="ListParagraph"/>
        <w:rPr>
          <w:sz w:val="28"/>
          <w:szCs w:val="28"/>
        </w:rPr>
      </w:pPr>
    </w:p>
    <w:p w14:paraId="413A5372" w14:textId="7851DE66" w:rsidR="00472F69" w:rsidRDefault="00472F69" w:rsidP="00472F69">
      <w:pPr>
        <w:pStyle w:val="ListParagraph"/>
        <w:rPr>
          <w:sz w:val="28"/>
          <w:szCs w:val="28"/>
        </w:rPr>
      </w:pPr>
      <w:r w:rsidRPr="00472F69">
        <w:rPr>
          <w:noProof/>
          <w:sz w:val="28"/>
          <w:szCs w:val="28"/>
        </w:rPr>
        <w:drawing>
          <wp:inline distT="0" distB="0" distL="0" distR="0" wp14:anchorId="0D362979" wp14:editId="1B3EAA4D">
            <wp:extent cx="5686567" cy="2994025"/>
            <wp:effectExtent l="0" t="0" r="9525" b="0"/>
            <wp:docPr id="8234860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86567" cy="2994025"/>
                    </a:xfrm>
                    <a:prstGeom prst="rect">
                      <a:avLst/>
                    </a:prstGeom>
                    <a:noFill/>
                    <a:ln>
                      <a:noFill/>
                    </a:ln>
                  </pic:spPr>
                </pic:pic>
              </a:graphicData>
            </a:graphic>
          </wp:inline>
        </w:drawing>
      </w:r>
    </w:p>
    <w:p w14:paraId="1CC9BDD6" w14:textId="77777777" w:rsidR="000B2F77" w:rsidRDefault="000B2F77" w:rsidP="00472F69">
      <w:pPr>
        <w:pStyle w:val="ListParagraph"/>
        <w:rPr>
          <w:sz w:val="28"/>
          <w:szCs w:val="28"/>
        </w:rPr>
      </w:pPr>
    </w:p>
    <w:p w14:paraId="30523108" w14:textId="49C5E668" w:rsidR="000B2F77" w:rsidRDefault="000B2F77" w:rsidP="000B2F77">
      <w:pPr>
        <w:pStyle w:val="ListParagraph"/>
        <w:rPr>
          <w:sz w:val="28"/>
          <w:szCs w:val="28"/>
        </w:rPr>
      </w:pPr>
      <w:r w:rsidRPr="000B2F77">
        <w:rPr>
          <w:sz w:val="28"/>
          <w:szCs w:val="28"/>
        </w:rPr>
        <w:t xml:space="preserve">With the introduction of Abenomics in late 2012, we see a shift in market </w:t>
      </w:r>
      <w:r w:rsidRPr="000B2F77">
        <w:rPr>
          <w:sz w:val="28"/>
          <w:szCs w:val="28"/>
        </w:rPr>
        <w:t>behaviour</w:t>
      </w:r>
      <w:r w:rsidRPr="000B2F77">
        <w:rPr>
          <w:sz w:val="28"/>
          <w:szCs w:val="28"/>
        </w:rPr>
        <w:t>.</w:t>
      </w:r>
    </w:p>
    <w:p w14:paraId="4EE2C9C2" w14:textId="77777777" w:rsidR="000B2F77" w:rsidRPr="000B2F77" w:rsidRDefault="000B2F77" w:rsidP="000B2F77">
      <w:pPr>
        <w:pStyle w:val="ListParagraph"/>
        <w:rPr>
          <w:sz w:val="28"/>
          <w:szCs w:val="28"/>
        </w:rPr>
      </w:pPr>
    </w:p>
    <w:p w14:paraId="5C2FD061" w14:textId="77777777" w:rsidR="000B2F77" w:rsidRPr="000B2F77" w:rsidRDefault="000B2F77" w:rsidP="000B2F77">
      <w:pPr>
        <w:pStyle w:val="ListParagraph"/>
        <w:rPr>
          <w:sz w:val="28"/>
          <w:szCs w:val="28"/>
        </w:rPr>
      </w:pPr>
      <w:r w:rsidRPr="000B2F77">
        <w:rPr>
          <w:b/>
          <w:bCs/>
          <w:sz w:val="28"/>
          <w:szCs w:val="28"/>
        </w:rPr>
        <w:t>Key Observations</w:t>
      </w:r>
      <w:r w:rsidRPr="000B2F77">
        <w:rPr>
          <w:sz w:val="28"/>
          <w:szCs w:val="28"/>
        </w:rPr>
        <w:t>:</w:t>
      </w:r>
    </w:p>
    <w:p w14:paraId="3159F63A" w14:textId="77777777" w:rsidR="000B2F77" w:rsidRPr="000B2F77" w:rsidRDefault="000B2F77" w:rsidP="000B2F77">
      <w:pPr>
        <w:pStyle w:val="ListParagraph"/>
        <w:numPr>
          <w:ilvl w:val="0"/>
          <w:numId w:val="4"/>
        </w:numPr>
        <w:rPr>
          <w:sz w:val="28"/>
          <w:szCs w:val="28"/>
        </w:rPr>
      </w:pPr>
      <w:r w:rsidRPr="000B2F77">
        <w:rPr>
          <w:sz w:val="28"/>
          <w:szCs w:val="28"/>
        </w:rPr>
        <w:t>More stable and prolonged periods in S2 from 2013 onwards.</w:t>
      </w:r>
    </w:p>
    <w:p w14:paraId="6347D281" w14:textId="77777777" w:rsidR="000B2F77" w:rsidRDefault="000B2F77" w:rsidP="000B2F77">
      <w:pPr>
        <w:pStyle w:val="ListParagraph"/>
        <w:numPr>
          <w:ilvl w:val="0"/>
          <w:numId w:val="4"/>
        </w:numPr>
        <w:rPr>
          <w:sz w:val="28"/>
          <w:szCs w:val="28"/>
        </w:rPr>
      </w:pPr>
      <w:r w:rsidRPr="000B2F77">
        <w:rPr>
          <w:sz w:val="28"/>
          <w:szCs w:val="28"/>
        </w:rPr>
        <w:t>By mid-2013, the Nikkei surged past 15,000, reflecting renewed investor confidence.</w:t>
      </w:r>
    </w:p>
    <w:p w14:paraId="064C738F" w14:textId="77777777" w:rsidR="000B2F77" w:rsidRPr="000B2F77" w:rsidRDefault="000B2F77" w:rsidP="000B2F77">
      <w:pPr>
        <w:pStyle w:val="ListParagraph"/>
        <w:rPr>
          <w:sz w:val="28"/>
          <w:szCs w:val="28"/>
        </w:rPr>
      </w:pPr>
    </w:p>
    <w:p w14:paraId="55638AFC" w14:textId="77777777" w:rsidR="000B2F77" w:rsidRPr="000B2F77" w:rsidRDefault="000B2F77" w:rsidP="000B2F77">
      <w:pPr>
        <w:pStyle w:val="ListParagraph"/>
        <w:rPr>
          <w:sz w:val="28"/>
          <w:szCs w:val="28"/>
        </w:rPr>
      </w:pPr>
      <w:r w:rsidRPr="000B2F77">
        <w:rPr>
          <w:b/>
          <w:bCs/>
          <w:sz w:val="28"/>
          <w:szCs w:val="28"/>
        </w:rPr>
        <w:t>Market Research Insight</w:t>
      </w:r>
      <w:r w:rsidRPr="000B2F77">
        <w:rPr>
          <w:sz w:val="28"/>
          <w:szCs w:val="28"/>
        </w:rPr>
        <w:t>: Abenomics policies, including aggressive monetary easing and fiscal stimulus, were largely successful in driving up stock prices.</w:t>
      </w:r>
    </w:p>
    <w:p w14:paraId="3139C157" w14:textId="77777777" w:rsidR="000B2F77" w:rsidRDefault="000B2F77" w:rsidP="00472F69">
      <w:pPr>
        <w:pStyle w:val="ListParagraph"/>
        <w:rPr>
          <w:sz w:val="28"/>
          <w:szCs w:val="28"/>
        </w:rPr>
      </w:pPr>
    </w:p>
    <w:p w14:paraId="3A2ACEAE" w14:textId="77777777" w:rsidR="000B2F77" w:rsidRDefault="000B2F77" w:rsidP="00472F69">
      <w:pPr>
        <w:pStyle w:val="ListParagraph"/>
        <w:rPr>
          <w:sz w:val="28"/>
          <w:szCs w:val="28"/>
        </w:rPr>
      </w:pPr>
    </w:p>
    <w:p w14:paraId="3699E0D4" w14:textId="77777777" w:rsidR="000B2F77" w:rsidRDefault="000B2F77" w:rsidP="00472F69">
      <w:pPr>
        <w:pStyle w:val="ListParagraph"/>
        <w:rPr>
          <w:sz w:val="28"/>
          <w:szCs w:val="28"/>
        </w:rPr>
      </w:pPr>
    </w:p>
    <w:p w14:paraId="30280A57" w14:textId="77777777" w:rsidR="000B2F77" w:rsidRDefault="000B2F77" w:rsidP="00472F69">
      <w:pPr>
        <w:pStyle w:val="ListParagraph"/>
        <w:rPr>
          <w:sz w:val="28"/>
          <w:szCs w:val="28"/>
        </w:rPr>
      </w:pPr>
    </w:p>
    <w:p w14:paraId="1D1819F9" w14:textId="77777777" w:rsidR="000B2F77" w:rsidRDefault="000B2F77" w:rsidP="00472F69">
      <w:pPr>
        <w:pStyle w:val="ListParagraph"/>
        <w:rPr>
          <w:sz w:val="28"/>
          <w:szCs w:val="28"/>
        </w:rPr>
      </w:pPr>
    </w:p>
    <w:p w14:paraId="32F1D1B4" w14:textId="77777777" w:rsidR="000B2F77" w:rsidRDefault="000B2F77" w:rsidP="00472F69">
      <w:pPr>
        <w:pStyle w:val="ListParagraph"/>
        <w:rPr>
          <w:sz w:val="28"/>
          <w:szCs w:val="28"/>
        </w:rPr>
      </w:pPr>
    </w:p>
    <w:p w14:paraId="5637BE0E" w14:textId="77777777" w:rsidR="000B2F77" w:rsidRDefault="000B2F77" w:rsidP="00472F69">
      <w:pPr>
        <w:pStyle w:val="ListParagraph"/>
        <w:rPr>
          <w:sz w:val="28"/>
          <w:szCs w:val="28"/>
        </w:rPr>
      </w:pPr>
    </w:p>
    <w:p w14:paraId="44D36AE8" w14:textId="77777777" w:rsidR="000B2F77" w:rsidRDefault="000B2F77" w:rsidP="00472F69">
      <w:pPr>
        <w:pStyle w:val="ListParagraph"/>
        <w:rPr>
          <w:sz w:val="28"/>
          <w:szCs w:val="28"/>
        </w:rPr>
      </w:pPr>
    </w:p>
    <w:p w14:paraId="439BE537" w14:textId="77777777" w:rsidR="000B2F77" w:rsidRDefault="000B2F77" w:rsidP="00472F69">
      <w:pPr>
        <w:pStyle w:val="ListParagraph"/>
        <w:rPr>
          <w:sz w:val="28"/>
          <w:szCs w:val="28"/>
        </w:rPr>
      </w:pPr>
    </w:p>
    <w:p w14:paraId="1D49DFDC" w14:textId="77777777" w:rsidR="000B2F77" w:rsidRDefault="000B2F77" w:rsidP="00472F69">
      <w:pPr>
        <w:pStyle w:val="ListParagraph"/>
        <w:rPr>
          <w:sz w:val="28"/>
          <w:szCs w:val="28"/>
        </w:rPr>
      </w:pPr>
    </w:p>
    <w:p w14:paraId="2B6D9417" w14:textId="77777777" w:rsidR="000B2F77" w:rsidRDefault="000B2F77" w:rsidP="00472F69">
      <w:pPr>
        <w:pStyle w:val="ListParagraph"/>
        <w:rPr>
          <w:sz w:val="28"/>
          <w:szCs w:val="28"/>
        </w:rPr>
      </w:pPr>
    </w:p>
    <w:p w14:paraId="1CF6EE36" w14:textId="77777777" w:rsidR="00220D2B" w:rsidRDefault="00220D2B" w:rsidP="00472F69">
      <w:pPr>
        <w:pStyle w:val="ListParagraph"/>
        <w:rPr>
          <w:sz w:val="28"/>
          <w:szCs w:val="28"/>
        </w:rPr>
      </w:pPr>
    </w:p>
    <w:p w14:paraId="298A1706" w14:textId="77777777" w:rsidR="00220D2B" w:rsidRDefault="00220D2B" w:rsidP="00472F69">
      <w:pPr>
        <w:pStyle w:val="ListParagraph"/>
        <w:rPr>
          <w:sz w:val="28"/>
          <w:szCs w:val="28"/>
        </w:rPr>
      </w:pPr>
    </w:p>
    <w:p w14:paraId="31DF6CE8" w14:textId="77777777" w:rsidR="00220D2B" w:rsidRDefault="00220D2B" w:rsidP="00472F69">
      <w:pPr>
        <w:pStyle w:val="ListParagraph"/>
        <w:rPr>
          <w:sz w:val="28"/>
          <w:szCs w:val="28"/>
        </w:rPr>
      </w:pPr>
    </w:p>
    <w:p w14:paraId="37F4973C" w14:textId="77777777" w:rsidR="00220D2B" w:rsidRDefault="00220D2B" w:rsidP="00472F69">
      <w:pPr>
        <w:pStyle w:val="ListParagraph"/>
        <w:rPr>
          <w:sz w:val="28"/>
          <w:szCs w:val="28"/>
        </w:rPr>
      </w:pPr>
    </w:p>
    <w:p w14:paraId="58538D9D" w14:textId="77777777" w:rsidR="00220D2B" w:rsidRDefault="00220D2B" w:rsidP="00472F69">
      <w:pPr>
        <w:pStyle w:val="ListParagraph"/>
        <w:rPr>
          <w:sz w:val="28"/>
          <w:szCs w:val="28"/>
        </w:rPr>
      </w:pPr>
    </w:p>
    <w:p w14:paraId="1C321733" w14:textId="77777777" w:rsidR="00220D2B" w:rsidRDefault="00220D2B" w:rsidP="00472F69">
      <w:pPr>
        <w:pStyle w:val="ListParagraph"/>
        <w:rPr>
          <w:sz w:val="28"/>
          <w:szCs w:val="28"/>
        </w:rPr>
      </w:pPr>
    </w:p>
    <w:p w14:paraId="45532E52" w14:textId="6E4C8402" w:rsidR="000B2F77" w:rsidRPr="00220D2B" w:rsidRDefault="000B2F77" w:rsidP="000B2F77">
      <w:pPr>
        <w:pStyle w:val="ListParagraph"/>
        <w:numPr>
          <w:ilvl w:val="0"/>
          <w:numId w:val="1"/>
        </w:numPr>
        <w:rPr>
          <w:b/>
          <w:bCs/>
          <w:sz w:val="28"/>
          <w:szCs w:val="28"/>
        </w:rPr>
      </w:pPr>
      <w:r w:rsidRPr="00220D2B">
        <w:rPr>
          <w:b/>
          <w:bCs/>
          <w:sz w:val="28"/>
          <w:szCs w:val="28"/>
        </w:rPr>
        <w:t>Global Concerns and Market Volatility (Early 2016)</w:t>
      </w:r>
    </w:p>
    <w:p w14:paraId="6F543811" w14:textId="34F8FBA3" w:rsidR="000B2F77" w:rsidRDefault="000B2F77" w:rsidP="000B2F77">
      <w:pPr>
        <w:rPr>
          <w:sz w:val="28"/>
          <w:szCs w:val="28"/>
        </w:rPr>
      </w:pPr>
      <w:r w:rsidRPr="000B2F77">
        <w:rPr>
          <w:noProof/>
          <w:sz w:val="28"/>
          <w:szCs w:val="28"/>
        </w:rPr>
        <w:drawing>
          <wp:inline distT="0" distB="0" distL="0" distR="0" wp14:anchorId="5B8AC1FF" wp14:editId="537A709A">
            <wp:extent cx="5731510" cy="2994660"/>
            <wp:effectExtent l="0" t="0" r="2540" b="0"/>
            <wp:docPr id="18644230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994660"/>
                    </a:xfrm>
                    <a:prstGeom prst="rect">
                      <a:avLst/>
                    </a:prstGeom>
                    <a:noFill/>
                    <a:ln>
                      <a:noFill/>
                    </a:ln>
                  </pic:spPr>
                </pic:pic>
              </a:graphicData>
            </a:graphic>
          </wp:inline>
        </w:drawing>
      </w:r>
    </w:p>
    <w:p w14:paraId="3A0BF5AC" w14:textId="77777777" w:rsidR="000B2F77" w:rsidRDefault="000B2F77" w:rsidP="000B2F77">
      <w:pPr>
        <w:rPr>
          <w:sz w:val="28"/>
          <w:szCs w:val="28"/>
        </w:rPr>
      </w:pPr>
    </w:p>
    <w:p w14:paraId="0857B934" w14:textId="77777777" w:rsidR="000B2F77" w:rsidRPr="000B2F77" w:rsidRDefault="000B2F77" w:rsidP="000B2F77">
      <w:pPr>
        <w:rPr>
          <w:sz w:val="28"/>
          <w:szCs w:val="28"/>
        </w:rPr>
      </w:pPr>
      <w:r w:rsidRPr="000B2F77">
        <w:rPr>
          <w:sz w:val="28"/>
          <w:szCs w:val="28"/>
        </w:rPr>
        <w:t>Early 2016 saw significant market volatility amid global economic concerns and a strong yen.</w:t>
      </w:r>
    </w:p>
    <w:p w14:paraId="2868BA30" w14:textId="77777777" w:rsidR="000B2F77" w:rsidRPr="000B2F77" w:rsidRDefault="000B2F77" w:rsidP="000B2F77">
      <w:pPr>
        <w:rPr>
          <w:sz w:val="28"/>
          <w:szCs w:val="28"/>
        </w:rPr>
      </w:pPr>
      <w:r w:rsidRPr="000B2F77">
        <w:rPr>
          <w:b/>
          <w:bCs/>
          <w:sz w:val="28"/>
          <w:szCs w:val="28"/>
        </w:rPr>
        <w:t>Key Observations</w:t>
      </w:r>
      <w:r w:rsidRPr="000B2F77">
        <w:rPr>
          <w:sz w:val="28"/>
          <w:szCs w:val="28"/>
        </w:rPr>
        <w:t>:</w:t>
      </w:r>
    </w:p>
    <w:p w14:paraId="54BB830D" w14:textId="77777777" w:rsidR="000B2F77" w:rsidRPr="000B2F77" w:rsidRDefault="000B2F77" w:rsidP="000B2F77">
      <w:pPr>
        <w:numPr>
          <w:ilvl w:val="0"/>
          <w:numId w:val="5"/>
        </w:numPr>
        <w:rPr>
          <w:sz w:val="28"/>
          <w:szCs w:val="28"/>
        </w:rPr>
      </w:pPr>
      <w:r w:rsidRPr="000B2F77">
        <w:rPr>
          <w:sz w:val="28"/>
          <w:szCs w:val="28"/>
        </w:rPr>
        <w:t>Increased transitions between S2 and S3, representing higher volatility.</w:t>
      </w:r>
    </w:p>
    <w:p w14:paraId="389F6BBB" w14:textId="77777777" w:rsidR="000B2F77" w:rsidRPr="000B2F77" w:rsidRDefault="000B2F77" w:rsidP="000B2F77">
      <w:pPr>
        <w:numPr>
          <w:ilvl w:val="0"/>
          <w:numId w:val="5"/>
        </w:numPr>
        <w:rPr>
          <w:sz w:val="28"/>
          <w:szCs w:val="28"/>
        </w:rPr>
      </w:pPr>
      <w:r w:rsidRPr="000B2F77">
        <w:rPr>
          <w:sz w:val="28"/>
          <w:szCs w:val="28"/>
        </w:rPr>
        <w:t>The Nikkei dropped to around 15,500 in February 2016.</w:t>
      </w:r>
    </w:p>
    <w:p w14:paraId="2DB78844" w14:textId="77777777" w:rsidR="000B2F77" w:rsidRDefault="000B2F77" w:rsidP="000B2F77">
      <w:pPr>
        <w:rPr>
          <w:sz w:val="28"/>
          <w:szCs w:val="28"/>
        </w:rPr>
      </w:pPr>
      <w:r w:rsidRPr="000B2F77">
        <w:rPr>
          <w:b/>
          <w:bCs/>
          <w:sz w:val="28"/>
          <w:szCs w:val="28"/>
        </w:rPr>
        <w:t>Market Research Insight</w:t>
      </w:r>
      <w:r w:rsidRPr="000B2F77">
        <w:rPr>
          <w:sz w:val="28"/>
          <w:szCs w:val="28"/>
        </w:rPr>
        <w:t>:</w:t>
      </w:r>
    </w:p>
    <w:p w14:paraId="56F4AEE3" w14:textId="080472DF" w:rsidR="000B2F77" w:rsidRDefault="000B2F77" w:rsidP="000B2F77">
      <w:pPr>
        <w:rPr>
          <w:sz w:val="28"/>
          <w:szCs w:val="28"/>
        </w:rPr>
      </w:pPr>
      <w:r w:rsidRPr="000B2F77">
        <w:rPr>
          <w:sz w:val="28"/>
          <w:szCs w:val="28"/>
        </w:rPr>
        <w:t xml:space="preserve"> Factors included fluctuating oil prices and fears of a slowdown in China's economy impacting Japanese exports.</w:t>
      </w:r>
    </w:p>
    <w:p w14:paraId="3622C259" w14:textId="77777777" w:rsidR="000B2F77" w:rsidRDefault="000B2F77" w:rsidP="000B2F77">
      <w:pPr>
        <w:rPr>
          <w:sz w:val="28"/>
          <w:szCs w:val="28"/>
        </w:rPr>
      </w:pPr>
    </w:p>
    <w:p w14:paraId="72A55B92" w14:textId="77777777" w:rsidR="000B2F77" w:rsidRDefault="000B2F77" w:rsidP="000B2F77">
      <w:pPr>
        <w:rPr>
          <w:sz w:val="28"/>
          <w:szCs w:val="28"/>
        </w:rPr>
      </w:pPr>
    </w:p>
    <w:p w14:paraId="22228126" w14:textId="77777777" w:rsidR="000B2F77" w:rsidRDefault="000B2F77" w:rsidP="000B2F77">
      <w:pPr>
        <w:rPr>
          <w:sz w:val="28"/>
          <w:szCs w:val="28"/>
        </w:rPr>
      </w:pPr>
    </w:p>
    <w:p w14:paraId="3673B824" w14:textId="77777777" w:rsidR="000B2F77" w:rsidRDefault="000B2F77" w:rsidP="000B2F77">
      <w:pPr>
        <w:rPr>
          <w:sz w:val="28"/>
          <w:szCs w:val="28"/>
        </w:rPr>
      </w:pPr>
    </w:p>
    <w:p w14:paraId="1C4537BA" w14:textId="77777777" w:rsidR="000B2F77" w:rsidRDefault="000B2F77" w:rsidP="000B2F77">
      <w:pPr>
        <w:rPr>
          <w:sz w:val="28"/>
          <w:szCs w:val="28"/>
        </w:rPr>
      </w:pPr>
    </w:p>
    <w:p w14:paraId="586DDC08" w14:textId="77777777" w:rsidR="000B2F77" w:rsidRDefault="000B2F77" w:rsidP="000B2F77">
      <w:pPr>
        <w:rPr>
          <w:sz w:val="28"/>
          <w:szCs w:val="28"/>
        </w:rPr>
      </w:pPr>
    </w:p>
    <w:p w14:paraId="357409A2" w14:textId="77777777" w:rsidR="000B2F77" w:rsidRDefault="000B2F77" w:rsidP="000B2F77">
      <w:pPr>
        <w:rPr>
          <w:sz w:val="28"/>
          <w:szCs w:val="28"/>
        </w:rPr>
      </w:pPr>
    </w:p>
    <w:p w14:paraId="41DAD07A" w14:textId="77777777" w:rsidR="00220D2B" w:rsidRDefault="00220D2B" w:rsidP="000B2F77">
      <w:pPr>
        <w:rPr>
          <w:sz w:val="28"/>
          <w:szCs w:val="28"/>
        </w:rPr>
      </w:pPr>
    </w:p>
    <w:p w14:paraId="069D4B9F" w14:textId="77777777" w:rsidR="00220D2B" w:rsidRDefault="00220D2B" w:rsidP="000B2F77">
      <w:pPr>
        <w:rPr>
          <w:sz w:val="28"/>
          <w:szCs w:val="28"/>
        </w:rPr>
      </w:pPr>
    </w:p>
    <w:p w14:paraId="27E2963F" w14:textId="77777777" w:rsidR="00220D2B" w:rsidRDefault="00220D2B" w:rsidP="000B2F77">
      <w:pPr>
        <w:rPr>
          <w:sz w:val="28"/>
          <w:szCs w:val="28"/>
        </w:rPr>
      </w:pPr>
    </w:p>
    <w:p w14:paraId="3D584162" w14:textId="48E5BD36" w:rsidR="000B2F77" w:rsidRPr="00220D2B" w:rsidRDefault="000B2F77" w:rsidP="000B2F77">
      <w:pPr>
        <w:pStyle w:val="ListParagraph"/>
        <w:numPr>
          <w:ilvl w:val="0"/>
          <w:numId w:val="1"/>
        </w:numPr>
        <w:rPr>
          <w:b/>
          <w:bCs/>
          <w:sz w:val="28"/>
          <w:szCs w:val="28"/>
        </w:rPr>
      </w:pPr>
      <w:r w:rsidRPr="00220D2B">
        <w:rPr>
          <w:b/>
          <w:bCs/>
          <w:sz w:val="28"/>
          <w:szCs w:val="28"/>
        </w:rPr>
        <w:t>The COVID-19 Shock: An Unprecedented Challenge (March 2020)</w:t>
      </w:r>
    </w:p>
    <w:p w14:paraId="36318219" w14:textId="77777777" w:rsidR="000B2F77" w:rsidRDefault="000B2F77" w:rsidP="000B2F77">
      <w:pPr>
        <w:pStyle w:val="ListParagraph"/>
        <w:rPr>
          <w:sz w:val="28"/>
          <w:szCs w:val="28"/>
        </w:rPr>
      </w:pPr>
    </w:p>
    <w:p w14:paraId="7DF4012A" w14:textId="7AE4D86D" w:rsidR="000B2F77" w:rsidRDefault="000B2F77" w:rsidP="000B2F77">
      <w:pPr>
        <w:pStyle w:val="ListParagraph"/>
        <w:rPr>
          <w:sz w:val="28"/>
          <w:szCs w:val="28"/>
        </w:rPr>
      </w:pPr>
      <w:r w:rsidRPr="000B2F77">
        <w:rPr>
          <w:noProof/>
          <w:sz w:val="28"/>
          <w:szCs w:val="28"/>
        </w:rPr>
        <w:drawing>
          <wp:inline distT="0" distB="0" distL="0" distR="0" wp14:anchorId="7D3344FD" wp14:editId="3FA26145">
            <wp:extent cx="5731510" cy="2994660"/>
            <wp:effectExtent l="0" t="0" r="2540" b="0"/>
            <wp:docPr id="19613747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994660"/>
                    </a:xfrm>
                    <a:prstGeom prst="rect">
                      <a:avLst/>
                    </a:prstGeom>
                    <a:noFill/>
                    <a:ln>
                      <a:noFill/>
                    </a:ln>
                  </pic:spPr>
                </pic:pic>
              </a:graphicData>
            </a:graphic>
          </wp:inline>
        </w:drawing>
      </w:r>
    </w:p>
    <w:p w14:paraId="4A758B57" w14:textId="77777777" w:rsidR="000B2F77" w:rsidRDefault="000B2F77" w:rsidP="000B2F77">
      <w:pPr>
        <w:pStyle w:val="ListParagraph"/>
        <w:rPr>
          <w:sz w:val="28"/>
          <w:szCs w:val="28"/>
        </w:rPr>
      </w:pPr>
    </w:p>
    <w:p w14:paraId="2EFAA2A2" w14:textId="77777777" w:rsidR="000B2F77" w:rsidRPr="000B2F77" w:rsidRDefault="000B2F77" w:rsidP="000B2F77">
      <w:pPr>
        <w:pStyle w:val="ListParagraph"/>
        <w:rPr>
          <w:sz w:val="28"/>
          <w:szCs w:val="28"/>
        </w:rPr>
      </w:pPr>
      <w:r w:rsidRPr="000B2F77">
        <w:rPr>
          <w:sz w:val="28"/>
          <w:szCs w:val="28"/>
        </w:rPr>
        <w:t>As our decade-long journey concludes, we witness the beginning of the COVID-19 pandemic's impact.</w:t>
      </w:r>
    </w:p>
    <w:p w14:paraId="603DFBBD" w14:textId="77777777" w:rsidR="000B2F77" w:rsidRPr="000B2F77" w:rsidRDefault="000B2F77" w:rsidP="000B2F77">
      <w:pPr>
        <w:pStyle w:val="ListParagraph"/>
        <w:rPr>
          <w:sz w:val="28"/>
          <w:szCs w:val="28"/>
        </w:rPr>
      </w:pPr>
      <w:r w:rsidRPr="000B2F77">
        <w:rPr>
          <w:b/>
          <w:bCs/>
          <w:sz w:val="28"/>
          <w:szCs w:val="28"/>
        </w:rPr>
        <w:t>Key Observations</w:t>
      </w:r>
      <w:r w:rsidRPr="000B2F77">
        <w:rPr>
          <w:sz w:val="28"/>
          <w:szCs w:val="28"/>
        </w:rPr>
        <w:t>:</w:t>
      </w:r>
    </w:p>
    <w:p w14:paraId="44EF6829" w14:textId="77777777" w:rsidR="000B2F77" w:rsidRPr="000B2F77" w:rsidRDefault="000B2F77" w:rsidP="000B2F77">
      <w:pPr>
        <w:pStyle w:val="ListParagraph"/>
        <w:numPr>
          <w:ilvl w:val="0"/>
          <w:numId w:val="6"/>
        </w:numPr>
        <w:rPr>
          <w:sz w:val="28"/>
          <w:szCs w:val="28"/>
        </w:rPr>
      </w:pPr>
      <w:r w:rsidRPr="000B2F77">
        <w:rPr>
          <w:sz w:val="28"/>
          <w:szCs w:val="28"/>
        </w:rPr>
        <w:t>A rare transition to State 4 (S4) at the very end of the graph.</w:t>
      </w:r>
    </w:p>
    <w:p w14:paraId="2F7BD951" w14:textId="77777777" w:rsidR="000B2F77" w:rsidRDefault="000B2F77" w:rsidP="000B2F77">
      <w:pPr>
        <w:pStyle w:val="ListParagraph"/>
        <w:numPr>
          <w:ilvl w:val="0"/>
          <w:numId w:val="6"/>
        </w:numPr>
        <w:rPr>
          <w:sz w:val="28"/>
          <w:szCs w:val="28"/>
        </w:rPr>
      </w:pPr>
      <w:r w:rsidRPr="000B2F77">
        <w:rPr>
          <w:sz w:val="28"/>
          <w:szCs w:val="28"/>
        </w:rPr>
        <w:t>By March 23, 2020, the Nikkei had fallen to approximately 16,552.</w:t>
      </w:r>
    </w:p>
    <w:p w14:paraId="564B708C" w14:textId="77777777" w:rsidR="000B2F77" w:rsidRPr="000B2F77" w:rsidRDefault="000B2F77" w:rsidP="000B2F77">
      <w:pPr>
        <w:rPr>
          <w:sz w:val="28"/>
          <w:szCs w:val="28"/>
        </w:rPr>
      </w:pPr>
    </w:p>
    <w:p w14:paraId="2E082AE9" w14:textId="77777777" w:rsidR="000B2F77" w:rsidRDefault="000B2F77" w:rsidP="000B2F77">
      <w:pPr>
        <w:pStyle w:val="ListParagraph"/>
        <w:rPr>
          <w:sz w:val="28"/>
          <w:szCs w:val="28"/>
        </w:rPr>
      </w:pPr>
      <w:r w:rsidRPr="000B2F77">
        <w:rPr>
          <w:b/>
          <w:bCs/>
          <w:sz w:val="28"/>
          <w:szCs w:val="28"/>
        </w:rPr>
        <w:t>Market Research Insight</w:t>
      </w:r>
      <w:r w:rsidRPr="000B2F77">
        <w:rPr>
          <w:sz w:val="28"/>
          <w:szCs w:val="28"/>
        </w:rPr>
        <w:t>:</w:t>
      </w:r>
    </w:p>
    <w:p w14:paraId="3D4CCBE5" w14:textId="5850C7A7" w:rsidR="000B2F77" w:rsidRPr="000B2F77" w:rsidRDefault="000B2F77" w:rsidP="000B2F77">
      <w:pPr>
        <w:pStyle w:val="ListParagraph"/>
        <w:rPr>
          <w:sz w:val="28"/>
          <w:szCs w:val="28"/>
        </w:rPr>
      </w:pPr>
      <w:r w:rsidRPr="000B2F77">
        <w:rPr>
          <w:sz w:val="28"/>
          <w:szCs w:val="28"/>
        </w:rPr>
        <w:t xml:space="preserve"> The pandemic led to widespread economic disruptions, prompting stimulus measures to stabilize the economy.</w:t>
      </w:r>
    </w:p>
    <w:p w14:paraId="3D4EAA87" w14:textId="77777777" w:rsidR="000B2F77" w:rsidRDefault="000B2F77" w:rsidP="000B2F77">
      <w:pPr>
        <w:pStyle w:val="ListParagraph"/>
        <w:rPr>
          <w:sz w:val="28"/>
          <w:szCs w:val="28"/>
        </w:rPr>
      </w:pPr>
    </w:p>
    <w:p w14:paraId="3269FC60" w14:textId="77777777" w:rsidR="000B2F77" w:rsidRDefault="000B2F77" w:rsidP="000B2F77">
      <w:pPr>
        <w:pStyle w:val="ListParagraph"/>
        <w:rPr>
          <w:sz w:val="28"/>
          <w:szCs w:val="28"/>
        </w:rPr>
      </w:pPr>
    </w:p>
    <w:p w14:paraId="54A883A3" w14:textId="77777777" w:rsidR="000B2F77" w:rsidRDefault="000B2F77" w:rsidP="000B2F77">
      <w:pPr>
        <w:pStyle w:val="ListParagraph"/>
        <w:rPr>
          <w:sz w:val="28"/>
          <w:szCs w:val="28"/>
        </w:rPr>
      </w:pPr>
    </w:p>
    <w:p w14:paraId="20ECB0F2" w14:textId="77777777" w:rsidR="000B2F77" w:rsidRDefault="000B2F77" w:rsidP="000B2F77">
      <w:pPr>
        <w:pStyle w:val="ListParagraph"/>
        <w:rPr>
          <w:sz w:val="28"/>
          <w:szCs w:val="28"/>
        </w:rPr>
      </w:pPr>
    </w:p>
    <w:p w14:paraId="2B9193C1" w14:textId="77777777" w:rsidR="000B2F77" w:rsidRDefault="000B2F77" w:rsidP="000B2F77">
      <w:pPr>
        <w:pStyle w:val="ListParagraph"/>
        <w:rPr>
          <w:sz w:val="28"/>
          <w:szCs w:val="28"/>
        </w:rPr>
      </w:pPr>
    </w:p>
    <w:p w14:paraId="08BA1AF4" w14:textId="77777777" w:rsidR="000B2F77" w:rsidRDefault="000B2F77" w:rsidP="000B2F77">
      <w:pPr>
        <w:pStyle w:val="ListParagraph"/>
        <w:rPr>
          <w:sz w:val="28"/>
          <w:szCs w:val="28"/>
        </w:rPr>
      </w:pPr>
    </w:p>
    <w:p w14:paraId="727EE1A3" w14:textId="77777777" w:rsidR="000B2F77" w:rsidRDefault="000B2F77" w:rsidP="000B2F77">
      <w:pPr>
        <w:pStyle w:val="ListParagraph"/>
        <w:rPr>
          <w:sz w:val="28"/>
          <w:szCs w:val="28"/>
        </w:rPr>
      </w:pPr>
    </w:p>
    <w:p w14:paraId="72498E89" w14:textId="77777777" w:rsidR="000B2F77" w:rsidRDefault="000B2F77" w:rsidP="000B2F77">
      <w:pPr>
        <w:pStyle w:val="ListParagraph"/>
        <w:rPr>
          <w:sz w:val="28"/>
          <w:szCs w:val="28"/>
        </w:rPr>
      </w:pPr>
    </w:p>
    <w:p w14:paraId="69E72350" w14:textId="77777777" w:rsidR="000B2F77" w:rsidRDefault="000B2F77" w:rsidP="000B2F77">
      <w:pPr>
        <w:pStyle w:val="ListParagraph"/>
        <w:rPr>
          <w:sz w:val="28"/>
          <w:szCs w:val="28"/>
        </w:rPr>
      </w:pPr>
    </w:p>
    <w:p w14:paraId="0BBAC38D" w14:textId="77777777" w:rsidR="000B2F77" w:rsidRDefault="000B2F77" w:rsidP="000B2F77">
      <w:pPr>
        <w:pStyle w:val="ListParagraph"/>
        <w:rPr>
          <w:sz w:val="28"/>
          <w:szCs w:val="28"/>
        </w:rPr>
      </w:pPr>
    </w:p>
    <w:p w14:paraId="0F5BB106" w14:textId="77777777" w:rsidR="000B2F77" w:rsidRDefault="000B2F77" w:rsidP="000B2F77">
      <w:pPr>
        <w:pStyle w:val="ListParagraph"/>
        <w:rPr>
          <w:sz w:val="28"/>
          <w:szCs w:val="28"/>
        </w:rPr>
      </w:pPr>
    </w:p>
    <w:p w14:paraId="43C52936" w14:textId="77777777" w:rsidR="000B2F77" w:rsidRDefault="000B2F77" w:rsidP="000B2F77">
      <w:pPr>
        <w:pStyle w:val="ListParagraph"/>
        <w:rPr>
          <w:sz w:val="28"/>
          <w:szCs w:val="28"/>
        </w:rPr>
      </w:pPr>
    </w:p>
    <w:p w14:paraId="6A13725B" w14:textId="77777777" w:rsidR="000B2F77" w:rsidRDefault="000B2F77" w:rsidP="000B2F77">
      <w:pPr>
        <w:pStyle w:val="ListParagraph"/>
        <w:rPr>
          <w:sz w:val="28"/>
          <w:szCs w:val="28"/>
        </w:rPr>
      </w:pPr>
    </w:p>
    <w:p w14:paraId="158ACCE2" w14:textId="77777777" w:rsidR="000B2F77" w:rsidRDefault="000B2F77" w:rsidP="000B2F77">
      <w:pPr>
        <w:pStyle w:val="ListParagraph"/>
        <w:rPr>
          <w:sz w:val="28"/>
          <w:szCs w:val="28"/>
        </w:rPr>
      </w:pPr>
    </w:p>
    <w:p w14:paraId="3FDE730D" w14:textId="77777777" w:rsidR="00220D2B" w:rsidRDefault="00220D2B" w:rsidP="000B2F77">
      <w:pPr>
        <w:pStyle w:val="ListParagraph"/>
        <w:rPr>
          <w:sz w:val="28"/>
          <w:szCs w:val="28"/>
        </w:rPr>
      </w:pPr>
    </w:p>
    <w:p w14:paraId="4F626C99" w14:textId="77777777" w:rsidR="00220D2B" w:rsidRDefault="00220D2B" w:rsidP="000B2F77">
      <w:pPr>
        <w:pStyle w:val="ListParagraph"/>
        <w:rPr>
          <w:sz w:val="28"/>
          <w:szCs w:val="28"/>
        </w:rPr>
      </w:pPr>
    </w:p>
    <w:p w14:paraId="2ABA66E1" w14:textId="1DAABA7E" w:rsidR="000B2F77" w:rsidRPr="00220D2B" w:rsidRDefault="000B2F77" w:rsidP="000B2F77">
      <w:pPr>
        <w:pStyle w:val="ListParagraph"/>
        <w:numPr>
          <w:ilvl w:val="0"/>
          <w:numId w:val="1"/>
        </w:numPr>
        <w:rPr>
          <w:b/>
          <w:bCs/>
          <w:sz w:val="28"/>
          <w:szCs w:val="28"/>
        </w:rPr>
      </w:pPr>
      <w:r w:rsidRPr="00220D2B">
        <w:rPr>
          <w:b/>
          <w:bCs/>
          <w:sz w:val="28"/>
          <w:szCs w:val="28"/>
        </w:rPr>
        <w:t>Understanding Market Dynamics</w:t>
      </w:r>
      <w:r w:rsidRPr="00220D2B">
        <w:rPr>
          <w:b/>
          <w:bCs/>
          <w:sz w:val="28"/>
          <w:szCs w:val="28"/>
        </w:rPr>
        <w:t>.</w:t>
      </w:r>
    </w:p>
    <w:p w14:paraId="44AC35A9" w14:textId="77777777" w:rsidR="000B2F77" w:rsidRDefault="000B2F77" w:rsidP="000B2F77">
      <w:pPr>
        <w:pStyle w:val="ListParagraph"/>
        <w:rPr>
          <w:sz w:val="28"/>
          <w:szCs w:val="28"/>
        </w:rPr>
      </w:pPr>
    </w:p>
    <w:p w14:paraId="3B1E4F4C" w14:textId="7C0551E8" w:rsidR="000B2F77" w:rsidRPr="000B2F77" w:rsidRDefault="000B2F77" w:rsidP="000B2F77">
      <w:pPr>
        <w:pStyle w:val="ListParagraph"/>
        <w:rPr>
          <w:sz w:val="28"/>
          <w:szCs w:val="28"/>
        </w:rPr>
      </w:pPr>
      <w:r w:rsidRPr="000B2F77">
        <w:rPr>
          <w:noProof/>
          <w:sz w:val="28"/>
          <w:szCs w:val="28"/>
        </w:rPr>
        <w:drawing>
          <wp:inline distT="0" distB="0" distL="0" distR="0" wp14:anchorId="2E3935AA" wp14:editId="64085CC8">
            <wp:extent cx="5731510" cy="4246245"/>
            <wp:effectExtent l="0" t="0" r="2540" b="1905"/>
            <wp:docPr id="380400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246245"/>
                    </a:xfrm>
                    <a:prstGeom prst="rect">
                      <a:avLst/>
                    </a:prstGeom>
                    <a:noFill/>
                    <a:ln>
                      <a:noFill/>
                    </a:ln>
                  </pic:spPr>
                </pic:pic>
              </a:graphicData>
            </a:graphic>
          </wp:inline>
        </w:drawing>
      </w:r>
    </w:p>
    <w:p w14:paraId="62A7C70B" w14:textId="77777777" w:rsidR="000B2F77" w:rsidRDefault="000B2F77" w:rsidP="000B2F77">
      <w:pPr>
        <w:rPr>
          <w:sz w:val="28"/>
          <w:szCs w:val="28"/>
        </w:rPr>
      </w:pPr>
    </w:p>
    <w:p w14:paraId="0770F0A3" w14:textId="77777777" w:rsidR="000B2F77" w:rsidRPr="000B2F77" w:rsidRDefault="000B2F77" w:rsidP="000B2F77">
      <w:pPr>
        <w:rPr>
          <w:sz w:val="28"/>
          <w:szCs w:val="28"/>
        </w:rPr>
      </w:pPr>
      <w:r w:rsidRPr="000B2F77">
        <w:rPr>
          <w:sz w:val="28"/>
          <w:szCs w:val="28"/>
        </w:rPr>
        <w:t>This correlation matrix provides insights into the relationships between various financial instruments during our analysis period.</w:t>
      </w:r>
    </w:p>
    <w:p w14:paraId="12CC5E7B" w14:textId="77777777" w:rsidR="000B2F77" w:rsidRPr="000B2F77" w:rsidRDefault="000B2F77" w:rsidP="000B2F77">
      <w:pPr>
        <w:rPr>
          <w:sz w:val="28"/>
          <w:szCs w:val="28"/>
        </w:rPr>
      </w:pPr>
      <w:r w:rsidRPr="000B2F77">
        <w:rPr>
          <w:b/>
          <w:bCs/>
          <w:sz w:val="28"/>
          <w:szCs w:val="28"/>
        </w:rPr>
        <w:t>Key Observations</w:t>
      </w:r>
      <w:r w:rsidRPr="000B2F77">
        <w:rPr>
          <w:sz w:val="28"/>
          <w:szCs w:val="28"/>
        </w:rPr>
        <w:t>:</w:t>
      </w:r>
    </w:p>
    <w:p w14:paraId="4551502D" w14:textId="77777777" w:rsidR="000B2F77" w:rsidRPr="000B2F77" w:rsidRDefault="000B2F77" w:rsidP="000B2F77">
      <w:pPr>
        <w:numPr>
          <w:ilvl w:val="0"/>
          <w:numId w:val="7"/>
        </w:numPr>
        <w:rPr>
          <w:sz w:val="28"/>
          <w:szCs w:val="28"/>
        </w:rPr>
      </w:pPr>
      <w:r w:rsidRPr="000B2F77">
        <w:rPr>
          <w:sz w:val="28"/>
          <w:szCs w:val="28"/>
        </w:rPr>
        <w:t>Strong positive correlations between many instruments, typical in financial markets.</w:t>
      </w:r>
    </w:p>
    <w:p w14:paraId="5B7DB0BA" w14:textId="77777777" w:rsidR="000B2F77" w:rsidRPr="000B2F77" w:rsidRDefault="000B2F77" w:rsidP="000B2F77">
      <w:pPr>
        <w:numPr>
          <w:ilvl w:val="0"/>
          <w:numId w:val="7"/>
        </w:numPr>
        <w:rPr>
          <w:sz w:val="28"/>
          <w:szCs w:val="28"/>
        </w:rPr>
      </w:pPr>
      <w:r w:rsidRPr="000B2F77">
        <w:rPr>
          <w:sz w:val="28"/>
          <w:szCs w:val="28"/>
        </w:rPr>
        <w:t>Some instruments (e.g., PH_4151.T) show weaker correlations, potentially offering diversification benefits.</w:t>
      </w:r>
    </w:p>
    <w:p w14:paraId="7D6E7E4F" w14:textId="77777777" w:rsidR="000B2F77" w:rsidRDefault="000B2F77" w:rsidP="000B2F77">
      <w:pPr>
        <w:rPr>
          <w:sz w:val="28"/>
          <w:szCs w:val="28"/>
        </w:rPr>
      </w:pPr>
    </w:p>
    <w:p w14:paraId="0DE4EDE7" w14:textId="77777777" w:rsidR="000B2F77" w:rsidRDefault="000B2F77" w:rsidP="000B2F77">
      <w:pPr>
        <w:rPr>
          <w:sz w:val="28"/>
          <w:szCs w:val="28"/>
        </w:rPr>
      </w:pPr>
    </w:p>
    <w:p w14:paraId="40CA0DB3" w14:textId="77777777" w:rsidR="000B2F77" w:rsidRDefault="000B2F77" w:rsidP="000B2F77">
      <w:pPr>
        <w:rPr>
          <w:sz w:val="28"/>
          <w:szCs w:val="28"/>
        </w:rPr>
      </w:pPr>
    </w:p>
    <w:p w14:paraId="18293529" w14:textId="77777777" w:rsidR="000B2F77" w:rsidRDefault="000B2F77" w:rsidP="000B2F77">
      <w:pPr>
        <w:rPr>
          <w:sz w:val="28"/>
          <w:szCs w:val="28"/>
        </w:rPr>
      </w:pPr>
    </w:p>
    <w:p w14:paraId="1DA3CB8F" w14:textId="7A9DC219" w:rsidR="000B2F77" w:rsidRDefault="00220D2B" w:rsidP="000B2F77">
      <w:pPr>
        <w:rPr>
          <w:sz w:val="28"/>
          <w:szCs w:val="28"/>
        </w:rPr>
      </w:pPr>
      <w:r w:rsidRPr="000B2F77">
        <w:rPr>
          <w:noProof/>
          <w:sz w:val="28"/>
          <w:szCs w:val="28"/>
        </w:rPr>
        <w:lastRenderedPageBreak/>
        <w:drawing>
          <wp:inline distT="0" distB="0" distL="0" distR="0" wp14:anchorId="5F39DB4E" wp14:editId="499F2D68">
            <wp:extent cx="4524375" cy="8336915"/>
            <wp:effectExtent l="0" t="0" r="9525" b="6985"/>
            <wp:docPr id="12169103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24375" cy="8336915"/>
                    </a:xfrm>
                    <a:prstGeom prst="rect">
                      <a:avLst/>
                    </a:prstGeom>
                    <a:noFill/>
                    <a:ln>
                      <a:noFill/>
                    </a:ln>
                  </pic:spPr>
                </pic:pic>
              </a:graphicData>
            </a:graphic>
          </wp:inline>
        </w:drawing>
      </w:r>
    </w:p>
    <w:p w14:paraId="56BD8E05" w14:textId="77777777" w:rsidR="00220D2B" w:rsidRDefault="00220D2B" w:rsidP="000B2F77">
      <w:pPr>
        <w:rPr>
          <w:sz w:val="28"/>
          <w:szCs w:val="28"/>
        </w:rPr>
      </w:pPr>
    </w:p>
    <w:p w14:paraId="74851A09" w14:textId="77777777" w:rsidR="00220D2B" w:rsidRDefault="00220D2B" w:rsidP="000B2F77">
      <w:pPr>
        <w:rPr>
          <w:sz w:val="28"/>
          <w:szCs w:val="28"/>
        </w:rPr>
      </w:pPr>
    </w:p>
    <w:p w14:paraId="3364BEFD" w14:textId="77777777" w:rsidR="00220D2B" w:rsidRDefault="00220D2B" w:rsidP="000B2F77">
      <w:pPr>
        <w:rPr>
          <w:sz w:val="28"/>
          <w:szCs w:val="28"/>
        </w:rPr>
      </w:pPr>
    </w:p>
    <w:p w14:paraId="00F7476B" w14:textId="77777777" w:rsidR="00220D2B" w:rsidRDefault="00220D2B" w:rsidP="000B2F77">
      <w:pPr>
        <w:rPr>
          <w:sz w:val="28"/>
          <w:szCs w:val="28"/>
        </w:rPr>
      </w:pPr>
    </w:p>
    <w:p w14:paraId="7B3512D3" w14:textId="3AFFC362" w:rsidR="000B2F77" w:rsidRPr="000B2F77" w:rsidRDefault="000B2F77" w:rsidP="000B2F77">
      <w:pPr>
        <w:rPr>
          <w:sz w:val="28"/>
          <w:szCs w:val="28"/>
        </w:rPr>
      </w:pPr>
      <w:r w:rsidRPr="000B2F77">
        <w:rPr>
          <w:sz w:val="28"/>
          <w:szCs w:val="28"/>
        </w:rPr>
        <w:lastRenderedPageBreak/>
        <w:t>This data gives us a quantitative understanding of market state transitions.</w:t>
      </w:r>
    </w:p>
    <w:p w14:paraId="3E2018F8" w14:textId="77777777" w:rsidR="000B2F77" w:rsidRPr="000B2F77" w:rsidRDefault="000B2F77" w:rsidP="000B2F77">
      <w:pPr>
        <w:rPr>
          <w:sz w:val="28"/>
          <w:szCs w:val="28"/>
        </w:rPr>
      </w:pPr>
      <w:r w:rsidRPr="000B2F77">
        <w:rPr>
          <w:b/>
          <w:bCs/>
          <w:sz w:val="28"/>
          <w:szCs w:val="28"/>
        </w:rPr>
        <w:t>Key Observations</w:t>
      </w:r>
      <w:r w:rsidRPr="000B2F77">
        <w:rPr>
          <w:sz w:val="28"/>
          <w:szCs w:val="28"/>
        </w:rPr>
        <w:t>:</w:t>
      </w:r>
    </w:p>
    <w:p w14:paraId="706AC6B8" w14:textId="77777777" w:rsidR="000B2F77" w:rsidRPr="000B2F77" w:rsidRDefault="000B2F77" w:rsidP="000B2F77">
      <w:pPr>
        <w:numPr>
          <w:ilvl w:val="0"/>
          <w:numId w:val="8"/>
        </w:numPr>
        <w:rPr>
          <w:sz w:val="28"/>
          <w:szCs w:val="28"/>
        </w:rPr>
      </w:pPr>
      <w:r w:rsidRPr="000B2F77">
        <w:rPr>
          <w:sz w:val="28"/>
          <w:szCs w:val="28"/>
        </w:rPr>
        <w:t>High probabilities for S1 to S1 (0.531), S2 to S2 (0.789), and S3 to S3 (0.596) indicate market momentum.</w:t>
      </w:r>
    </w:p>
    <w:p w14:paraId="4B567EDF" w14:textId="77777777" w:rsidR="000B2F77" w:rsidRPr="000B2F77" w:rsidRDefault="000B2F77" w:rsidP="000B2F77">
      <w:pPr>
        <w:numPr>
          <w:ilvl w:val="0"/>
          <w:numId w:val="8"/>
        </w:numPr>
        <w:rPr>
          <w:sz w:val="28"/>
          <w:szCs w:val="28"/>
        </w:rPr>
      </w:pPr>
      <w:r w:rsidRPr="000B2F77">
        <w:rPr>
          <w:sz w:val="28"/>
          <w:szCs w:val="28"/>
        </w:rPr>
        <w:t>Rare transitions to S4 align with major market shocks.</w:t>
      </w:r>
    </w:p>
    <w:p w14:paraId="504E1EEE" w14:textId="77777777" w:rsidR="000B2F77" w:rsidRPr="000B2F77" w:rsidRDefault="000B2F77" w:rsidP="000B2F77">
      <w:pPr>
        <w:rPr>
          <w:sz w:val="28"/>
          <w:szCs w:val="28"/>
        </w:rPr>
      </w:pPr>
      <w:r w:rsidRPr="000B2F77">
        <w:rPr>
          <w:b/>
          <w:bCs/>
          <w:sz w:val="28"/>
          <w:szCs w:val="28"/>
          <w:u w:val="thick"/>
        </w:rPr>
        <w:t>Conclusion</w:t>
      </w:r>
      <w:r w:rsidRPr="000B2F77">
        <w:rPr>
          <w:sz w:val="28"/>
          <w:szCs w:val="28"/>
        </w:rPr>
        <w:t>:</w:t>
      </w:r>
    </w:p>
    <w:p w14:paraId="60057C35" w14:textId="77777777" w:rsidR="000B2F77" w:rsidRPr="000B2F77" w:rsidRDefault="000B2F77" w:rsidP="000B2F77">
      <w:pPr>
        <w:rPr>
          <w:sz w:val="28"/>
          <w:szCs w:val="28"/>
        </w:rPr>
      </w:pPr>
      <w:r w:rsidRPr="000B2F77">
        <w:rPr>
          <w:sz w:val="28"/>
          <w:szCs w:val="28"/>
        </w:rPr>
        <w:t>The Nikkei 225's journey from 2010 to 2020 tells a story of resilience and adaptation. From the aftermath of the global financial crisis, through natural disasters, bold economic policies, and global market turbulence, Japan's key index has demonstrated its ability to recover and grow.</w:t>
      </w:r>
    </w:p>
    <w:p w14:paraId="4D7ADEBC" w14:textId="77777777" w:rsidR="000B2F77" w:rsidRPr="000B2F77" w:rsidRDefault="000B2F77" w:rsidP="000B2F77">
      <w:pPr>
        <w:rPr>
          <w:sz w:val="28"/>
          <w:szCs w:val="28"/>
        </w:rPr>
      </w:pPr>
      <w:r w:rsidRPr="000B2F77">
        <w:rPr>
          <w:sz w:val="28"/>
          <w:szCs w:val="28"/>
        </w:rPr>
        <w:t>As we look to the future, understanding these patterns and the index's responsiveness to various stimuli will be crucial for investors and policymakers alike. The Nikkei 225's performance reflects not just Japan's economic health, but also its intricate connections to the global financial ecosystem.</w:t>
      </w:r>
    </w:p>
    <w:p w14:paraId="7DBFB832" w14:textId="77777777" w:rsidR="000B2F77" w:rsidRDefault="000B2F77" w:rsidP="000B2F77">
      <w:pPr>
        <w:rPr>
          <w:sz w:val="28"/>
          <w:szCs w:val="28"/>
        </w:rPr>
      </w:pPr>
      <w:r w:rsidRPr="000B2F77">
        <w:rPr>
          <w:sz w:val="28"/>
          <w:szCs w:val="28"/>
        </w:rPr>
        <w:t xml:space="preserve">This analysis provides a foundation for anticipating future market </w:t>
      </w:r>
      <w:proofErr w:type="spellStart"/>
      <w:r w:rsidRPr="000B2F77">
        <w:rPr>
          <w:sz w:val="28"/>
          <w:szCs w:val="28"/>
        </w:rPr>
        <w:t>behaviors</w:t>
      </w:r>
      <w:proofErr w:type="spellEnd"/>
      <w:r w:rsidRPr="000B2F77">
        <w:rPr>
          <w:sz w:val="28"/>
          <w:szCs w:val="28"/>
        </w:rPr>
        <w:t xml:space="preserve"> and crafting strategies to navigate the complex world of Japanese and global finance.</w:t>
      </w:r>
    </w:p>
    <w:p w14:paraId="6887784C" w14:textId="77777777" w:rsidR="00220D2B" w:rsidRDefault="00220D2B" w:rsidP="000B2F77">
      <w:pPr>
        <w:rPr>
          <w:sz w:val="28"/>
          <w:szCs w:val="28"/>
        </w:rPr>
      </w:pPr>
    </w:p>
    <w:p w14:paraId="2FDA4A4C" w14:textId="752CF82B" w:rsidR="00220D2B" w:rsidRDefault="00220D2B" w:rsidP="000B2F77">
      <w:pPr>
        <w:rPr>
          <w:sz w:val="24"/>
          <w:szCs w:val="24"/>
        </w:rPr>
      </w:pPr>
      <w:r>
        <w:rPr>
          <w:rFonts w:asciiTheme="majorHAnsi" w:hAnsiTheme="majorHAnsi"/>
          <w:b/>
          <w:bCs/>
          <w:sz w:val="32"/>
          <w:szCs w:val="32"/>
          <w:u w:val="thick"/>
        </w:rPr>
        <w:t>Sources and Links:</w:t>
      </w:r>
      <w:r>
        <w:rPr>
          <w:rFonts w:asciiTheme="majorHAnsi" w:hAnsiTheme="majorHAnsi"/>
          <w:b/>
          <w:bCs/>
          <w:sz w:val="32"/>
          <w:szCs w:val="32"/>
          <w:u w:val="thick"/>
        </w:rPr>
        <w:br/>
      </w:r>
    </w:p>
    <w:p w14:paraId="007D75A5" w14:textId="1ECD234A" w:rsidR="00220D2B" w:rsidRDefault="00220D2B" w:rsidP="000B2F77">
      <w:pPr>
        <w:rPr>
          <w:sz w:val="24"/>
          <w:szCs w:val="24"/>
        </w:rPr>
      </w:pPr>
      <w:hyperlink r:id="rId11" w:history="1">
        <w:r w:rsidRPr="00BA7F8F">
          <w:rPr>
            <w:rStyle w:val="Hyperlink"/>
            <w:sz w:val="24"/>
            <w:szCs w:val="24"/>
          </w:rPr>
          <w:t>https://liveindex.org/nikkei/</w:t>
        </w:r>
      </w:hyperlink>
    </w:p>
    <w:p w14:paraId="0425A2AC" w14:textId="62C5645B" w:rsidR="00220D2B" w:rsidRDefault="00220D2B" w:rsidP="000B2F77">
      <w:pPr>
        <w:rPr>
          <w:sz w:val="24"/>
          <w:szCs w:val="24"/>
        </w:rPr>
      </w:pPr>
      <w:hyperlink r:id="rId12" w:history="1">
        <w:r w:rsidRPr="00BA7F8F">
          <w:rPr>
            <w:rStyle w:val="Hyperlink"/>
            <w:sz w:val="24"/>
            <w:szCs w:val="24"/>
          </w:rPr>
          <w:t>https://en.wikipedia.org/wiki/Nikkei_225</w:t>
        </w:r>
      </w:hyperlink>
    </w:p>
    <w:p w14:paraId="3AB709E1" w14:textId="44E1A83F" w:rsidR="00220D2B" w:rsidRDefault="00220D2B" w:rsidP="000B2F77">
      <w:pPr>
        <w:rPr>
          <w:sz w:val="24"/>
          <w:szCs w:val="24"/>
        </w:rPr>
      </w:pPr>
      <w:hyperlink r:id="rId13" w:history="1">
        <w:r w:rsidRPr="00BA7F8F">
          <w:rPr>
            <w:rStyle w:val="Hyperlink"/>
            <w:sz w:val="24"/>
            <w:szCs w:val="24"/>
          </w:rPr>
          <w:t>https://en.wikipedia.org/wiki/Japanese_asset_price_bubble</w:t>
        </w:r>
      </w:hyperlink>
    </w:p>
    <w:p w14:paraId="2B93A713" w14:textId="167DA7D0" w:rsidR="00220D2B" w:rsidRDefault="00220D2B" w:rsidP="000B2F77">
      <w:pPr>
        <w:rPr>
          <w:sz w:val="24"/>
          <w:szCs w:val="24"/>
        </w:rPr>
      </w:pPr>
      <w:hyperlink r:id="rId14" w:history="1">
        <w:r w:rsidRPr="00BA7F8F">
          <w:rPr>
            <w:rStyle w:val="Hyperlink"/>
            <w:sz w:val="24"/>
            <w:szCs w:val="24"/>
          </w:rPr>
          <w:t>https://economictimes.indiatimes.com/markets/stocks/news/japans-nikkei-225-stock-index-sinks-10-in-worst-losses-since-1987/articleshow/112278944.cms</w:t>
        </w:r>
      </w:hyperlink>
    </w:p>
    <w:p w14:paraId="4393D664" w14:textId="315FE49A" w:rsidR="00220D2B" w:rsidRDefault="00220D2B" w:rsidP="000B2F77">
      <w:pPr>
        <w:rPr>
          <w:sz w:val="24"/>
          <w:szCs w:val="24"/>
        </w:rPr>
      </w:pPr>
      <w:hyperlink r:id="rId15" w:history="1">
        <w:r w:rsidRPr="00BA7F8F">
          <w:rPr>
            <w:rStyle w:val="Hyperlink"/>
            <w:sz w:val="24"/>
            <w:szCs w:val="24"/>
          </w:rPr>
          <w:t>https://www.afrugaldoctor.com/home/japans-lost-decades-30-years-of-negative-returns-from-the-nikkei-225</w:t>
        </w:r>
      </w:hyperlink>
    </w:p>
    <w:p w14:paraId="30947ADE" w14:textId="0BF05EC2" w:rsidR="00220D2B" w:rsidRDefault="00220D2B" w:rsidP="000B2F77">
      <w:pPr>
        <w:rPr>
          <w:sz w:val="24"/>
          <w:szCs w:val="24"/>
        </w:rPr>
      </w:pPr>
      <w:hyperlink r:id="rId16" w:history="1">
        <w:r w:rsidRPr="00BA7F8F">
          <w:rPr>
            <w:rStyle w:val="Hyperlink"/>
            <w:sz w:val="24"/>
            <w:szCs w:val="24"/>
          </w:rPr>
          <w:t>https://www.nytimes.com/2024/02/22/business/japan-stocks-record.html</w:t>
        </w:r>
      </w:hyperlink>
    </w:p>
    <w:p w14:paraId="0F004A37" w14:textId="77777777" w:rsidR="00220D2B" w:rsidRPr="000B2F77" w:rsidRDefault="00220D2B" w:rsidP="000B2F77">
      <w:pPr>
        <w:rPr>
          <w:sz w:val="24"/>
          <w:szCs w:val="24"/>
        </w:rPr>
      </w:pPr>
    </w:p>
    <w:p w14:paraId="323840DC" w14:textId="77777777" w:rsidR="000B2F77" w:rsidRPr="000B2F77" w:rsidRDefault="000B2F77" w:rsidP="000B2F77">
      <w:pPr>
        <w:rPr>
          <w:sz w:val="28"/>
          <w:szCs w:val="28"/>
        </w:rPr>
      </w:pPr>
    </w:p>
    <w:sectPr w:rsidR="000B2F77" w:rsidRPr="000B2F77" w:rsidSect="00220D2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2B6A16"/>
    <w:multiLevelType w:val="multilevel"/>
    <w:tmpl w:val="53AC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EB4A3A"/>
    <w:multiLevelType w:val="multilevel"/>
    <w:tmpl w:val="8A24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DC5D9D"/>
    <w:multiLevelType w:val="multilevel"/>
    <w:tmpl w:val="36EA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694DE3"/>
    <w:multiLevelType w:val="multilevel"/>
    <w:tmpl w:val="87065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E40BD1"/>
    <w:multiLevelType w:val="multilevel"/>
    <w:tmpl w:val="1FA8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4C169A"/>
    <w:multiLevelType w:val="multilevel"/>
    <w:tmpl w:val="A630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4A2FFE"/>
    <w:multiLevelType w:val="multilevel"/>
    <w:tmpl w:val="C12A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F97C10"/>
    <w:multiLevelType w:val="multilevel"/>
    <w:tmpl w:val="812A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9694808">
    <w:abstractNumId w:val="3"/>
  </w:num>
  <w:num w:numId="2" w16cid:durableId="1886136769">
    <w:abstractNumId w:val="5"/>
  </w:num>
  <w:num w:numId="3" w16cid:durableId="1464346456">
    <w:abstractNumId w:val="7"/>
  </w:num>
  <w:num w:numId="4" w16cid:durableId="501357841">
    <w:abstractNumId w:val="0"/>
  </w:num>
  <w:num w:numId="5" w16cid:durableId="1336346065">
    <w:abstractNumId w:val="2"/>
  </w:num>
  <w:num w:numId="6" w16cid:durableId="1108895490">
    <w:abstractNumId w:val="6"/>
  </w:num>
  <w:num w:numId="7" w16cid:durableId="1889024228">
    <w:abstractNumId w:val="1"/>
  </w:num>
  <w:num w:numId="8" w16cid:durableId="21096152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F69"/>
    <w:rsid w:val="00001AA4"/>
    <w:rsid w:val="000B2F77"/>
    <w:rsid w:val="001904CA"/>
    <w:rsid w:val="00220D2B"/>
    <w:rsid w:val="00362CEC"/>
    <w:rsid w:val="00472F69"/>
    <w:rsid w:val="00CF55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AE057"/>
  <w15:chartTrackingRefBased/>
  <w15:docId w15:val="{5C402A93-3DA7-4988-A8A5-5BFB55721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F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2F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F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F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F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F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F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F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F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F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2F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F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F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F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F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F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F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F69"/>
    <w:rPr>
      <w:rFonts w:eastAsiaTheme="majorEastAsia" w:cstheme="majorBidi"/>
      <w:color w:val="272727" w:themeColor="text1" w:themeTint="D8"/>
    </w:rPr>
  </w:style>
  <w:style w:type="paragraph" w:styleId="Title">
    <w:name w:val="Title"/>
    <w:basedOn w:val="Normal"/>
    <w:next w:val="Normal"/>
    <w:link w:val="TitleChar"/>
    <w:uiPriority w:val="10"/>
    <w:qFormat/>
    <w:rsid w:val="00472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F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F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F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F69"/>
    <w:pPr>
      <w:spacing w:before="160"/>
      <w:jc w:val="center"/>
    </w:pPr>
    <w:rPr>
      <w:i/>
      <w:iCs/>
      <w:color w:val="404040" w:themeColor="text1" w:themeTint="BF"/>
    </w:rPr>
  </w:style>
  <w:style w:type="character" w:customStyle="1" w:styleId="QuoteChar">
    <w:name w:val="Quote Char"/>
    <w:basedOn w:val="DefaultParagraphFont"/>
    <w:link w:val="Quote"/>
    <w:uiPriority w:val="29"/>
    <w:rsid w:val="00472F69"/>
    <w:rPr>
      <w:i/>
      <w:iCs/>
      <w:color w:val="404040" w:themeColor="text1" w:themeTint="BF"/>
    </w:rPr>
  </w:style>
  <w:style w:type="paragraph" w:styleId="ListParagraph">
    <w:name w:val="List Paragraph"/>
    <w:basedOn w:val="Normal"/>
    <w:uiPriority w:val="34"/>
    <w:qFormat/>
    <w:rsid w:val="00472F69"/>
    <w:pPr>
      <w:ind w:left="720"/>
      <w:contextualSpacing/>
    </w:pPr>
  </w:style>
  <w:style w:type="character" w:styleId="IntenseEmphasis">
    <w:name w:val="Intense Emphasis"/>
    <w:basedOn w:val="DefaultParagraphFont"/>
    <w:uiPriority w:val="21"/>
    <w:qFormat/>
    <w:rsid w:val="00472F69"/>
    <w:rPr>
      <w:i/>
      <w:iCs/>
      <w:color w:val="0F4761" w:themeColor="accent1" w:themeShade="BF"/>
    </w:rPr>
  </w:style>
  <w:style w:type="paragraph" w:styleId="IntenseQuote">
    <w:name w:val="Intense Quote"/>
    <w:basedOn w:val="Normal"/>
    <w:next w:val="Normal"/>
    <w:link w:val="IntenseQuoteChar"/>
    <w:uiPriority w:val="30"/>
    <w:qFormat/>
    <w:rsid w:val="00472F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F69"/>
    <w:rPr>
      <w:i/>
      <w:iCs/>
      <w:color w:val="0F4761" w:themeColor="accent1" w:themeShade="BF"/>
    </w:rPr>
  </w:style>
  <w:style w:type="character" w:styleId="IntenseReference">
    <w:name w:val="Intense Reference"/>
    <w:basedOn w:val="DefaultParagraphFont"/>
    <w:uiPriority w:val="32"/>
    <w:qFormat/>
    <w:rsid w:val="00472F69"/>
    <w:rPr>
      <w:b/>
      <w:bCs/>
      <w:smallCaps/>
      <w:color w:val="0F4761" w:themeColor="accent1" w:themeShade="BF"/>
      <w:spacing w:val="5"/>
    </w:rPr>
  </w:style>
  <w:style w:type="character" w:styleId="Hyperlink">
    <w:name w:val="Hyperlink"/>
    <w:basedOn w:val="DefaultParagraphFont"/>
    <w:uiPriority w:val="99"/>
    <w:unhideWhenUsed/>
    <w:rsid w:val="00220D2B"/>
    <w:rPr>
      <w:color w:val="467886" w:themeColor="hyperlink"/>
      <w:u w:val="single"/>
    </w:rPr>
  </w:style>
  <w:style w:type="character" w:styleId="UnresolvedMention">
    <w:name w:val="Unresolved Mention"/>
    <w:basedOn w:val="DefaultParagraphFont"/>
    <w:uiPriority w:val="99"/>
    <w:semiHidden/>
    <w:unhideWhenUsed/>
    <w:rsid w:val="00220D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6584872">
      <w:bodyDiv w:val="1"/>
      <w:marLeft w:val="0"/>
      <w:marRight w:val="0"/>
      <w:marTop w:val="0"/>
      <w:marBottom w:val="0"/>
      <w:divBdr>
        <w:top w:val="none" w:sz="0" w:space="0" w:color="auto"/>
        <w:left w:val="none" w:sz="0" w:space="0" w:color="auto"/>
        <w:bottom w:val="none" w:sz="0" w:space="0" w:color="auto"/>
        <w:right w:val="none" w:sz="0" w:space="0" w:color="auto"/>
      </w:divBdr>
    </w:div>
    <w:div w:id="193349798">
      <w:bodyDiv w:val="1"/>
      <w:marLeft w:val="0"/>
      <w:marRight w:val="0"/>
      <w:marTop w:val="0"/>
      <w:marBottom w:val="0"/>
      <w:divBdr>
        <w:top w:val="none" w:sz="0" w:space="0" w:color="auto"/>
        <w:left w:val="none" w:sz="0" w:space="0" w:color="auto"/>
        <w:bottom w:val="none" w:sz="0" w:space="0" w:color="auto"/>
        <w:right w:val="none" w:sz="0" w:space="0" w:color="auto"/>
      </w:divBdr>
    </w:div>
    <w:div w:id="327712061">
      <w:bodyDiv w:val="1"/>
      <w:marLeft w:val="0"/>
      <w:marRight w:val="0"/>
      <w:marTop w:val="0"/>
      <w:marBottom w:val="0"/>
      <w:divBdr>
        <w:top w:val="none" w:sz="0" w:space="0" w:color="auto"/>
        <w:left w:val="none" w:sz="0" w:space="0" w:color="auto"/>
        <w:bottom w:val="none" w:sz="0" w:space="0" w:color="auto"/>
        <w:right w:val="none" w:sz="0" w:space="0" w:color="auto"/>
      </w:divBdr>
    </w:div>
    <w:div w:id="365637362">
      <w:bodyDiv w:val="1"/>
      <w:marLeft w:val="0"/>
      <w:marRight w:val="0"/>
      <w:marTop w:val="0"/>
      <w:marBottom w:val="0"/>
      <w:divBdr>
        <w:top w:val="none" w:sz="0" w:space="0" w:color="auto"/>
        <w:left w:val="none" w:sz="0" w:space="0" w:color="auto"/>
        <w:bottom w:val="none" w:sz="0" w:space="0" w:color="auto"/>
        <w:right w:val="none" w:sz="0" w:space="0" w:color="auto"/>
      </w:divBdr>
    </w:div>
    <w:div w:id="429669218">
      <w:bodyDiv w:val="1"/>
      <w:marLeft w:val="0"/>
      <w:marRight w:val="0"/>
      <w:marTop w:val="0"/>
      <w:marBottom w:val="0"/>
      <w:divBdr>
        <w:top w:val="none" w:sz="0" w:space="0" w:color="auto"/>
        <w:left w:val="none" w:sz="0" w:space="0" w:color="auto"/>
        <w:bottom w:val="none" w:sz="0" w:space="0" w:color="auto"/>
        <w:right w:val="none" w:sz="0" w:space="0" w:color="auto"/>
      </w:divBdr>
    </w:div>
    <w:div w:id="434248356">
      <w:bodyDiv w:val="1"/>
      <w:marLeft w:val="0"/>
      <w:marRight w:val="0"/>
      <w:marTop w:val="0"/>
      <w:marBottom w:val="0"/>
      <w:divBdr>
        <w:top w:val="none" w:sz="0" w:space="0" w:color="auto"/>
        <w:left w:val="none" w:sz="0" w:space="0" w:color="auto"/>
        <w:bottom w:val="none" w:sz="0" w:space="0" w:color="auto"/>
        <w:right w:val="none" w:sz="0" w:space="0" w:color="auto"/>
      </w:divBdr>
    </w:div>
    <w:div w:id="516966878">
      <w:bodyDiv w:val="1"/>
      <w:marLeft w:val="0"/>
      <w:marRight w:val="0"/>
      <w:marTop w:val="0"/>
      <w:marBottom w:val="0"/>
      <w:divBdr>
        <w:top w:val="none" w:sz="0" w:space="0" w:color="auto"/>
        <w:left w:val="none" w:sz="0" w:space="0" w:color="auto"/>
        <w:bottom w:val="none" w:sz="0" w:space="0" w:color="auto"/>
        <w:right w:val="none" w:sz="0" w:space="0" w:color="auto"/>
      </w:divBdr>
    </w:div>
    <w:div w:id="531116184">
      <w:bodyDiv w:val="1"/>
      <w:marLeft w:val="0"/>
      <w:marRight w:val="0"/>
      <w:marTop w:val="0"/>
      <w:marBottom w:val="0"/>
      <w:divBdr>
        <w:top w:val="none" w:sz="0" w:space="0" w:color="auto"/>
        <w:left w:val="none" w:sz="0" w:space="0" w:color="auto"/>
        <w:bottom w:val="none" w:sz="0" w:space="0" w:color="auto"/>
        <w:right w:val="none" w:sz="0" w:space="0" w:color="auto"/>
      </w:divBdr>
    </w:div>
    <w:div w:id="806976428">
      <w:bodyDiv w:val="1"/>
      <w:marLeft w:val="0"/>
      <w:marRight w:val="0"/>
      <w:marTop w:val="0"/>
      <w:marBottom w:val="0"/>
      <w:divBdr>
        <w:top w:val="none" w:sz="0" w:space="0" w:color="auto"/>
        <w:left w:val="none" w:sz="0" w:space="0" w:color="auto"/>
        <w:bottom w:val="none" w:sz="0" w:space="0" w:color="auto"/>
        <w:right w:val="none" w:sz="0" w:space="0" w:color="auto"/>
      </w:divBdr>
    </w:div>
    <w:div w:id="852844638">
      <w:bodyDiv w:val="1"/>
      <w:marLeft w:val="0"/>
      <w:marRight w:val="0"/>
      <w:marTop w:val="0"/>
      <w:marBottom w:val="0"/>
      <w:divBdr>
        <w:top w:val="none" w:sz="0" w:space="0" w:color="auto"/>
        <w:left w:val="none" w:sz="0" w:space="0" w:color="auto"/>
        <w:bottom w:val="none" w:sz="0" w:space="0" w:color="auto"/>
        <w:right w:val="none" w:sz="0" w:space="0" w:color="auto"/>
      </w:divBdr>
    </w:div>
    <w:div w:id="1050765030">
      <w:bodyDiv w:val="1"/>
      <w:marLeft w:val="0"/>
      <w:marRight w:val="0"/>
      <w:marTop w:val="0"/>
      <w:marBottom w:val="0"/>
      <w:divBdr>
        <w:top w:val="none" w:sz="0" w:space="0" w:color="auto"/>
        <w:left w:val="none" w:sz="0" w:space="0" w:color="auto"/>
        <w:bottom w:val="none" w:sz="0" w:space="0" w:color="auto"/>
        <w:right w:val="none" w:sz="0" w:space="0" w:color="auto"/>
      </w:divBdr>
    </w:div>
    <w:div w:id="1107579105">
      <w:bodyDiv w:val="1"/>
      <w:marLeft w:val="0"/>
      <w:marRight w:val="0"/>
      <w:marTop w:val="0"/>
      <w:marBottom w:val="0"/>
      <w:divBdr>
        <w:top w:val="none" w:sz="0" w:space="0" w:color="auto"/>
        <w:left w:val="none" w:sz="0" w:space="0" w:color="auto"/>
        <w:bottom w:val="none" w:sz="0" w:space="0" w:color="auto"/>
        <w:right w:val="none" w:sz="0" w:space="0" w:color="auto"/>
      </w:divBdr>
    </w:div>
    <w:div w:id="1582182888">
      <w:bodyDiv w:val="1"/>
      <w:marLeft w:val="0"/>
      <w:marRight w:val="0"/>
      <w:marTop w:val="0"/>
      <w:marBottom w:val="0"/>
      <w:divBdr>
        <w:top w:val="none" w:sz="0" w:space="0" w:color="auto"/>
        <w:left w:val="none" w:sz="0" w:space="0" w:color="auto"/>
        <w:bottom w:val="none" w:sz="0" w:space="0" w:color="auto"/>
        <w:right w:val="none" w:sz="0" w:space="0" w:color="auto"/>
      </w:divBdr>
    </w:div>
    <w:div w:id="1641768586">
      <w:bodyDiv w:val="1"/>
      <w:marLeft w:val="0"/>
      <w:marRight w:val="0"/>
      <w:marTop w:val="0"/>
      <w:marBottom w:val="0"/>
      <w:divBdr>
        <w:top w:val="none" w:sz="0" w:space="0" w:color="auto"/>
        <w:left w:val="none" w:sz="0" w:space="0" w:color="auto"/>
        <w:bottom w:val="none" w:sz="0" w:space="0" w:color="auto"/>
        <w:right w:val="none" w:sz="0" w:space="0" w:color="auto"/>
      </w:divBdr>
    </w:div>
    <w:div w:id="1701664436">
      <w:bodyDiv w:val="1"/>
      <w:marLeft w:val="0"/>
      <w:marRight w:val="0"/>
      <w:marTop w:val="0"/>
      <w:marBottom w:val="0"/>
      <w:divBdr>
        <w:top w:val="none" w:sz="0" w:space="0" w:color="auto"/>
        <w:left w:val="none" w:sz="0" w:space="0" w:color="auto"/>
        <w:bottom w:val="none" w:sz="0" w:space="0" w:color="auto"/>
        <w:right w:val="none" w:sz="0" w:space="0" w:color="auto"/>
      </w:divBdr>
    </w:div>
    <w:div w:id="1882742602">
      <w:bodyDiv w:val="1"/>
      <w:marLeft w:val="0"/>
      <w:marRight w:val="0"/>
      <w:marTop w:val="0"/>
      <w:marBottom w:val="0"/>
      <w:divBdr>
        <w:top w:val="none" w:sz="0" w:space="0" w:color="auto"/>
        <w:left w:val="none" w:sz="0" w:space="0" w:color="auto"/>
        <w:bottom w:val="none" w:sz="0" w:space="0" w:color="auto"/>
        <w:right w:val="none" w:sz="0" w:space="0" w:color="auto"/>
      </w:divBdr>
    </w:div>
    <w:div w:id="2088305837">
      <w:bodyDiv w:val="1"/>
      <w:marLeft w:val="0"/>
      <w:marRight w:val="0"/>
      <w:marTop w:val="0"/>
      <w:marBottom w:val="0"/>
      <w:divBdr>
        <w:top w:val="none" w:sz="0" w:space="0" w:color="auto"/>
        <w:left w:val="none" w:sz="0" w:space="0" w:color="auto"/>
        <w:bottom w:val="none" w:sz="0" w:space="0" w:color="auto"/>
        <w:right w:val="none" w:sz="0" w:space="0" w:color="auto"/>
      </w:divBdr>
    </w:div>
    <w:div w:id="2099213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en.wikipedia.org/wiki/Japanese_asset_price_bubbl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en.wikipedia.org/wiki/Nikkei_225"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nytimes.com/2024/02/22/business/japan-stocks-record.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liveindex.org/nikkei/" TargetMode="External"/><Relationship Id="rId5" Type="http://schemas.openxmlformats.org/officeDocument/2006/relationships/image" Target="media/image1.png"/><Relationship Id="rId15" Type="http://schemas.openxmlformats.org/officeDocument/2006/relationships/hyperlink" Target="https://www.afrugaldoctor.com/home/japans-lost-decades-30-years-of-negative-returns-from-the-nikkei-225"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economictimes.indiatimes.com/markets/stocks/news/japans-nikkei-225-stock-index-sinks-10-in-worst-losses-since-1987/articleshow/112278944.c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8</Pages>
  <Words>835</Words>
  <Characters>4761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Sharma</dc:creator>
  <cp:keywords/>
  <dc:description/>
  <cp:lastModifiedBy>Abhishek Sharma</cp:lastModifiedBy>
  <cp:revision>1</cp:revision>
  <cp:lastPrinted>2024-10-10T18:01:00Z</cp:lastPrinted>
  <dcterms:created xsi:type="dcterms:W3CDTF">2024-10-10T17:15:00Z</dcterms:created>
  <dcterms:modified xsi:type="dcterms:W3CDTF">2024-10-10T18:02:00Z</dcterms:modified>
</cp:coreProperties>
</file>