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BBEE" w14:textId="77777777" w:rsidR="0015317C" w:rsidRPr="0015317C" w:rsidRDefault="0015317C" w:rsidP="0015317C">
      <w:pPr>
        <w:jc w:val="both"/>
      </w:pPr>
      <w:r w:rsidRPr="0015317C">
        <w:t>The research conducted across the S&amp;P 500, Nikkei 225, and NIFTY 500 markets provides a comprehensive comparative analysis of traditional and advanced portfolio optimization techniques. By integrating Modern Portfolio Theory (MPT) with the Black-Litterman model, the study evaluates the efficacy of a hybrid approach in balancing historical risk-return profiles with forward-looking market equilibrium.</w:t>
      </w:r>
    </w:p>
    <w:p w14:paraId="717C6A75" w14:textId="77777777" w:rsidR="0015317C" w:rsidRPr="0015317C" w:rsidRDefault="0015317C" w:rsidP="0015317C">
      <w:pPr>
        <w:jc w:val="both"/>
        <w:rPr>
          <w:b/>
          <w:bCs/>
        </w:rPr>
      </w:pPr>
      <w:r w:rsidRPr="0015317C">
        <w:rPr>
          <w:b/>
          <w:bCs/>
        </w:rPr>
        <w:t>1. Core Methodological Framework</w:t>
      </w:r>
    </w:p>
    <w:p w14:paraId="4D0CF1E8" w14:textId="77777777" w:rsidR="0015317C" w:rsidRPr="0015317C" w:rsidRDefault="0015317C" w:rsidP="0015317C">
      <w:pPr>
        <w:jc w:val="both"/>
      </w:pPr>
      <w:r w:rsidRPr="0015317C">
        <w:t>The research methodology is consistent across all three markets, utilizing a fixed set of 10 stocks for each portfolio to maintain comparability. The mathematical engines behind these portfolios are:</w:t>
      </w:r>
    </w:p>
    <w:p w14:paraId="04A91E3D" w14:textId="77777777" w:rsidR="0015317C" w:rsidRPr="0015317C" w:rsidRDefault="0015317C" w:rsidP="0015317C">
      <w:pPr>
        <w:numPr>
          <w:ilvl w:val="0"/>
          <w:numId w:val="1"/>
        </w:numPr>
        <w:jc w:val="both"/>
      </w:pPr>
      <w:r w:rsidRPr="0015317C">
        <w:rPr>
          <w:b/>
          <w:bCs/>
        </w:rPr>
        <w:t>Modern Portfolio Theory (MPT):</w:t>
      </w:r>
      <w:r w:rsidRPr="0015317C">
        <w:t xml:space="preserve"> This model operates on the Mean-Variance Optimization (MVO) principle. It seeks to maximize the Sharpe Ratio by finding the optimal weights ($w$) that maximize $(E[R_p] - R_f) / \sigma_p$, where $E[R_p]$ is the expected portfolio return and $\sigma_p$ is the portfolio volatility. It relies exclusively on historical price data from 2014-2025.</w:t>
      </w:r>
    </w:p>
    <w:p w14:paraId="66F9AC2D" w14:textId="77777777" w:rsidR="0015317C" w:rsidRPr="0015317C" w:rsidRDefault="0015317C" w:rsidP="0015317C">
      <w:pPr>
        <w:numPr>
          <w:ilvl w:val="0"/>
          <w:numId w:val="1"/>
        </w:numPr>
        <w:jc w:val="both"/>
      </w:pPr>
      <w:r w:rsidRPr="0015317C">
        <w:rPr>
          <w:b/>
          <w:bCs/>
        </w:rPr>
        <w:t>Black-Litterman Model:</w:t>
      </w:r>
      <w:r w:rsidRPr="0015317C">
        <w:t xml:space="preserve"> This model addresses the sensitivity of MVO to input estimates by starting with market equilibrium returns derived from a "market neutral" starting point. It uses a Bayesian approach to combine market views with the historical distribution: $E[R] = [(\tau \Sigma)^{-1} + P^T \Omega^{-1} P]^{-1} [(\tau \Sigma)^{-1} \Pi + P^T \Omega^{-1} Q]$.</w:t>
      </w:r>
    </w:p>
    <w:p w14:paraId="134F2606" w14:textId="77777777" w:rsidR="0015317C" w:rsidRPr="0015317C" w:rsidRDefault="0015317C" w:rsidP="0015317C">
      <w:pPr>
        <w:numPr>
          <w:ilvl w:val="0"/>
          <w:numId w:val="1"/>
        </w:numPr>
        <w:jc w:val="both"/>
      </w:pPr>
      <w:r w:rsidRPr="0015317C">
        <w:rPr>
          <w:b/>
          <w:bCs/>
        </w:rPr>
        <w:t>Hybrid Model:</w:t>
      </w:r>
      <w:r w:rsidRPr="0015317C">
        <w:t xml:space="preserve"> This approach combines the robustness of Black-Litterman with the risk-adjusted focus of MPT to create a portfolio that is theoretically less sensitive to outliers in historical data while still capturing recent market trends.</w:t>
      </w:r>
    </w:p>
    <w:p w14:paraId="5E726854" w14:textId="77777777" w:rsidR="0015317C" w:rsidRPr="0015317C" w:rsidRDefault="0015317C" w:rsidP="0015317C">
      <w:pPr>
        <w:jc w:val="both"/>
      </w:pPr>
      <w:r w:rsidRPr="0015317C">
        <w:pict w14:anchorId="1C2097B5">
          <v:rect id="_x0000_i1025" style="width:0;height:1.5pt" o:hralign="center" o:hrstd="t" o:hr="t" fillcolor="#a0a0a0" stroked="f"/>
        </w:pict>
      </w:r>
    </w:p>
    <w:p w14:paraId="6619488A" w14:textId="77777777" w:rsidR="0015317C" w:rsidRPr="0015317C" w:rsidRDefault="0015317C" w:rsidP="0015317C">
      <w:pPr>
        <w:jc w:val="both"/>
        <w:rPr>
          <w:b/>
          <w:bCs/>
        </w:rPr>
      </w:pPr>
      <w:r w:rsidRPr="0015317C">
        <w:rPr>
          <w:b/>
          <w:bCs/>
        </w:rPr>
        <w:t>2. Market-Specific Analysis</w:t>
      </w:r>
    </w:p>
    <w:p w14:paraId="7300B0CB" w14:textId="77777777" w:rsidR="0015317C" w:rsidRPr="0015317C" w:rsidRDefault="0015317C" w:rsidP="0015317C">
      <w:pPr>
        <w:jc w:val="both"/>
        <w:rPr>
          <w:b/>
          <w:bCs/>
        </w:rPr>
      </w:pPr>
      <w:r w:rsidRPr="0015317C">
        <w:rPr>
          <w:b/>
          <w:bCs/>
        </w:rPr>
        <w:t>A. NIFTY 500 (Indian Market)</w:t>
      </w:r>
    </w:p>
    <w:p w14:paraId="7C8B53B4" w14:textId="77777777" w:rsidR="0015317C" w:rsidRPr="0015317C" w:rsidRDefault="0015317C" w:rsidP="0015317C">
      <w:pPr>
        <w:jc w:val="both"/>
      </w:pPr>
      <w:r w:rsidRPr="0015317C">
        <w:t>In the NIFTY 500 analysis, the Hybrid and Black-Litterman models demonstrated superior stability compared to pure MPT.</w:t>
      </w:r>
    </w:p>
    <w:p w14:paraId="08171941" w14:textId="77777777" w:rsidR="0015317C" w:rsidRPr="0015317C" w:rsidRDefault="0015317C" w:rsidP="0015317C">
      <w:pPr>
        <w:numPr>
          <w:ilvl w:val="0"/>
          <w:numId w:val="2"/>
        </w:numPr>
        <w:jc w:val="both"/>
      </w:pPr>
      <w:r w:rsidRPr="0015317C">
        <w:rPr>
          <w:b/>
          <w:bCs/>
        </w:rPr>
        <w:t>Risk Analysis:</w:t>
      </w:r>
      <w:r w:rsidRPr="0015317C">
        <w:t xml:space="preserve"> During high-volatility periods like the 2020 crisis, the Hybrid model achieved the lowest Beta (0.793) compared to the NIFTY 500 index (1.000) and MPT (1.045).</w:t>
      </w:r>
    </w:p>
    <w:p w14:paraId="793085A3" w14:textId="77777777" w:rsidR="0015317C" w:rsidRPr="0015317C" w:rsidRDefault="0015317C" w:rsidP="0015317C">
      <w:pPr>
        <w:numPr>
          <w:ilvl w:val="0"/>
          <w:numId w:val="2"/>
        </w:numPr>
        <w:jc w:val="both"/>
      </w:pPr>
      <w:r w:rsidRPr="0015317C">
        <w:rPr>
          <w:b/>
          <w:bCs/>
        </w:rPr>
        <w:t>Drawdown Management:</w:t>
      </w:r>
      <w:r w:rsidRPr="0015317C">
        <w:t xml:space="preserve"> The Hybrid model limited the maximum drawdown to -39.32%, significantly outperforming the index’s -54.27% and MPT’s -54.34%.</w:t>
      </w:r>
    </w:p>
    <w:p w14:paraId="5583B2CD" w14:textId="77777777" w:rsidR="0015317C" w:rsidRPr="0015317C" w:rsidRDefault="0015317C" w:rsidP="0015317C">
      <w:pPr>
        <w:numPr>
          <w:ilvl w:val="0"/>
          <w:numId w:val="2"/>
        </w:numPr>
        <w:jc w:val="both"/>
      </w:pPr>
      <w:r w:rsidRPr="0015317C">
        <w:rPr>
          <w:b/>
          <w:bCs/>
        </w:rPr>
        <w:t>Efficiency:</w:t>
      </w:r>
      <w:r w:rsidRPr="0015317C">
        <w:t xml:space="preserve"> The Hybrid model recorded a Sortino Ratio of 2.507, the highest among all tested strategies, indicating better protection against downside risk while capturing gains.</w:t>
      </w:r>
    </w:p>
    <w:p w14:paraId="386F5497" w14:textId="77777777" w:rsidR="0015317C" w:rsidRPr="0015317C" w:rsidRDefault="0015317C" w:rsidP="0015317C">
      <w:pPr>
        <w:jc w:val="both"/>
        <w:rPr>
          <w:b/>
          <w:bCs/>
        </w:rPr>
      </w:pPr>
      <w:r w:rsidRPr="0015317C">
        <w:rPr>
          <w:b/>
          <w:bCs/>
        </w:rPr>
        <w:t>B. Nikkei 225 (Japanese Market)</w:t>
      </w:r>
    </w:p>
    <w:p w14:paraId="220CF0D6" w14:textId="77777777" w:rsidR="0015317C" w:rsidRPr="0015317C" w:rsidRDefault="0015317C" w:rsidP="0015317C">
      <w:pPr>
        <w:jc w:val="both"/>
      </w:pPr>
      <w:r w:rsidRPr="0015317C">
        <w:t>The Nikkei 225 results highlighted the recovery efficiency of the optimized models.</w:t>
      </w:r>
    </w:p>
    <w:p w14:paraId="657FFC42" w14:textId="77777777" w:rsidR="0015317C" w:rsidRPr="0015317C" w:rsidRDefault="0015317C" w:rsidP="0015317C">
      <w:pPr>
        <w:numPr>
          <w:ilvl w:val="0"/>
          <w:numId w:val="3"/>
        </w:numPr>
        <w:jc w:val="both"/>
      </w:pPr>
      <w:r w:rsidRPr="0015317C">
        <w:rPr>
          <w:b/>
          <w:bCs/>
        </w:rPr>
        <w:lastRenderedPageBreak/>
        <w:t>Crisis Performance:</w:t>
      </w:r>
      <w:r w:rsidRPr="0015317C">
        <w:t xml:space="preserve"> During the 2020 market trough (approx. 2020-03-16 to 19), the Hybrid portfolio outperformed the index in recovery, requiring significantly fewer "Recovery Days" (81 days) compared to the index (999 days).</w:t>
      </w:r>
    </w:p>
    <w:p w14:paraId="79FD6ADB" w14:textId="77777777" w:rsidR="0015317C" w:rsidRPr="0015317C" w:rsidRDefault="0015317C" w:rsidP="0015317C">
      <w:pPr>
        <w:numPr>
          <w:ilvl w:val="0"/>
          <w:numId w:val="3"/>
        </w:numPr>
        <w:jc w:val="both"/>
      </w:pPr>
      <w:r w:rsidRPr="0015317C">
        <w:rPr>
          <w:b/>
          <w:bCs/>
        </w:rPr>
        <w:t>Return Metrics:</w:t>
      </w:r>
      <w:r w:rsidRPr="0015317C">
        <w:t xml:space="preserve"> The Hybrid model achieved a recovery return of 50.57%, the highest among all portfolios for this market.</w:t>
      </w:r>
    </w:p>
    <w:p w14:paraId="09F94F92" w14:textId="77777777" w:rsidR="0015317C" w:rsidRPr="0015317C" w:rsidRDefault="0015317C" w:rsidP="0015317C">
      <w:pPr>
        <w:numPr>
          <w:ilvl w:val="0"/>
          <w:numId w:val="3"/>
        </w:numPr>
        <w:jc w:val="both"/>
      </w:pPr>
      <w:r w:rsidRPr="0015317C">
        <w:rPr>
          <w:b/>
          <w:bCs/>
        </w:rPr>
        <w:t>Safety:</w:t>
      </w:r>
      <w:r w:rsidRPr="0015317C">
        <w:t xml:space="preserve"> The Black-Litterman model was noted as the "safest" for this market due to having the lowest Conditional Value at Risk (CVaR) at -3.664% per day.</w:t>
      </w:r>
    </w:p>
    <w:p w14:paraId="3C6E38D4" w14:textId="77777777" w:rsidR="0015317C" w:rsidRPr="0015317C" w:rsidRDefault="0015317C" w:rsidP="0015317C">
      <w:pPr>
        <w:jc w:val="both"/>
        <w:rPr>
          <w:b/>
          <w:bCs/>
        </w:rPr>
      </w:pPr>
      <w:r w:rsidRPr="0015317C">
        <w:rPr>
          <w:b/>
          <w:bCs/>
        </w:rPr>
        <w:t>C. S&amp;P 500 (U.S. Market)</w:t>
      </w:r>
    </w:p>
    <w:p w14:paraId="6B86FDF8" w14:textId="77777777" w:rsidR="0015317C" w:rsidRPr="0015317C" w:rsidRDefault="0015317C" w:rsidP="0015317C">
      <w:pPr>
        <w:jc w:val="both"/>
      </w:pPr>
      <w:r w:rsidRPr="0015317C">
        <w:t>The U.S. market analysis confirmed that the Hybrid approach mitigates the inherent "over-fitting" tendency of MPT.</w:t>
      </w:r>
    </w:p>
    <w:p w14:paraId="34CA14F2" w14:textId="77777777" w:rsidR="0015317C" w:rsidRPr="0015317C" w:rsidRDefault="0015317C" w:rsidP="0015317C">
      <w:pPr>
        <w:numPr>
          <w:ilvl w:val="0"/>
          <w:numId w:val="4"/>
        </w:numPr>
        <w:jc w:val="both"/>
      </w:pPr>
      <w:r w:rsidRPr="0015317C">
        <w:rPr>
          <w:b/>
          <w:bCs/>
        </w:rPr>
        <w:t>Comparative Advantage:</w:t>
      </w:r>
      <w:r w:rsidRPr="0015317C">
        <w:t xml:space="preserve"> While MPT often selects weights that are highly concentrated in the single best-performing historical asset, the Hybrid and Black-Litterman models produce more diversified weight distributions based on market equilibrium.</w:t>
      </w:r>
    </w:p>
    <w:p w14:paraId="47925983" w14:textId="77777777" w:rsidR="0015317C" w:rsidRPr="0015317C" w:rsidRDefault="0015317C" w:rsidP="0015317C">
      <w:pPr>
        <w:numPr>
          <w:ilvl w:val="0"/>
          <w:numId w:val="4"/>
        </w:numPr>
        <w:jc w:val="both"/>
      </w:pPr>
      <w:r w:rsidRPr="0015317C">
        <w:rPr>
          <w:b/>
          <w:bCs/>
        </w:rPr>
        <w:t>Optimization Goals:</w:t>
      </w:r>
      <w:r w:rsidRPr="0015317C">
        <w:t xml:space="preserve"> The S&amp;P 500 models specifically targeted the maximization of the Sortino Ratio and Sharpe Ratio to ensure that returns were not achieved through excessive exposure to volatility.</w:t>
      </w:r>
    </w:p>
    <w:p w14:paraId="5480C903" w14:textId="77777777" w:rsidR="0015317C" w:rsidRPr="0015317C" w:rsidRDefault="0015317C" w:rsidP="0015317C">
      <w:pPr>
        <w:jc w:val="both"/>
      </w:pPr>
      <w:r w:rsidRPr="0015317C">
        <w:pict w14:anchorId="2968C29D">
          <v:rect id="_x0000_i1026" style="width:0;height:1.5pt" o:hralign="center" o:hrstd="t" o:hr="t" fillcolor="#a0a0a0" stroked="f"/>
        </w:pict>
      </w:r>
    </w:p>
    <w:p w14:paraId="6BAC4A6F" w14:textId="77777777" w:rsidR="0015317C" w:rsidRPr="0015317C" w:rsidRDefault="0015317C" w:rsidP="0015317C">
      <w:pPr>
        <w:jc w:val="both"/>
        <w:rPr>
          <w:b/>
          <w:bCs/>
        </w:rPr>
      </w:pPr>
      <w:r w:rsidRPr="0015317C">
        <w:rPr>
          <w:b/>
          <w:bCs/>
        </w:rPr>
        <w:t>3. Research Conclusion</w:t>
      </w:r>
    </w:p>
    <w:p w14:paraId="4BB07611" w14:textId="77777777" w:rsidR="0015317C" w:rsidRPr="0015317C" w:rsidRDefault="0015317C" w:rsidP="0015317C">
      <w:pPr>
        <w:jc w:val="both"/>
      </w:pPr>
      <w:r w:rsidRPr="0015317C">
        <w:t xml:space="preserve">The empirical evidence across all three indices suggests that the </w:t>
      </w:r>
      <w:r w:rsidRPr="0015317C">
        <w:rPr>
          <w:b/>
          <w:bCs/>
        </w:rPr>
        <w:t>Hybrid Portfolio</w:t>
      </w:r>
      <w:r w:rsidRPr="0015317C">
        <w:t xml:space="preserve"> generally offers the best risk-adjusted performance. By combining the historical variance focus of MPT with the equilibrium-based stability of the Black-Litterman model, the Hybrid strategy consistently reduced Maximum Drawdown and improved the Sortino Ratio across diverse global market conditions. This research demonstrates that a combined quantitative approach is more resilient to market crises than relying on a single optimization theory.</w:t>
      </w:r>
    </w:p>
    <w:p w14:paraId="619AA95A" w14:textId="6F120AD2" w:rsidR="00362CEC" w:rsidRDefault="0015317C" w:rsidP="0015317C">
      <w:pPr>
        <w:jc w:val="both"/>
      </w:pPr>
      <w:r>
        <w:br/>
      </w:r>
      <w:r>
        <w:br/>
      </w:r>
    </w:p>
    <w:sectPr w:rsidR="00362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0006"/>
    <w:multiLevelType w:val="multilevel"/>
    <w:tmpl w:val="4AE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69C3"/>
    <w:multiLevelType w:val="multilevel"/>
    <w:tmpl w:val="736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935A6"/>
    <w:multiLevelType w:val="multilevel"/>
    <w:tmpl w:val="C9B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15D8D"/>
    <w:multiLevelType w:val="multilevel"/>
    <w:tmpl w:val="530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42302">
    <w:abstractNumId w:val="0"/>
  </w:num>
  <w:num w:numId="2" w16cid:durableId="1624262564">
    <w:abstractNumId w:val="3"/>
  </w:num>
  <w:num w:numId="3" w16cid:durableId="799348252">
    <w:abstractNumId w:val="1"/>
  </w:num>
  <w:num w:numId="4" w16cid:durableId="984553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7C"/>
    <w:rsid w:val="00001AA4"/>
    <w:rsid w:val="0015317C"/>
    <w:rsid w:val="00362CEC"/>
    <w:rsid w:val="004C586D"/>
    <w:rsid w:val="006E13C3"/>
    <w:rsid w:val="00CF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902B"/>
  <w15:chartTrackingRefBased/>
  <w15:docId w15:val="{DD718573-4A7A-40FD-8D59-2037A3E9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2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2026-03-24T14:17:00Z</dcterms:created>
  <dcterms:modified xsi:type="dcterms:W3CDTF">2026-04-03T20:53:00Z</dcterms:modified>
</cp:coreProperties>
</file>