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24BA" w14:textId="1C25D758" w:rsidR="00362CEC" w:rsidRDefault="00250CBA" w:rsidP="00250CBA">
      <w:pPr>
        <w:jc w:val="center"/>
        <w:rPr>
          <w:rFonts w:asciiTheme="majorHAnsi" w:hAnsiTheme="majorHAnsi"/>
          <w:b/>
          <w:bCs/>
          <w:sz w:val="28"/>
          <w:szCs w:val="28"/>
          <w:u w:val="thick"/>
        </w:rPr>
      </w:pPr>
      <w:r w:rsidRPr="00250CBA">
        <w:rPr>
          <w:rFonts w:asciiTheme="majorHAnsi" w:hAnsiTheme="majorHAnsi"/>
          <w:b/>
          <w:bCs/>
          <w:sz w:val="28"/>
          <w:szCs w:val="28"/>
          <w:u w:val="thick"/>
        </w:rPr>
        <w:t>AIDevOps Literature Review Document</w:t>
      </w:r>
    </w:p>
    <w:p w14:paraId="5DD38E82" w14:textId="2098D7C8" w:rsidR="00250CBA" w:rsidRDefault="00250CBA" w:rsidP="00250CBA">
      <w:pPr>
        <w:jc w:val="center"/>
        <w:rPr>
          <w:rFonts w:asciiTheme="majorHAnsi" w:hAnsiTheme="majorHAnsi"/>
          <w:b/>
          <w:bCs/>
          <w:sz w:val="28"/>
          <w:szCs w:val="28"/>
          <w:u w:val="thick"/>
        </w:rPr>
      </w:pPr>
      <w:r w:rsidRPr="00250CBA">
        <w:rPr>
          <w:rFonts w:asciiTheme="majorHAnsi" w:hAnsiTheme="majorHAnsi"/>
          <w:b/>
          <w:bCs/>
          <w:sz w:val="28"/>
          <w:szCs w:val="28"/>
          <w:u w:val="thick"/>
        </w:rPr>
        <w:t>Literature Review and Justification for the Drift-Aware LLM Deployment Pipeline</w:t>
      </w:r>
    </w:p>
    <w:p w14:paraId="22239A31" w14:textId="36DD97CD" w:rsidR="00250CBA" w:rsidRDefault="00250CBA" w:rsidP="00250CBA">
      <w:pPr>
        <w:jc w:val="both"/>
        <w:rPr>
          <w:b/>
          <w:bCs/>
        </w:rPr>
      </w:pPr>
      <w:r w:rsidRPr="00250CBA">
        <w:rPr>
          <w:b/>
          <w:bCs/>
        </w:rPr>
        <w:t>Bibliography — 10 key references</w:t>
      </w:r>
      <w:r>
        <w:rPr>
          <w:b/>
          <w:bCs/>
        </w:rPr>
        <w:t>:</w:t>
      </w:r>
    </w:p>
    <w:p w14:paraId="4454E729" w14:textId="6397DF4B" w:rsidR="00250CBA" w:rsidRDefault="00250CBA" w:rsidP="00250CBA">
      <w:pPr>
        <w:pStyle w:val="ListParagraph"/>
        <w:numPr>
          <w:ilvl w:val="0"/>
          <w:numId w:val="1"/>
        </w:numPr>
        <w:jc w:val="both"/>
      </w:pPr>
      <w:r w:rsidRPr="00250CBA">
        <w:rPr>
          <w:b/>
          <w:bCs/>
        </w:rPr>
        <w:t>DriftWatch</w:t>
      </w:r>
      <w:r w:rsidRPr="00250CBA">
        <w:t>: A Tool that Automatically Detects Data Drift and Extracts Representative Examples Affected by Drift — Jang et al., NAACL Industry 2024.</w:t>
      </w:r>
    </w:p>
    <w:p w14:paraId="52C6C1FA" w14:textId="62164C74" w:rsidR="00250CBA" w:rsidRDefault="00250CBA" w:rsidP="00EB1D84">
      <w:pPr>
        <w:pStyle w:val="ListParagraph"/>
        <w:jc w:val="both"/>
      </w:pPr>
      <w:r w:rsidRPr="00250CBA">
        <w:t xml:space="preserve">PDF / NAACL page: </w:t>
      </w:r>
      <w:hyperlink r:id="rId5" w:tgtFrame="_new" w:history="1">
        <w:r w:rsidRPr="00250CBA">
          <w:rPr>
            <w:rStyle w:val="Hyperlink"/>
          </w:rPr>
          <w:t>https://aclanthology.org/2024.naacl-industry.28/</w:t>
        </w:r>
      </w:hyperlink>
    </w:p>
    <w:p w14:paraId="1FA0D534" w14:textId="4C8EF49E" w:rsidR="00250CBA" w:rsidRDefault="00250CBA" w:rsidP="00250CBA">
      <w:pPr>
        <w:pStyle w:val="ListParagraph"/>
        <w:numPr>
          <w:ilvl w:val="0"/>
          <w:numId w:val="1"/>
        </w:numPr>
        <w:jc w:val="both"/>
      </w:pPr>
      <w:r w:rsidRPr="00250CBA">
        <w:rPr>
          <w:b/>
          <w:bCs/>
        </w:rPr>
        <w:t>A Survey on Concept Drift Adaptation</w:t>
      </w:r>
      <w:r w:rsidRPr="00250CBA">
        <w:t xml:space="preserve"> — João Gama et al., ACM Computing Surveys, 2014. (Foundational survey on types of drift and adaptation strategies.)</w:t>
      </w:r>
    </w:p>
    <w:p w14:paraId="33BEA176" w14:textId="6F3A0C45" w:rsidR="0035601F" w:rsidRDefault="009C7F27" w:rsidP="0035601F">
      <w:pPr>
        <w:pStyle w:val="ListParagraph"/>
        <w:jc w:val="both"/>
      </w:pPr>
      <w:hyperlink r:id="rId6" w:history="1">
        <w:r w:rsidRPr="00642183">
          <w:rPr>
            <w:rStyle w:val="Hyperlink"/>
          </w:rPr>
          <w:t>https://netman.aiops.org/~peidan/ANM2018/6.AnomalyLocalization/ReadingLists/Gama-2014-A%20survey%20on%20concept%20drift%20adaptation.pdf.pdf</w:t>
        </w:r>
      </w:hyperlink>
    </w:p>
    <w:p w14:paraId="01794717" w14:textId="783C1355" w:rsidR="00250CBA" w:rsidRDefault="00250CBA" w:rsidP="00250CBA">
      <w:pPr>
        <w:pStyle w:val="ListParagraph"/>
        <w:numPr>
          <w:ilvl w:val="0"/>
          <w:numId w:val="1"/>
        </w:numPr>
        <w:jc w:val="both"/>
      </w:pPr>
      <w:r w:rsidRPr="00250CBA">
        <w:rPr>
          <w:b/>
          <w:bCs/>
        </w:rPr>
        <w:t>One or two things we know about concept drift — a survey</w:t>
      </w:r>
      <w:r w:rsidRPr="00250CBA">
        <w:t xml:space="preserve"> — F. Hinder et al., Frontiers in AI, 2024. (Recent survey summarizing modern perspectives on drift.)</w:t>
      </w:r>
    </w:p>
    <w:p w14:paraId="2D29BC78" w14:textId="20AA1D0E" w:rsidR="00250CBA" w:rsidRDefault="00250CBA" w:rsidP="00EB1D84">
      <w:pPr>
        <w:pStyle w:val="ListParagraph"/>
        <w:jc w:val="both"/>
      </w:pPr>
      <w:hyperlink r:id="rId7" w:history="1">
        <w:r w:rsidRPr="00642183">
          <w:rPr>
            <w:rStyle w:val="Hyperlink"/>
          </w:rPr>
          <w:t>https://www.frontiersin.org/journals/artificialintelligence/articles/10.3389/frai.2024.1330257</w:t>
        </w:r>
      </w:hyperlink>
    </w:p>
    <w:p w14:paraId="75AC2EDE" w14:textId="579D1337" w:rsidR="00250CBA" w:rsidRDefault="00250CBA" w:rsidP="00250CBA">
      <w:pPr>
        <w:pStyle w:val="ListParagraph"/>
        <w:numPr>
          <w:ilvl w:val="0"/>
          <w:numId w:val="1"/>
        </w:numPr>
        <w:jc w:val="both"/>
      </w:pPr>
      <w:r w:rsidRPr="00250CBA">
        <w:rPr>
          <w:b/>
          <w:bCs/>
        </w:rPr>
        <w:t>LoRA+: Efficient Low Rank Adaptation of Large Models</w:t>
      </w:r>
      <w:r>
        <w:rPr>
          <w:b/>
          <w:bCs/>
        </w:rPr>
        <w:t xml:space="preserve"> </w:t>
      </w:r>
      <w:r w:rsidRPr="00250CBA">
        <w:t>— Hayou et al., arXiv 2024 (Improves LoRA with practical optimization)</w:t>
      </w:r>
      <w:r>
        <w:t>.</w:t>
      </w:r>
    </w:p>
    <w:p w14:paraId="703CCF48" w14:textId="39296320" w:rsidR="00250CBA" w:rsidRDefault="00250CBA" w:rsidP="00EB1D84">
      <w:pPr>
        <w:pStyle w:val="ListParagraph"/>
        <w:jc w:val="both"/>
      </w:pPr>
      <w:hyperlink r:id="rId8" w:history="1">
        <w:r w:rsidRPr="00642183">
          <w:rPr>
            <w:rStyle w:val="Hyperlink"/>
          </w:rPr>
          <w:t>https://arxiv.org/abs/2402.12354</w:t>
        </w:r>
      </w:hyperlink>
    </w:p>
    <w:p w14:paraId="2D769018" w14:textId="7BEA799C" w:rsidR="00250CBA" w:rsidRDefault="00250CBA" w:rsidP="00250CBA">
      <w:pPr>
        <w:pStyle w:val="ListParagraph"/>
        <w:numPr>
          <w:ilvl w:val="0"/>
          <w:numId w:val="1"/>
        </w:numPr>
        <w:jc w:val="both"/>
      </w:pPr>
      <w:r w:rsidRPr="00250CBA">
        <w:rPr>
          <w:b/>
          <w:bCs/>
        </w:rPr>
        <w:t>Parameter-Efficient Fine-Tuning for Large Models — Survey</w:t>
      </w:r>
      <w:r w:rsidRPr="00250CBA">
        <w:t xml:space="preserve"> — Z. Han et al., arXiv (2024). (Comprehensive review of PEFT techniques.)</w:t>
      </w:r>
    </w:p>
    <w:p w14:paraId="269784E0" w14:textId="03CC8F95" w:rsidR="00250CBA" w:rsidRDefault="00250CBA" w:rsidP="00EB1D84">
      <w:pPr>
        <w:pStyle w:val="ListParagraph"/>
        <w:jc w:val="both"/>
      </w:pPr>
      <w:hyperlink r:id="rId9" w:history="1">
        <w:r w:rsidRPr="00642183">
          <w:rPr>
            <w:rStyle w:val="Hyperlink"/>
          </w:rPr>
          <w:t>https://arxiv.org/pdf/2403.14608</w:t>
        </w:r>
      </w:hyperlink>
    </w:p>
    <w:p w14:paraId="3DBC0554" w14:textId="6F7F426F" w:rsidR="00250CBA" w:rsidRDefault="00EB1D84" w:rsidP="00250CBA">
      <w:pPr>
        <w:pStyle w:val="ListParagraph"/>
        <w:numPr>
          <w:ilvl w:val="0"/>
          <w:numId w:val="1"/>
        </w:numPr>
        <w:jc w:val="both"/>
      </w:pPr>
      <w:r w:rsidRPr="00EB1D84">
        <w:rPr>
          <w:b/>
          <w:bCs/>
        </w:rPr>
        <w:t>Alibi-Detect (Seldon) — library &amp; documentation</w:t>
      </w:r>
      <w:r w:rsidRPr="00EB1D84">
        <w:t xml:space="preserve"> — practical toolkit for drift, outlier and adversarial detection (docs and implementations).</w:t>
      </w:r>
    </w:p>
    <w:p w14:paraId="2DD1B752" w14:textId="59ACE925" w:rsidR="00EB1D84" w:rsidRDefault="00EB1D84" w:rsidP="00EB1D84">
      <w:pPr>
        <w:pStyle w:val="ListParagraph"/>
        <w:jc w:val="both"/>
      </w:pPr>
      <w:hyperlink r:id="rId10" w:history="1">
        <w:r w:rsidRPr="00642183">
          <w:rPr>
            <w:rStyle w:val="Hyperlink"/>
          </w:rPr>
          <w:t>https://docs.seldon.io/projects/alibi-detect/en/latest/</w:t>
        </w:r>
      </w:hyperlink>
    </w:p>
    <w:p w14:paraId="6D4A2CA1" w14:textId="75F8D8D6" w:rsidR="00EB1D84" w:rsidRDefault="00EB1D84" w:rsidP="00EB1D84">
      <w:pPr>
        <w:pStyle w:val="ListParagraph"/>
        <w:numPr>
          <w:ilvl w:val="0"/>
          <w:numId w:val="1"/>
        </w:numPr>
        <w:jc w:val="both"/>
      </w:pPr>
      <w:r w:rsidRPr="00EB1D84">
        <w:rPr>
          <w:b/>
          <w:bCs/>
        </w:rPr>
        <w:t>ADWIN (ADaptive WINdowing) and Page-Hinkley change detectors</w:t>
      </w:r>
      <w:r w:rsidRPr="00EB1D84">
        <w:t xml:space="preserve"> — River docs and resources (practical streaming change detectors widely used for online drift detection).</w:t>
      </w:r>
    </w:p>
    <w:p w14:paraId="7147DEBE" w14:textId="3C032498" w:rsidR="00EB1D84" w:rsidRDefault="00EB1D84" w:rsidP="00EB1D84">
      <w:pPr>
        <w:pStyle w:val="ListParagraph"/>
        <w:jc w:val="both"/>
      </w:pPr>
      <w:hyperlink r:id="rId11" w:history="1">
        <w:r w:rsidRPr="00642183">
          <w:rPr>
            <w:rStyle w:val="Hyperlink"/>
          </w:rPr>
          <w:t>https://riverml.xyz/dev/api/drift/ADWIN/</w:t>
        </w:r>
      </w:hyperlink>
    </w:p>
    <w:p w14:paraId="4473FB89" w14:textId="3DC4C716" w:rsidR="00EB1D84" w:rsidRDefault="00EB1D84" w:rsidP="00EB1D84">
      <w:pPr>
        <w:pStyle w:val="ListParagraph"/>
        <w:numPr>
          <w:ilvl w:val="0"/>
          <w:numId w:val="1"/>
        </w:numPr>
        <w:jc w:val="both"/>
      </w:pPr>
      <w:r w:rsidRPr="00EB1D84">
        <w:rPr>
          <w:b/>
          <w:bCs/>
        </w:rPr>
        <w:t>Hidden Technical Debt in Machine Learning Systems</w:t>
      </w:r>
      <w:r w:rsidRPr="00EB1D84">
        <w:t xml:space="preserve"> — Sculley et al., NeurIPS 2015. (Classic systems paper motivating monitoring, instrumentation, and automated maintenance.)</w:t>
      </w:r>
    </w:p>
    <w:p w14:paraId="20B01806" w14:textId="592037D1" w:rsidR="00EB1D84" w:rsidRDefault="00EB1D84" w:rsidP="00EB1D84">
      <w:pPr>
        <w:pStyle w:val="ListParagraph"/>
        <w:jc w:val="both"/>
      </w:pPr>
      <w:hyperlink r:id="rId12" w:history="1">
        <w:r w:rsidRPr="00642183">
          <w:rPr>
            <w:rStyle w:val="Hyperlink"/>
          </w:rPr>
          <w:t>https://proceedings.neurips.cc/paper_files/paper/2015/file/86df7dcfd896fcaf2674f757a2463eba-Paper.pdf</w:t>
        </w:r>
      </w:hyperlink>
    </w:p>
    <w:p w14:paraId="2B1897DA" w14:textId="0410C957" w:rsidR="00EB1D84" w:rsidRDefault="00EB1D84" w:rsidP="00EB1D84">
      <w:pPr>
        <w:pStyle w:val="ListParagraph"/>
        <w:numPr>
          <w:ilvl w:val="0"/>
          <w:numId w:val="1"/>
        </w:numPr>
        <w:jc w:val="both"/>
      </w:pPr>
      <w:r w:rsidRPr="00EB1D84">
        <w:rPr>
          <w:b/>
          <w:bCs/>
        </w:rPr>
        <w:t>Open-Source Drift Detection Tools in Action</w:t>
      </w:r>
      <w:r w:rsidRPr="00EB1D84">
        <w:t xml:space="preserve"> — R. Müller et al., arXiv 2024. (Benchmarks/analysis of practical drift libraries, including Alibi-Detect; helps justify tool choices and limitations.)</w:t>
      </w:r>
    </w:p>
    <w:p w14:paraId="5A995ED9" w14:textId="0818482B" w:rsidR="00EB1D84" w:rsidRDefault="00EB1D84" w:rsidP="00EB1D84">
      <w:pPr>
        <w:pStyle w:val="ListParagraph"/>
        <w:jc w:val="both"/>
      </w:pPr>
      <w:hyperlink r:id="rId13" w:history="1">
        <w:r w:rsidRPr="00642183">
          <w:rPr>
            <w:rStyle w:val="Hyperlink"/>
          </w:rPr>
          <w:t>https://arxiv.org/pdf/2404.18673</w:t>
        </w:r>
      </w:hyperlink>
    </w:p>
    <w:p w14:paraId="1E124A00" w14:textId="4775F239" w:rsidR="00EB1D84" w:rsidRDefault="00EB1D84" w:rsidP="00A20D4F">
      <w:pPr>
        <w:pStyle w:val="ListParagraph"/>
        <w:numPr>
          <w:ilvl w:val="0"/>
          <w:numId w:val="1"/>
        </w:numPr>
        <w:jc w:val="both"/>
      </w:pPr>
      <w:r w:rsidRPr="00EB1D84">
        <w:rPr>
          <w:b/>
          <w:bCs/>
        </w:rPr>
        <w:t>Drift Detection in Text Data with Document Embeddings</w:t>
      </w:r>
      <w:r w:rsidRPr="00EB1D84">
        <w:t xml:space="preserve"> — Feldhans &amp; Wilke (useful for embedding-based detectors).</w:t>
      </w:r>
      <w:r>
        <w:t xml:space="preserve"> </w:t>
      </w:r>
    </w:p>
    <w:p w14:paraId="5E5447E3" w14:textId="4E9E95EE" w:rsidR="00A20D4F" w:rsidRDefault="00A20D4F" w:rsidP="00A20D4F">
      <w:pPr>
        <w:pStyle w:val="ListParagraph"/>
        <w:jc w:val="both"/>
      </w:pPr>
      <w:hyperlink r:id="rId14" w:history="1">
        <w:r w:rsidRPr="00642183">
          <w:rPr>
            <w:rStyle w:val="Hyperlink"/>
          </w:rPr>
          <w:t>https://www.semanticscholar.org/paper/Drift-Detection-in-Text-Data-with-Document-Feldhans-Wilke/556be80b7c524ddc1fce7e6179844065037148a0</w:t>
        </w:r>
      </w:hyperlink>
    </w:p>
    <w:p w14:paraId="513C58F8" w14:textId="77777777" w:rsidR="00A20D4F" w:rsidRDefault="00A20D4F" w:rsidP="00A20D4F">
      <w:pPr>
        <w:pStyle w:val="ListParagraph"/>
        <w:jc w:val="both"/>
      </w:pPr>
    </w:p>
    <w:p w14:paraId="2A4542B4" w14:textId="77777777" w:rsidR="00EB1D84" w:rsidRDefault="00EB1D84" w:rsidP="00EB1D84">
      <w:pPr>
        <w:ind w:left="360"/>
        <w:jc w:val="both"/>
      </w:pPr>
    </w:p>
    <w:p w14:paraId="3B8B8200" w14:textId="5A16E29B" w:rsidR="00EB1D84" w:rsidRDefault="00A37FA0" w:rsidP="00A37FA0">
      <w:r>
        <w:br w:type="page"/>
      </w:r>
    </w:p>
    <w:p w14:paraId="4842631F" w14:textId="77777777" w:rsidR="00EB1D84" w:rsidRPr="00EB1D84" w:rsidRDefault="00EB1D84" w:rsidP="00EB1D84">
      <w:pPr>
        <w:ind w:left="360"/>
        <w:jc w:val="both"/>
        <w:rPr>
          <w:b/>
          <w:bCs/>
        </w:rPr>
      </w:pPr>
      <w:r w:rsidRPr="00EB1D84">
        <w:rPr>
          <w:b/>
          <w:bCs/>
        </w:rPr>
        <w:lastRenderedPageBreak/>
        <w:t>Step 1 — Inference Layer</w:t>
      </w:r>
    </w:p>
    <w:p w14:paraId="35E1779A" w14:textId="77777777" w:rsidR="00EB1D84" w:rsidRPr="00EB1D84" w:rsidRDefault="00EB1D84" w:rsidP="00EB1D84">
      <w:pPr>
        <w:ind w:left="360"/>
        <w:jc w:val="both"/>
      </w:pPr>
      <w:r w:rsidRPr="00EB1D84">
        <w:rPr>
          <w:b/>
          <w:bCs/>
        </w:rPr>
        <w:t>Cell 2: ModelWrapper + InferenceLayer</w:t>
      </w:r>
    </w:p>
    <w:p w14:paraId="25B61288" w14:textId="77777777" w:rsidR="00EB1D84" w:rsidRPr="00EB1D84" w:rsidRDefault="00EB1D84" w:rsidP="00EB1D84">
      <w:pPr>
        <w:ind w:left="360"/>
        <w:jc w:val="both"/>
      </w:pPr>
      <w:r w:rsidRPr="00EB1D84">
        <w:rPr>
          <w:b/>
          <w:bCs/>
        </w:rPr>
        <w:t xml:space="preserve">Purpose </w:t>
      </w:r>
    </w:p>
    <w:p w14:paraId="604F95D3" w14:textId="77777777" w:rsidR="00EB1D84" w:rsidRPr="00EB1D84" w:rsidRDefault="00EB1D84" w:rsidP="00EB1D84">
      <w:pPr>
        <w:ind w:left="360"/>
        <w:jc w:val="both"/>
      </w:pPr>
      <w:r w:rsidRPr="00EB1D84">
        <w:t>Load a primary and optional fallback LLM (HuggingFace transformers if available). Provide a stable generate API and basic telemetry: latency, token counts, approximate average token entropy. Graceful fallback to simulated responses if environment lacks models / GPU.</w:t>
      </w:r>
    </w:p>
    <w:p w14:paraId="2EABD084" w14:textId="77777777" w:rsidR="00EB1D84" w:rsidRPr="00EB1D84" w:rsidRDefault="00EB1D84" w:rsidP="00EB1D84">
      <w:pPr>
        <w:ind w:left="360"/>
        <w:jc w:val="both"/>
      </w:pPr>
      <w:r w:rsidRPr="00EB1D84">
        <w:rPr>
          <w:b/>
          <w:bCs/>
        </w:rPr>
        <w:t>Key references and pinpointed elements</w:t>
      </w:r>
    </w:p>
    <w:p w14:paraId="106B32C5" w14:textId="39B0CA16" w:rsidR="00EB1D84" w:rsidRPr="00EB1D84" w:rsidRDefault="00EB1D84" w:rsidP="00EB1D84">
      <w:pPr>
        <w:numPr>
          <w:ilvl w:val="0"/>
          <w:numId w:val="2"/>
        </w:numPr>
        <w:jc w:val="both"/>
      </w:pPr>
      <w:r w:rsidRPr="00EB1D84">
        <w:rPr>
          <w:b/>
          <w:bCs/>
        </w:rPr>
        <w:t>Hidden Technical Debt</w:t>
      </w:r>
      <w:r w:rsidRPr="00EB1D84">
        <w:t xml:space="preserve"> (Sculley et al., 2015). This paper emphasizes the engineering need for robust monitoring, logging and modular components in ML systems (section: “Monitoring and the Data Dependencies”). We adopt its principle of instrumentation at the model boundary: track latency, inputs, outputs, and metadata</w:t>
      </w:r>
      <w:r>
        <w:t>.</w:t>
      </w:r>
    </w:p>
    <w:p w14:paraId="7B8768BC" w14:textId="4E4572DA" w:rsidR="00EB1D84" w:rsidRPr="00EB1D84" w:rsidRDefault="00EB1D84" w:rsidP="00EB1D84">
      <w:pPr>
        <w:numPr>
          <w:ilvl w:val="0"/>
          <w:numId w:val="2"/>
        </w:numPr>
        <w:jc w:val="both"/>
      </w:pPr>
      <w:r w:rsidRPr="00EB1D84">
        <w:rPr>
          <w:b/>
          <w:bCs/>
        </w:rPr>
        <w:t>LoRA</w:t>
      </w:r>
      <w:r w:rsidRPr="00EB1D84">
        <w:t xml:space="preserve"> (Hu et al., 2021): while LoRA is an adaptation technique rather than an inference design paper, their implementation details are relevant because they show the feasibility of parameter-efficient adapters that can be loaded at inference time without reloading full model weights — this motivates our “fallback / adapter” model-loading design where adapters can be toggled in runtime. See LoRA’s discussion of injecting low-rank modules into layers. </w:t>
      </w:r>
    </w:p>
    <w:p w14:paraId="14C9E4D8" w14:textId="77777777" w:rsidR="00EB1D84" w:rsidRPr="00EB1D84" w:rsidRDefault="00EB1D84" w:rsidP="00EB1D84">
      <w:pPr>
        <w:ind w:left="360"/>
        <w:jc w:val="both"/>
      </w:pPr>
      <w:r w:rsidRPr="00EB1D84">
        <w:rPr>
          <w:b/>
          <w:bCs/>
        </w:rPr>
        <w:t>How we used/adapted these ideas</w:t>
      </w:r>
    </w:p>
    <w:p w14:paraId="205CDF5A" w14:textId="09895104" w:rsidR="00EB1D84" w:rsidRPr="00EB1D84" w:rsidRDefault="00EB1D84" w:rsidP="00EB1D84">
      <w:pPr>
        <w:numPr>
          <w:ilvl w:val="0"/>
          <w:numId w:val="3"/>
        </w:numPr>
        <w:jc w:val="both"/>
      </w:pPr>
      <w:r w:rsidRPr="00EB1D84">
        <w:t xml:space="preserve">From Sculley et al., we took the guiding engineering principle: instrument everything at the inference boundary. The InferenceLayer exposes </w:t>
      </w:r>
      <w:r>
        <w:t>‘</w:t>
      </w:r>
      <w:r w:rsidRPr="00EB1D84">
        <w:t>.generate()</w:t>
      </w:r>
      <w:r>
        <w:t>’</w:t>
      </w:r>
      <w:r w:rsidRPr="00EB1D84">
        <w:t xml:space="preserve"> and </w:t>
      </w:r>
      <w:r>
        <w:t>‘</w:t>
      </w:r>
      <w:r w:rsidRPr="00EB1D84">
        <w:t>.health()</w:t>
      </w:r>
      <w:r>
        <w:t>’</w:t>
      </w:r>
      <w:r w:rsidRPr="00EB1D84">
        <w:t xml:space="preserve"> and returns structured telemetry for each call (latency, token counts, entropy when available).</w:t>
      </w:r>
    </w:p>
    <w:p w14:paraId="25F151F8" w14:textId="77777777" w:rsidR="00EB1D84" w:rsidRPr="00EB1D84" w:rsidRDefault="00EB1D84" w:rsidP="00EB1D84">
      <w:pPr>
        <w:numPr>
          <w:ilvl w:val="0"/>
          <w:numId w:val="3"/>
        </w:numPr>
        <w:jc w:val="both"/>
      </w:pPr>
      <w:r w:rsidRPr="00EB1D84">
        <w:t>From LoRA we borrowed the idea that adapters can be loaded cheaply at inference-time; thus the InferenceLayer design includes a plan to accept adapter configs (so the same model instance can switch behavior or load a LoRA module without full reload).</w:t>
      </w:r>
    </w:p>
    <w:p w14:paraId="35E25B81" w14:textId="77777777" w:rsidR="00EB1D84" w:rsidRPr="00EB1D84" w:rsidRDefault="00EB1D84" w:rsidP="00EB1D84">
      <w:pPr>
        <w:ind w:left="360"/>
        <w:jc w:val="both"/>
      </w:pPr>
      <w:r w:rsidRPr="00EB1D84">
        <w:rPr>
          <w:b/>
          <w:bCs/>
        </w:rPr>
        <w:t>How our work differs &amp; value added</w:t>
      </w:r>
    </w:p>
    <w:p w14:paraId="47DD377C" w14:textId="77777777" w:rsidR="00EB1D84" w:rsidRPr="00EB1D84" w:rsidRDefault="00EB1D84" w:rsidP="00EB1D84">
      <w:pPr>
        <w:numPr>
          <w:ilvl w:val="0"/>
          <w:numId w:val="4"/>
        </w:numPr>
        <w:jc w:val="both"/>
      </w:pPr>
      <w:r w:rsidRPr="00EB1D84">
        <w:t xml:space="preserve">Sculley et al. explains </w:t>
      </w:r>
      <w:r w:rsidRPr="00EB1D84">
        <w:rPr>
          <w:i/>
          <w:iCs/>
        </w:rPr>
        <w:t>why</w:t>
      </w:r>
      <w:r w:rsidRPr="00EB1D84">
        <w:t xml:space="preserve"> instrumentation is necessary; we implement it concretely for LLMs including entropy proxies and fallback simulation for environments without GPU.</w:t>
      </w:r>
    </w:p>
    <w:p w14:paraId="0CA65ECD" w14:textId="77777777" w:rsidR="00EB1D84" w:rsidRPr="00EB1D84" w:rsidRDefault="00EB1D84" w:rsidP="00EB1D84">
      <w:pPr>
        <w:numPr>
          <w:ilvl w:val="0"/>
          <w:numId w:val="4"/>
        </w:numPr>
        <w:jc w:val="both"/>
      </w:pPr>
      <w:r w:rsidRPr="00EB1D84">
        <w:t xml:space="preserve">We explicitly combine </w:t>
      </w:r>
      <w:r w:rsidRPr="00EB1D84">
        <w:rPr>
          <w:i/>
          <w:iCs/>
        </w:rPr>
        <w:t>adapter-ready inference</w:t>
      </w:r>
      <w:r w:rsidRPr="00EB1D84">
        <w:t xml:space="preserve"> (LoRA-style) with telemetry in a single interface, enabling automated policy decisions downstream to reroute or attach adapters at runtime — an integration step few engineering papers formalize.</w:t>
      </w:r>
    </w:p>
    <w:p w14:paraId="658F8E46" w14:textId="4AF9BFA3" w:rsidR="00EB1D84" w:rsidRDefault="00EB1D84" w:rsidP="00EB1D84">
      <w:pPr>
        <w:ind w:left="360"/>
        <w:jc w:val="both"/>
      </w:pPr>
      <w:r w:rsidRPr="00EB1D84">
        <w:rPr>
          <w:b/>
          <w:bCs/>
        </w:rPr>
        <w:t>Citations:</w:t>
      </w:r>
      <w:r w:rsidRPr="00EB1D84">
        <w:t xml:space="preserve"> Sculley et al. (Hidden Technical Debt). LoRA (Hu et al., 2021).</w:t>
      </w:r>
    </w:p>
    <w:p w14:paraId="0578CB03" w14:textId="77777777" w:rsidR="00EB1D84" w:rsidRDefault="00EB1D84" w:rsidP="00EB1D84">
      <w:pPr>
        <w:ind w:left="360"/>
        <w:jc w:val="both"/>
      </w:pPr>
    </w:p>
    <w:p w14:paraId="52C4EC04" w14:textId="77777777" w:rsidR="00EB1D84" w:rsidRDefault="00EB1D84" w:rsidP="00EB1D84">
      <w:pPr>
        <w:ind w:left="360"/>
        <w:jc w:val="both"/>
      </w:pPr>
    </w:p>
    <w:p w14:paraId="644FFA9A" w14:textId="77777777" w:rsidR="00EB1D84" w:rsidRDefault="00EB1D84" w:rsidP="00EB1D84">
      <w:pPr>
        <w:ind w:left="360"/>
        <w:jc w:val="both"/>
      </w:pPr>
    </w:p>
    <w:p w14:paraId="12392AFF" w14:textId="77777777" w:rsidR="00A37FA0" w:rsidRDefault="00A37FA0" w:rsidP="00EB1D84">
      <w:pPr>
        <w:ind w:left="360"/>
        <w:jc w:val="both"/>
      </w:pPr>
    </w:p>
    <w:p w14:paraId="63F0E90D" w14:textId="77777777" w:rsidR="00A37FA0" w:rsidRDefault="00A37FA0" w:rsidP="00EB1D84">
      <w:pPr>
        <w:ind w:left="360"/>
        <w:jc w:val="both"/>
      </w:pPr>
    </w:p>
    <w:p w14:paraId="4EFBDBB5" w14:textId="77777777" w:rsidR="00A37FA0" w:rsidRDefault="00A37FA0" w:rsidP="00EB1D84">
      <w:pPr>
        <w:ind w:left="360"/>
        <w:jc w:val="both"/>
      </w:pPr>
    </w:p>
    <w:p w14:paraId="3F0D57E9" w14:textId="77777777" w:rsidR="00A37FA0" w:rsidRDefault="00A37FA0" w:rsidP="00EB1D84">
      <w:pPr>
        <w:ind w:left="360"/>
        <w:jc w:val="both"/>
      </w:pPr>
    </w:p>
    <w:p w14:paraId="22ABFDB5" w14:textId="77777777" w:rsidR="00EB1D84" w:rsidRDefault="00EB1D84" w:rsidP="00EB1D84">
      <w:pPr>
        <w:ind w:left="360"/>
        <w:jc w:val="both"/>
      </w:pPr>
    </w:p>
    <w:p w14:paraId="5BDF44FF" w14:textId="77777777" w:rsidR="00EB1D84" w:rsidRDefault="00EB1D84" w:rsidP="00EB1D84">
      <w:pPr>
        <w:ind w:left="360"/>
        <w:jc w:val="both"/>
      </w:pPr>
    </w:p>
    <w:p w14:paraId="44B48C2E" w14:textId="77777777" w:rsidR="00EB1D84" w:rsidRDefault="00EB1D84" w:rsidP="00EB1D84">
      <w:pPr>
        <w:ind w:left="360"/>
        <w:jc w:val="both"/>
      </w:pPr>
    </w:p>
    <w:p w14:paraId="4837EAB5" w14:textId="77777777" w:rsidR="00EB1D84" w:rsidRPr="00EB1D84" w:rsidRDefault="00EB1D84" w:rsidP="00EB1D84">
      <w:pPr>
        <w:ind w:left="360"/>
        <w:jc w:val="both"/>
        <w:rPr>
          <w:b/>
          <w:bCs/>
        </w:rPr>
      </w:pPr>
      <w:r w:rsidRPr="00EB1D84">
        <w:rPr>
          <w:b/>
          <w:bCs/>
        </w:rPr>
        <w:lastRenderedPageBreak/>
        <w:t>Step 2 — Telemetry &amp; Logging</w:t>
      </w:r>
    </w:p>
    <w:p w14:paraId="2433F766" w14:textId="77777777" w:rsidR="00EB1D84" w:rsidRPr="00EB1D84" w:rsidRDefault="00EB1D84" w:rsidP="00EB1D84">
      <w:pPr>
        <w:ind w:left="360"/>
        <w:jc w:val="both"/>
      </w:pPr>
      <w:r w:rsidRPr="00EB1D84">
        <w:rPr>
          <w:b/>
          <w:bCs/>
        </w:rPr>
        <w:t>Cell 3: TelemetryLogger</w:t>
      </w:r>
    </w:p>
    <w:p w14:paraId="78A6CF21" w14:textId="77777777" w:rsidR="00EB1D84" w:rsidRPr="00EB1D84" w:rsidRDefault="00EB1D84" w:rsidP="00EB1D84">
      <w:pPr>
        <w:ind w:left="360"/>
        <w:jc w:val="both"/>
      </w:pPr>
      <w:r w:rsidRPr="00EB1D84">
        <w:rPr>
          <w:b/>
          <w:bCs/>
        </w:rPr>
        <w:t>Purpose</w:t>
      </w:r>
      <w:r w:rsidRPr="00EB1D84">
        <w:br/>
        <w:t>Collect structured logs per request: id, timestamp, prompt, response, model, latency, token counts, entropy; optionally save to CSV.</w:t>
      </w:r>
    </w:p>
    <w:p w14:paraId="32652557" w14:textId="77777777" w:rsidR="00EB1D84" w:rsidRPr="00EB1D84" w:rsidRDefault="00EB1D84" w:rsidP="00EB1D84">
      <w:pPr>
        <w:ind w:left="360"/>
        <w:jc w:val="both"/>
      </w:pPr>
      <w:r w:rsidRPr="00EB1D84">
        <w:rPr>
          <w:b/>
          <w:bCs/>
        </w:rPr>
        <w:t>Key references and pinpointed elements</w:t>
      </w:r>
    </w:p>
    <w:p w14:paraId="6D565A49" w14:textId="28B3AB63" w:rsidR="00EB1D84" w:rsidRPr="00EB1D84" w:rsidRDefault="00EB1D84" w:rsidP="00EB1D84">
      <w:pPr>
        <w:numPr>
          <w:ilvl w:val="0"/>
          <w:numId w:val="5"/>
        </w:numPr>
        <w:jc w:val="both"/>
      </w:pPr>
      <w:r w:rsidRPr="00EB1D84">
        <w:rPr>
          <w:b/>
          <w:bCs/>
        </w:rPr>
        <w:t>Hidden Technical Debt</w:t>
      </w:r>
      <w:r w:rsidRPr="00EB1D84">
        <w:t xml:space="preserve"> (Sculley et al.): advocates for logging and capturing data lineage thoroughly, arguing that production ML systems must maintain data servlets of inputs, outputs and models. This is the main basis for our TelemetryLogger design (see sections on data dependencies and monitoring). </w:t>
      </w:r>
    </w:p>
    <w:p w14:paraId="24D2A100" w14:textId="0FC2B58E" w:rsidR="00EB1D84" w:rsidRPr="00EB1D84" w:rsidRDefault="00EB1D84" w:rsidP="00EB1D84">
      <w:pPr>
        <w:numPr>
          <w:ilvl w:val="0"/>
          <w:numId w:val="5"/>
        </w:numPr>
        <w:jc w:val="both"/>
      </w:pPr>
      <w:r w:rsidRPr="00EB1D84">
        <w:rPr>
          <w:b/>
          <w:bCs/>
        </w:rPr>
        <w:t>NVIDIA Guide: A Guide to Monitoring Machine Learning Models in Production</w:t>
      </w:r>
      <w:r w:rsidRPr="00EB1D84">
        <w:t xml:space="preserve"> — practical guidance on metrics to collect (latency, versioning, performance) and how to structure logs; inspired our telemetry schema (latency, tokens, model id). (Engineering blog / guide). </w:t>
      </w:r>
    </w:p>
    <w:p w14:paraId="3F7747DB" w14:textId="77777777" w:rsidR="00EB1D84" w:rsidRPr="00EB1D84" w:rsidRDefault="00EB1D84" w:rsidP="00EB1D84">
      <w:pPr>
        <w:ind w:left="360"/>
        <w:jc w:val="both"/>
      </w:pPr>
      <w:r w:rsidRPr="00EB1D84">
        <w:rPr>
          <w:b/>
          <w:bCs/>
        </w:rPr>
        <w:t>How we used/adapted these ideas</w:t>
      </w:r>
    </w:p>
    <w:p w14:paraId="5E0C61A4" w14:textId="77777777" w:rsidR="00EB1D84" w:rsidRPr="00EB1D84" w:rsidRDefault="00EB1D84" w:rsidP="00EB1D84">
      <w:pPr>
        <w:numPr>
          <w:ilvl w:val="0"/>
          <w:numId w:val="6"/>
        </w:numPr>
        <w:jc w:val="both"/>
      </w:pPr>
      <w:r w:rsidRPr="00EB1D84">
        <w:t>Telemetry design follows the recommended fields from both the Sculley paper and modern monitoring guides: record raw inputs (sampled), outputs, metadata (model version), time and basic quality proxies.</w:t>
      </w:r>
    </w:p>
    <w:p w14:paraId="1C0ABC8D" w14:textId="77777777" w:rsidR="00EB1D84" w:rsidRPr="00EB1D84" w:rsidRDefault="00EB1D84" w:rsidP="00EB1D84">
      <w:pPr>
        <w:numPr>
          <w:ilvl w:val="0"/>
          <w:numId w:val="6"/>
        </w:numPr>
        <w:jc w:val="both"/>
      </w:pPr>
      <w:r w:rsidRPr="00EB1D84">
        <w:t>We ensure logs include recovery actions so that later evaluation can correlate change events with recovery outcomes.</w:t>
      </w:r>
    </w:p>
    <w:p w14:paraId="62F03D3F" w14:textId="77777777" w:rsidR="00EB1D84" w:rsidRPr="00EB1D84" w:rsidRDefault="00EB1D84" w:rsidP="00EB1D84">
      <w:pPr>
        <w:ind w:left="360"/>
        <w:jc w:val="both"/>
      </w:pPr>
      <w:r w:rsidRPr="00EB1D84">
        <w:rPr>
          <w:b/>
          <w:bCs/>
        </w:rPr>
        <w:t>How our work differs &amp; value added</w:t>
      </w:r>
    </w:p>
    <w:p w14:paraId="356A736D" w14:textId="77777777" w:rsidR="00EB1D84" w:rsidRPr="00EB1D84" w:rsidRDefault="00EB1D84" w:rsidP="00EB1D84">
      <w:pPr>
        <w:numPr>
          <w:ilvl w:val="0"/>
          <w:numId w:val="7"/>
        </w:numPr>
        <w:jc w:val="both"/>
      </w:pPr>
      <w:r w:rsidRPr="00EB1D84">
        <w:t>We implement a telemetry schema tailored for LLMs (includes token-entropy proxies and model adapter tags) and integrate telemetry with the recovery manager, so actions and before/after results are stored for audit and evaluation. This goes beyond typical monitoring examples by coupling telemetry and automated recovery.</w:t>
      </w:r>
    </w:p>
    <w:p w14:paraId="4FDAF8C2" w14:textId="77777777" w:rsidR="00EB1D84" w:rsidRPr="00EB1D84" w:rsidRDefault="00EB1D84" w:rsidP="00EB1D84">
      <w:pPr>
        <w:ind w:left="360"/>
        <w:jc w:val="both"/>
      </w:pPr>
      <w:r w:rsidRPr="00EB1D84">
        <w:rPr>
          <w:b/>
          <w:bCs/>
        </w:rPr>
        <w:t>Citations:</w:t>
      </w:r>
      <w:r w:rsidRPr="00EB1D84">
        <w:t xml:space="preserve"> Sculley et al.; NVIDIA monitoring guide.</w:t>
      </w:r>
    </w:p>
    <w:p w14:paraId="1368C4D3" w14:textId="77777777" w:rsidR="00EB1D84" w:rsidRDefault="00EB1D84" w:rsidP="00EB1D84">
      <w:pPr>
        <w:ind w:left="360"/>
        <w:jc w:val="both"/>
      </w:pPr>
    </w:p>
    <w:p w14:paraId="56E6E27A" w14:textId="77777777" w:rsidR="00A37FA0" w:rsidRDefault="00A37FA0" w:rsidP="00EB1D84">
      <w:pPr>
        <w:ind w:left="360"/>
        <w:jc w:val="both"/>
      </w:pPr>
    </w:p>
    <w:p w14:paraId="626D441E" w14:textId="77777777" w:rsidR="00A37FA0" w:rsidRDefault="00A37FA0" w:rsidP="00EB1D84">
      <w:pPr>
        <w:ind w:left="360"/>
        <w:jc w:val="both"/>
      </w:pPr>
    </w:p>
    <w:p w14:paraId="34226DB6" w14:textId="77777777" w:rsidR="00A37FA0" w:rsidRDefault="00A37FA0" w:rsidP="00EB1D84">
      <w:pPr>
        <w:ind w:left="360"/>
        <w:jc w:val="both"/>
      </w:pPr>
    </w:p>
    <w:p w14:paraId="171C407E" w14:textId="77777777" w:rsidR="00A37FA0" w:rsidRDefault="00A37FA0" w:rsidP="00EB1D84">
      <w:pPr>
        <w:ind w:left="360"/>
        <w:jc w:val="both"/>
      </w:pPr>
    </w:p>
    <w:p w14:paraId="687D2E81" w14:textId="77777777" w:rsidR="00A37FA0" w:rsidRDefault="00A37FA0" w:rsidP="00EB1D84">
      <w:pPr>
        <w:ind w:left="360"/>
        <w:jc w:val="both"/>
      </w:pPr>
    </w:p>
    <w:p w14:paraId="0527D0D7" w14:textId="77777777" w:rsidR="00A37FA0" w:rsidRDefault="00A37FA0" w:rsidP="00EB1D84">
      <w:pPr>
        <w:ind w:left="360"/>
        <w:jc w:val="both"/>
      </w:pPr>
    </w:p>
    <w:p w14:paraId="4725C96C" w14:textId="77777777" w:rsidR="00A37FA0" w:rsidRDefault="00A37FA0" w:rsidP="00EB1D84">
      <w:pPr>
        <w:ind w:left="360"/>
        <w:jc w:val="both"/>
      </w:pPr>
    </w:p>
    <w:p w14:paraId="7A559F5A" w14:textId="77777777" w:rsidR="00A37FA0" w:rsidRDefault="00A37FA0" w:rsidP="00EB1D84">
      <w:pPr>
        <w:ind w:left="360"/>
        <w:jc w:val="both"/>
      </w:pPr>
    </w:p>
    <w:p w14:paraId="4443C9CA" w14:textId="77777777" w:rsidR="00A37FA0" w:rsidRDefault="00A37FA0" w:rsidP="00EB1D84">
      <w:pPr>
        <w:ind w:left="360"/>
        <w:jc w:val="both"/>
      </w:pPr>
    </w:p>
    <w:p w14:paraId="7A0626C0" w14:textId="77777777" w:rsidR="00A37FA0" w:rsidRDefault="00A37FA0" w:rsidP="00EB1D84">
      <w:pPr>
        <w:ind w:left="360"/>
        <w:jc w:val="both"/>
      </w:pPr>
    </w:p>
    <w:p w14:paraId="5D0B2594" w14:textId="77777777" w:rsidR="00A37FA0" w:rsidRDefault="00A37FA0" w:rsidP="00EB1D84">
      <w:pPr>
        <w:ind w:left="360"/>
        <w:jc w:val="both"/>
      </w:pPr>
    </w:p>
    <w:p w14:paraId="1059DD0E" w14:textId="77777777" w:rsidR="00A37FA0" w:rsidRDefault="00A37FA0" w:rsidP="00EB1D84">
      <w:pPr>
        <w:ind w:left="360"/>
        <w:jc w:val="both"/>
      </w:pPr>
    </w:p>
    <w:p w14:paraId="3744FBA9" w14:textId="77777777" w:rsidR="00A37FA0" w:rsidRPr="00EB1D84" w:rsidRDefault="00A37FA0" w:rsidP="00EB1D84">
      <w:pPr>
        <w:ind w:left="360"/>
        <w:jc w:val="both"/>
      </w:pPr>
    </w:p>
    <w:p w14:paraId="1171D4BC" w14:textId="77777777" w:rsidR="00EB1D84" w:rsidRDefault="00EB1D84" w:rsidP="00EB1D84">
      <w:pPr>
        <w:ind w:left="360"/>
        <w:jc w:val="both"/>
      </w:pPr>
    </w:p>
    <w:p w14:paraId="204F4745" w14:textId="77777777" w:rsidR="000C7D1E" w:rsidRPr="000C7D1E" w:rsidRDefault="000C7D1E" w:rsidP="000C7D1E">
      <w:pPr>
        <w:ind w:left="360"/>
        <w:jc w:val="both"/>
        <w:rPr>
          <w:b/>
          <w:bCs/>
        </w:rPr>
      </w:pPr>
      <w:r w:rsidRPr="000C7D1E">
        <w:rPr>
          <w:b/>
          <w:bCs/>
        </w:rPr>
        <w:lastRenderedPageBreak/>
        <w:t>Step 3 — Monitoring Agents</w:t>
      </w:r>
    </w:p>
    <w:p w14:paraId="1C6DED5F" w14:textId="77777777" w:rsidR="000C7D1E" w:rsidRPr="000C7D1E" w:rsidRDefault="000C7D1E" w:rsidP="000C7D1E">
      <w:pPr>
        <w:ind w:left="360"/>
        <w:jc w:val="both"/>
      </w:pPr>
      <w:r w:rsidRPr="000C7D1E">
        <w:rPr>
          <w:b/>
          <w:bCs/>
        </w:rPr>
        <w:t>Cell 4 (extended): embedding encoder, token distribution, language detection, quality proxies</w:t>
      </w:r>
    </w:p>
    <w:p w14:paraId="40381E0B" w14:textId="77777777" w:rsidR="000C7D1E" w:rsidRPr="000C7D1E" w:rsidRDefault="000C7D1E" w:rsidP="000C7D1E">
      <w:pPr>
        <w:ind w:left="360"/>
        <w:jc w:val="both"/>
      </w:pPr>
      <w:r w:rsidRPr="000C7D1E">
        <w:rPr>
          <w:b/>
          <w:bCs/>
        </w:rPr>
        <w:t>Purpose</w:t>
      </w:r>
      <w:r w:rsidRPr="000C7D1E">
        <w:br/>
        <w:t>Produce signals used by detection &amp; policy: embedding vectors, token distributions, language labels, response-quality proxies and infra metrics.</w:t>
      </w:r>
    </w:p>
    <w:p w14:paraId="43E55F3E" w14:textId="77777777" w:rsidR="000C7D1E" w:rsidRPr="000C7D1E" w:rsidRDefault="000C7D1E" w:rsidP="000C7D1E">
      <w:pPr>
        <w:ind w:left="360"/>
        <w:jc w:val="both"/>
      </w:pPr>
      <w:r w:rsidRPr="000C7D1E">
        <w:rPr>
          <w:b/>
          <w:bCs/>
        </w:rPr>
        <w:t>Key references and pinpointed elements</w:t>
      </w:r>
    </w:p>
    <w:p w14:paraId="51839FCB" w14:textId="15A49A2B" w:rsidR="000C7D1E" w:rsidRPr="000C7D1E" w:rsidRDefault="000C7D1E" w:rsidP="000C7D1E">
      <w:pPr>
        <w:numPr>
          <w:ilvl w:val="0"/>
          <w:numId w:val="8"/>
        </w:numPr>
        <w:jc w:val="both"/>
      </w:pPr>
      <w:r w:rsidRPr="000C7D1E">
        <w:rPr>
          <w:b/>
          <w:bCs/>
        </w:rPr>
        <w:t>DriftWatch (NAACL 2024)</w:t>
      </w:r>
      <w:r w:rsidRPr="000C7D1E">
        <w:t xml:space="preserve">: explicitly uses multiple features (semantic embeddings + syntactic features) to detect text drift and proposes sampling strategies for representative examples. We adopt their recommendation that both embedding-level and lexical-level features are necessary for robust text-drift signals. (See DriftWatch: “use both semantic and syntactic features for covariate drift.”). </w:t>
      </w:r>
    </w:p>
    <w:p w14:paraId="41961985" w14:textId="361261FC" w:rsidR="000C7D1E" w:rsidRPr="000C7D1E" w:rsidRDefault="000C7D1E" w:rsidP="000C7D1E">
      <w:pPr>
        <w:numPr>
          <w:ilvl w:val="0"/>
          <w:numId w:val="8"/>
        </w:numPr>
        <w:jc w:val="both"/>
      </w:pPr>
      <w:r w:rsidRPr="000C7D1E">
        <w:rPr>
          <w:b/>
          <w:bCs/>
        </w:rPr>
        <w:t>Drift-Detection with Document Embeddings</w:t>
      </w:r>
      <w:r w:rsidRPr="000C7D1E">
        <w:t xml:space="preserve">: Demonstrates document-embedding-based drift tests and practical similarity measures for text streams (useful for our encode_text). </w:t>
      </w:r>
    </w:p>
    <w:p w14:paraId="365DD6F0" w14:textId="69ECF55E" w:rsidR="000C7D1E" w:rsidRPr="000C7D1E" w:rsidRDefault="000C7D1E" w:rsidP="000C7D1E">
      <w:pPr>
        <w:numPr>
          <w:ilvl w:val="0"/>
          <w:numId w:val="8"/>
        </w:numPr>
        <w:jc w:val="both"/>
      </w:pPr>
      <w:r w:rsidRPr="000C7D1E">
        <w:rPr>
          <w:b/>
          <w:bCs/>
        </w:rPr>
        <w:t>Alibi-Detect documentation &amp; papers</w:t>
      </w:r>
      <w:r w:rsidRPr="000C7D1E">
        <w:t xml:space="preserve">: shows practical implementation patterns for extracting features (numeric/ categorical) and adapter wrappers for text features, along with practical guidance on which features to compute online. </w:t>
      </w:r>
    </w:p>
    <w:p w14:paraId="490B83F0" w14:textId="77777777" w:rsidR="000C7D1E" w:rsidRPr="000C7D1E" w:rsidRDefault="000C7D1E" w:rsidP="000C7D1E">
      <w:pPr>
        <w:ind w:left="360"/>
        <w:jc w:val="both"/>
      </w:pPr>
      <w:r w:rsidRPr="000C7D1E">
        <w:rPr>
          <w:b/>
          <w:bCs/>
        </w:rPr>
        <w:t>How we used/adapted these ideas</w:t>
      </w:r>
    </w:p>
    <w:p w14:paraId="59D1645B" w14:textId="77777777" w:rsidR="000C7D1E" w:rsidRPr="000C7D1E" w:rsidRDefault="000C7D1E" w:rsidP="000C7D1E">
      <w:pPr>
        <w:numPr>
          <w:ilvl w:val="0"/>
          <w:numId w:val="9"/>
        </w:numPr>
        <w:jc w:val="both"/>
      </w:pPr>
      <w:r w:rsidRPr="000C7D1E">
        <w:t>We implement encode_text() with a lightweight sentence-transformer embedding (MiniLM), a token-distribution extractor for JS/KS tests, and integrate a cheap language detector as a feature. This echoes DriftWatch’s finding that combining semantic and syntactic signals improves detection.</w:t>
      </w:r>
    </w:p>
    <w:p w14:paraId="5103CC8D" w14:textId="77777777" w:rsidR="000C7D1E" w:rsidRPr="000C7D1E" w:rsidRDefault="000C7D1E" w:rsidP="000C7D1E">
      <w:pPr>
        <w:numPr>
          <w:ilvl w:val="0"/>
          <w:numId w:val="9"/>
        </w:numPr>
        <w:jc w:val="both"/>
      </w:pPr>
      <w:r w:rsidRPr="000C7D1E">
        <w:t>Quality proxies (e.g., simple heuristics like prompt echoing or length-based checks) are used as a cheap output-signal following practical engineering guidance from Alibi-Detect and production monitoring docs.</w:t>
      </w:r>
    </w:p>
    <w:p w14:paraId="19CB20BB" w14:textId="77777777" w:rsidR="000C7D1E" w:rsidRPr="000C7D1E" w:rsidRDefault="000C7D1E" w:rsidP="000C7D1E">
      <w:pPr>
        <w:ind w:left="360"/>
        <w:jc w:val="both"/>
      </w:pPr>
      <w:r w:rsidRPr="000C7D1E">
        <w:rPr>
          <w:b/>
          <w:bCs/>
        </w:rPr>
        <w:t>How our work differs &amp; value added</w:t>
      </w:r>
    </w:p>
    <w:p w14:paraId="20B361CE" w14:textId="77777777" w:rsidR="000C7D1E" w:rsidRPr="000C7D1E" w:rsidRDefault="000C7D1E" w:rsidP="000C7D1E">
      <w:pPr>
        <w:numPr>
          <w:ilvl w:val="0"/>
          <w:numId w:val="10"/>
        </w:numPr>
        <w:jc w:val="both"/>
      </w:pPr>
      <w:r w:rsidRPr="000C7D1E">
        <w:t>DriftWatch is a system paper focusing on detection; we embed those signals into a full deployment pipeline and connect them to automated decision &amp; recovery modules (i.e., we link monitoring signals to concrete corrective actions).</w:t>
      </w:r>
    </w:p>
    <w:p w14:paraId="1CBBD456" w14:textId="77777777" w:rsidR="000C7D1E" w:rsidRPr="000C7D1E" w:rsidRDefault="000C7D1E" w:rsidP="000C7D1E">
      <w:pPr>
        <w:numPr>
          <w:ilvl w:val="0"/>
          <w:numId w:val="10"/>
        </w:numPr>
        <w:jc w:val="both"/>
      </w:pPr>
      <w:r w:rsidRPr="000C7D1E">
        <w:t>We also design the monitoring agent to record infra signals (latency &amp; error flags) as integrated signals in the drift engine — important for operational prioritization (e.g., high-latency, high-drift situation may trigger different policies).</w:t>
      </w:r>
    </w:p>
    <w:p w14:paraId="6CCD9911" w14:textId="77777777" w:rsidR="000C7D1E" w:rsidRPr="000C7D1E" w:rsidRDefault="000C7D1E" w:rsidP="000C7D1E">
      <w:pPr>
        <w:ind w:left="360"/>
        <w:jc w:val="both"/>
      </w:pPr>
      <w:r w:rsidRPr="000C7D1E">
        <w:rPr>
          <w:b/>
          <w:bCs/>
        </w:rPr>
        <w:t>Citations:</w:t>
      </w:r>
      <w:r w:rsidRPr="000C7D1E">
        <w:t xml:space="preserve"> DriftWatch; embedding drift work; Alibi-Detect.</w:t>
      </w:r>
    </w:p>
    <w:p w14:paraId="2F779D77" w14:textId="77777777" w:rsidR="00EB1D84" w:rsidRDefault="00EB1D84" w:rsidP="00EB1D84">
      <w:pPr>
        <w:ind w:left="360"/>
        <w:jc w:val="both"/>
      </w:pPr>
    </w:p>
    <w:p w14:paraId="55BBB459" w14:textId="61D7882E" w:rsidR="000C7D1E" w:rsidRDefault="00430DD7" w:rsidP="00430DD7">
      <w:r>
        <w:br w:type="page"/>
      </w:r>
    </w:p>
    <w:p w14:paraId="1C061FD0" w14:textId="77777777" w:rsidR="000C7D1E" w:rsidRPr="000C7D1E" w:rsidRDefault="000C7D1E" w:rsidP="000C7D1E">
      <w:pPr>
        <w:jc w:val="both"/>
        <w:rPr>
          <w:b/>
          <w:bCs/>
        </w:rPr>
      </w:pPr>
      <w:r w:rsidRPr="000C7D1E">
        <w:rPr>
          <w:b/>
          <w:bCs/>
        </w:rPr>
        <w:lastRenderedPageBreak/>
        <w:t>Step 4 — Drift Detection Engine</w:t>
      </w:r>
    </w:p>
    <w:p w14:paraId="31FF1CCB" w14:textId="77777777" w:rsidR="000C7D1E" w:rsidRPr="000C7D1E" w:rsidRDefault="000C7D1E" w:rsidP="000C7D1E">
      <w:pPr>
        <w:jc w:val="both"/>
      </w:pPr>
      <w:r w:rsidRPr="000C7D1E">
        <w:rPr>
          <w:b/>
          <w:bCs/>
        </w:rPr>
        <w:t>Cell 5 (extended): embedding similarity + JS/KS + Page-Hinkley + ADWIN + composite score</w:t>
      </w:r>
    </w:p>
    <w:p w14:paraId="2300745C" w14:textId="77777777" w:rsidR="000C7D1E" w:rsidRPr="000C7D1E" w:rsidRDefault="000C7D1E" w:rsidP="000C7D1E">
      <w:pPr>
        <w:jc w:val="both"/>
      </w:pPr>
      <w:r w:rsidRPr="000C7D1E">
        <w:rPr>
          <w:b/>
          <w:bCs/>
        </w:rPr>
        <w:t>Purpose</w:t>
      </w:r>
      <w:r w:rsidRPr="000C7D1E">
        <w:br/>
        <w:t>Detect semantic and lexical drift using multiple signals. Use rolling baselines and streaming detectors.</w:t>
      </w:r>
    </w:p>
    <w:p w14:paraId="637CB461" w14:textId="77777777" w:rsidR="000C7D1E" w:rsidRPr="000C7D1E" w:rsidRDefault="000C7D1E" w:rsidP="000C7D1E">
      <w:pPr>
        <w:jc w:val="both"/>
      </w:pPr>
      <w:r w:rsidRPr="000C7D1E">
        <w:rPr>
          <w:b/>
          <w:bCs/>
        </w:rPr>
        <w:t>Key references and pinpointed elements</w:t>
      </w:r>
    </w:p>
    <w:p w14:paraId="4220C79A" w14:textId="13A5A80E" w:rsidR="000C7D1E" w:rsidRPr="000C7D1E" w:rsidRDefault="000C7D1E" w:rsidP="000C7D1E">
      <w:pPr>
        <w:numPr>
          <w:ilvl w:val="0"/>
          <w:numId w:val="11"/>
        </w:numPr>
        <w:jc w:val="both"/>
      </w:pPr>
      <w:r w:rsidRPr="000C7D1E">
        <w:rPr>
          <w:b/>
          <w:bCs/>
        </w:rPr>
        <w:t>ADWIN &amp; Page-Hinkley (River docs)</w:t>
      </w:r>
      <w:r w:rsidRPr="000C7D1E">
        <w:t xml:space="preserve">: ADWIN is a variable-length sliding window detector with provable guarantees; Page-Hinkley is a classical change detector based on cumulative sums. We base our streaming detector selection and implementation strategy on these proven methods (River API references). </w:t>
      </w:r>
    </w:p>
    <w:p w14:paraId="7E963B07" w14:textId="36394F16" w:rsidR="000C7D1E" w:rsidRPr="000C7D1E" w:rsidRDefault="000C7D1E" w:rsidP="000C7D1E">
      <w:pPr>
        <w:numPr>
          <w:ilvl w:val="0"/>
          <w:numId w:val="11"/>
        </w:numPr>
        <w:jc w:val="both"/>
      </w:pPr>
      <w:r w:rsidRPr="000C7D1E">
        <w:rPr>
          <w:b/>
          <w:bCs/>
        </w:rPr>
        <w:t>Gama et al. (2014) Survey</w:t>
      </w:r>
      <w:r w:rsidRPr="000C7D1E">
        <w:t xml:space="preserve">: taxonomy of drift types (sudden, gradual, incremental) and identification of appropriate detectors (ADWIN, Page-Hinkley, etc.) for streaming; guides our decision to combine detectors and to tune thresholds based on drift type. </w:t>
      </w:r>
    </w:p>
    <w:p w14:paraId="646384CF" w14:textId="4F9BCB32" w:rsidR="000C7D1E" w:rsidRPr="000C7D1E" w:rsidRDefault="000C7D1E" w:rsidP="000C7D1E">
      <w:pPr>
        <w:numPr>
          <w:ilvl w:val="0"/>
          <w:numId w:val="11"/>
        </w:numPr>
        <w:jc w:val="both"/>
      </w:pPr>
      <w:r w:rsidRPr="000C7D1E">
        <w:rPr>
          <w:b/>
          <w:bCs/>
        </w:rPr>
        <w:t>DriftWatch (NAACL 2024)</w:t>
      </w:r>
      <w:r w:rsidRPr="000C7D1E">
        <w:t xml:space="preserve">: recommends combining semantic (embedding similarity) and syntactic (token-distribution) tests. We adopt the composite scoring approach (weighted sum of normalized signals) that DriftWatch finds effective. </w:t>
      </w:r>
    </w:p>
    <w:p w14:paraId="58EAF069" w14:textId="26CF0C97" w:rsidR="000C7D1E" w:rsidRPr="000C7D1E" w:rsidRDefault="000C7D1E" w:rsidP="000C7D1E">
      <w:pPr>
        <w:numPr>
          <w:ilvl w:val="0"/>
          <w:numId w:val="11"/>
        </w:numPr>
        <w:jc w:val="both"/>
      </w:pPr>
      <w:r w:rsidRPr="000C7D1E">
        <w:rPr>
          <w:b/>
          <w:bCs/>
        </w:rPr>
        <w:t>Open-Source Drift Detection Tools in Action (Müller et al., 2024)</w:t>
      </w:r>
      <w:r w:rsidRPr="000C7D1E">
        <w:t xml:space="preserve">: benchmarking of practical detection libs and their pitfalls — used to justify our use of fallback code paths and conservative thresholds for false alarm mitigation. </w:t>
      </w:r>
    </w:p>
    <w:p w14:paraId="4815C59C" w14:textId="77777777" w:rsidR="000C7D1E" w:rsidRPr="000C7D1E" w:rsidRDefault="000C7D1E" w:rsidP="000C7D1E">
      <w:pPr>
        <w:jc w:val="both"/>
      </w:pPr>
      <w:r w:rsidRPr="000C7D1E">
        <w:rPr>
          <w:b/>
          <w:bCs/>
        </w:rPr>
        <w:t>How we used/adapted these ideas</w:t>
      </w:r>
    </w:p>
    <w:p w14:paraId="064AC6DF" w14:textId="77777777" w:rsidR="000C7D1E" w:rsidRPr="000C7D1E" w:rsidRDefault="000C7D1E" w:rsidP="000C7D1E">
      <w:pPr>
        <w:numPr>
          <w:ilvl w:val="0"/>
          <w:numId w:val="12"/>
        </w:numPr>
        <w:jc w:val="both"/>
      </w:pPr>
      <w:r w:rsidRPr="000C7D1E">
        <w:t>We compute per-input signals: cosine similarity to rolling centroid (embedding), JS divergence over token distributions, and feed composite values into streaming detectors (ADWIN / Page-Hinkley). This mirrors the ensemble approach recommended by Gama and concretely implemented in DriftWatch.</w:t>
      </w:r>
    </w:p>
    <w:p w14:paraId="7DBBFA47" w14:textId="77777777" w:rsidR="000C7D1E" w:rsidRPr="000C7D1E" w:rsidRDefault="000C7D1E" w:rsidP="000C7D1E">
      <w:pPr>
        <w:numPr>
          <w:ilvl w:val="0"/>
          <w:numId w:val="12"/>
        </w:numPr>
        <w:jc w:val="both"/>
      </w:pPr>
      <w:r w:rsidRPr="000C7D1E">
        <w:t>We implement change-alarm logic: ADWIN/Page-Hinkley alarms cause immediate action; composite thresholds handle graded responses.</w:t>
      </w:r>
    </w:p>
    <w:p w14:paraId="2F7D6882" w14:textId="77777777" w:rsidR="000C7D1E" w:rsidRPr="000C7D1E" w:rsidRDefault="000C7D1E" w:rsidP="000C7D1E">
      <w:pPr>
        <w:jc w:val="both"/>
      </w:pPr>
      <w:r w:rsidRPr="000C7D1E">
        <w:rPr>
          <w:b/>
          <w:bCs/>
        </w:rPr>
        <w:t>How our work differs &amp; value added</w:t>
      </w:r>
    </w:p>
    <w:p w14:paraId="791F20A9" w14:textId="77777777" w:rsidR="000C7D1E" w:rsidRPr="000C7D1E" w:rsidRDefault="000C7D1E" w:rsidP="000C7D1E">
      <w:pPr>
        <w:numPr>
          <w:ilvl w:val="0"/>
          <w:numId w:val="13"/>
        </w:numPr>
        <w:jc w:val="both"/>
      </w:pPr>
      <w:r w:rsidRPr="000C7D1E">
        <w:t xml:space="preserve">Many prior works evaluate detectors offline; we implement a </w:t>
      </w:r>
      <w:r w:rsidRPr="000C7D1E">
        <w:rPr>
          <w:b/>
          <w:bCs/>
        </w:rPr>
        <w:t>streaming composite detection engine</w:t>
      </w:r>
      <w:r w:rsidRPr="000C7D1E">
        <w:t xml:space="preserve"> that fuses semantic and lexical signals and couples them to policy actions and telemetry for accountability.</w:t>
      </w:r>
    </w:p>
    <w:p w14:paraId="3A34E0A4" w14:textId="77777777" w:rsidR="000C7D1E" w:rsidRPr="000C7D1E" w:rsidRDefault="000C7D1E" w:rsidP="000C7D1E">
      <w:pPr>
        <w:numPr>
          <w:ilvl w:val="0"/>
          <w:numId w:val="13"/>
        </w:numPr>
        <w:jc w:val="both"/>
      </w:pPr>
      <w:r w:rsidRPr="000C7D1E">
        <w:t>We also add pragmatic engineering choices from the Open-Source Tools analysis (e.g., conservative thresholds, graceful fallback to non-river detectors) to make the pipeline robust in limited environments (Colab / constrained compute).</w:t>
      </w:r>
    </w:p>
    <w:p w14:paraId="199AC720" w14:textId="77777777" w:rsidR="000C7D1E" w:rsidRPr="000C7D1E" w:rsidRDefault="000C7D1E" w:rsidP="000C7D1E">
      <w:pPr>
        <w:jc w:val="both"/>
      </w:pPr>
      <w:r w:rsidRPr="000C7D1E">
        <w:rPr>
          <w:b/>
          <w:bCs/>
        </w:rPr>
        <w:t>Citations:</w:t>
      </w:r>
      <w:r w:rsidRPr="000C7D1E">
        <w:t xml:space="preserve"> ADWIN &amp; Page-Hinkley (River); Gama survey; DriftWatch; Müller et al. benchmarks.</w:t>
      </w:r>
    </w:p>
    <w:p w14:paraId="3DA74AF7" w14:textId="77777777" w:rsidR="000C7D1E" w:rsidRPr="00250CBA" w:rsidRDefault="000C7D1E" w:rsidP="00EB1D84">
      <w:pPr>
        <w:jc w:val="both"/>
      </w:pPr>
    </w:p>
    <w:p w14:paraId="62776547" w14:textId="77777777" w:rsidR="00250CBA" w:rsidRDefault="00250CBA" w:rsidP="00250CBA">
      <w:pPr>
        <w:pStyle w:val="ListParagraph"/>
        <w:jc w:val="both"/>
      </w:pPr>
    </w:p>
    <w:p w14:paraId="46A712F6" w14:textId="77777777" w:rsidR="00250CBA" w:rsidRDefault="00250CBA" w:rsidP="000C7D1E">
      <w:pPr>
        <w:jc w:val="both"/>
      </w:pPr>
    </w:p>
    <w:p w14:paraId="3A1D1B57" w14:textId="77777777" w:rsidR="00A37FA0" w:rsidRDefault="00A37FA0" w:rsidP="000C7D1E">
      <w:pPr>
        <w:jc w:val="both"/>
      </w:pPr>
    </w:p>
    <w:p w14:paraId="0D5418D9" w14:textId="77777777" w:rsidR="00A37FA0" w:rsidRDefault="00A37FA0" w:rsidP="000C7D1E">
      <w:pPr>
        <w:jc w:val="both"/>
      </w:pPr>
    </w:p>
    <w:p w14:paraId="2812FBAA" w14:textId="77777777" w:rsidR="00A37FA0" w:rsidRDefault="00A37FA0" w:rsidP="000C7D1E">
      <w:pPr>
        <w:jc w:val="both"/>
      </w:pPr>
    </w:p>
    <w:p w14:paraId="62A73228" w14:textId="77777777" w:rsidR="00A37FA0" w:rsidRDefault="00A37FA0" w:rsidP="000C7D1E">
      <w:pPr>
        <w:jc w:val="both"/>
      </w:pPr>
    </w:p>
    <w:p w14:paraId="782E68D6" w14:textId="77777777" w:rsidR="000C7D1E" w:rsidRDefault="000C7D1E" w:rsidP="000C7D1E">
      <w:pPr>
        <w:jc w:val="both"/>
      </w:pPr>
    </w:p>
    <w:p w14:paraId="7402B1A1" w14:textId="77777777" w:rsidR="000C7D1E" w:rsidRPr="000C7D1E" w:rsidRDefault="000C7D1E" w:rsidP="000C7D1E">
      <w:pPr>
        <w:jc w:val="both"/>
        <w:rPr>
          <w:b/>
          <w:bCs/>
        </w:rPr>
      </w:pPr>
      <w:r w:rsidRPr="000C7D1E">
        <w:rPr>
          <w:b/>
          <w:bCs/>
        </w:rPr>
        <w:lastRenderedPageBreak/>
        <w:t>Step 5 — Policy &amp; Decision Manager</w:t>
      </w:r>
    </w:p>
    <w:p w14:paraId="26655F88" w14:textId="77777777" w:rsidR="000C7D1E" w:rsidRPr="000C7D1E" w:rsidRDefault="000C7D1E" w:rsidP="000C7D1E">
      <w:pPr>
        <w:jc w:val="both"/>
      </w:pPr>
      <w:r w:rsidRPr="000C7D1E">
        <w:rPr>
          <w:b/>
          <w:bCs/>
        </w:rPr>
        <w:t>Cell 6 (updated): convert detection outputs into actions using thresholds &amp; flags</w:t>
      </w:r>
    </w:p>
    <w:p w14:paraId="1A0EA991" w14:textId="77777777" w:rsidR="000C7D1E" w:rsidRPr="000C7D1E" w:rsidRDefault="000C7D1E" w:rsidP="000C7D1E">
      <w:pPr>
        <w:jc w:val="both"/>
      </w:pPr>
      <w:r w:rsidRPr="000C7D1E">
        <w:rPr>
          <w:b/>
          <w:bCs/>
        </w:rPr>
        <w:t>Purpose</w:t>
      </w:r>
      <w:r w:rsidRPr="000C7D1E">
        <w:br/>
        <w:t>Use composite scores + change detections to decide actions: warn, adapt prompt, trigger adapter training, or reroute.</w:t>
      </w:r>
    </w:p>
    <w:p w14:paraId="3F8BEC41" w14:textId="77777777" w:rsidR="000C7D1E" w:rsidRPr="000C7D1E" w:rsidRDefault="000C7D1E" w:rsidP="000C7D1E">
      <w:pPr>
        <w:jc w:val="both"/>
      </w:pPr>
      <w:r w:rsidRPr="000C7D1E">
        <w:rPr>
          <w:b/>
          <w:bCs/>
        </w:rPr>
        <w:t>Key references and pinpointed elements</w:t>
      </w:r>
    </w:p>
    <w:p w14:paraId="75F34583" w14:textId="42DCAFF5" w:rsidR="000C7D1E" w:rsidRPr="000C7D1E" w:rsidRDefault="000C7D1E" w:rsidP="000C7D1E">
      <w:pPr>
        <w:numPr>
          <w:ilvl w:val="0"/>
          <w:numId w:val="14"/>
        </w:numPr>
        <w:jc w:val="both"/>
      </w:pPr>
      <w:r w:rsidRPr="000C7D1E">
        <w:rPr>
          <w:b/>
          <w:bCs/>
        </w:rPr>
        <w:t>DriftWatch (NAACL 2024)</w:t>
      </w:r>
      <w:r w:rsidRPr="000C7D1E">
        <w:t xml:space="preserve">: advocates not only detecting but extracting representative drift examples and using tiered actions (sampling &amp; remediation) — this idea directly inspires our decision manager: warn vs adapt vs action. </w:t>
      </w:r>
    </w:p>
    <w:p w14:paraId="10BEB2DF" w14:textId="275730E2" w:rsidR="000C7D1E" w:rsidRPr="000C7D1E" w:rsidRDefault="000C7D1E" w:rsidP="000C7D1E">
      <w:pPr>
        <w:numPr>
          <w:ilvl w:val="0"/>
          <w:numId w:val="14"/>
        </w:numPr>
        <w:jc w:val="both"/>
      </w:pPr>
      <w:r w:rsidRPr="000C7D1E">
        <w:rPr>
          <w:b/>
          <w:bCs/>
        </w:rPr>
        <w:t>Hidden Technical Debt</w:t>
      </w:r>
      <w:r w:rsidRPr="000C7D1E">
        <w:t xml:space="preserve"> (Sculley et al., 2015): the need for decision logic to be auditable and reversible; we adopt policies requiring human escalation for high-impact changes. This motivation influences our human-in-the-loop thresholds and audit logging. </w:t>
      </w:r>
    </w:p>
    <w:p w14:paraId="7EE0C749" w14:textId="56FB10A3" w:rsidR="000C7D1E" w:rsidRPr="000C7D1E" w:rsidRDefault="000C7D1E" w:rsidP="000C7D1E">
      <w:pPr>
        <w:numPr>
          <w:ilvl w:val="0"/>
          <w:numId w:val="14"/>
        </w:numPr>
        <w:jc w:val="both"/>
      </w:pPr>
      <w:r w:rsidRPr="000C7D1E">
        <w:rPr>
          <w:b/>
          <w:bCs/>
        </w:rPr>
        <w:t>Open-source practices (Alibi-Detect + monitoring guides)</w:t>
      </w:r>
      <w:r w:rsidRPr="000C7D1E">
        <w:t xml:space="preserve">: show that alarms alone are not enough; policies should include sampling, alerting, and staged remediation. We adopt staged remediation policies (warn → adapt → action) similar to engineering best-practices. </w:t>
      </w:r>
    </w:p>
    <w:p w14:paraId="104A3728" w14:textId="77777777" w:rsidR="000C7D1E" w:rsidRPr="000C7D1E" w:rsidRDefault="000C7D1E" w:rsidP="000C7D1E">
      <w:pPr>
        <w:jc w:val="both"/>
      </w:pPr>
      <w:r w:rsidRPr="000C7D1E">
        <w:rPr>
          <w:b/>
          <w:bCs/>
        </w:rPr>
        <w:t>How we used/adapted these ideas</w:t>
      </w:r>
    </w:p>
    <w:p w14:paraId="0A32A1EC" w14:textId="77777777" w:rsidR="000C7D1E" w:rsidRPr="000C7D1E" w:rsidRDefault="000C7D1E" w:rsidP="000C7D1E">
      <w:pPr>
        <w:numPr>
          <w:ilvl w:val="0"/>
          <w:numId w:val="15"/>
        </w:numPr>
        <w:jc w:val="both"/>
      </w:pPr>
      <w:r w:rsidRPr="000C7D1E">
        <w:t>The Decision Manager enforces a staged policy: low composite → no action; medium → prompt-rewrite; high / ADWIN alarm → adapter trigger + reroute + human escalation. This staged approach mirrors DriftWatch recommendations and engineering best practices.</w:t>
      </w:r>
    </w:p>
    <w:p w14:paraId="537A8A8A" w14:textId="77777777" w:rsidR="000C7D1E" w:rsidRPr="000C7D1E" w:rsidRDefault="000C7D1E" w:rsidP="000C7D1E">
      <w:pPr>
        <w:jc w:val="both"/>
      </w:pPr>
      <w:r w:rsidRPr="000C7D1E">
        <w:rPr>
          <w:b/>
          <w:bCs/>
        </w:rPr>
        <w:t>How our work differs &amp; value added</w:t>
      </w:r>
    </w:p>
    <w:p w14:paraId="1F21A5A1" w14:textId="77777777" w:rsidR="000C7D1E" w:rsidRPr="000C7D1E" w:rsidRDefault="000C7D1E" w:rsidP="000C7D1E">
      <w:pPr>
        <w:numPr>
          <w:ilvl w:val="0"/>
          <w:numId w:val="16"/>
        </w:numPr>
        <w:jc w:val="both"/>
      </w:pPr>
      <w:r w:rsidRPr="000C7D1E">
        <w:t xml:space="preserve">Most academic papers stop at “detect drift”; we implement the </w:t>
      </w:r>
      <w:r w:rsidRPr="000C7D1E">
        <w:rPr>
          <w:i/>
          <w:iCs/>
        </w:rPr>
        <w:t>policy layer</w:t>
      </w:r>
      <w:r w:rsidRPr="000C7D1E">
        <w:t xml:space="preserve"> that maps detection to safe, governed actions and log those actions for audit. This is an operational contribution: automated decision-making plus human gatekeeping and explicit auditing.</w:t>
      </w:r>
    </w:p>
    <w:p w14:paraId="68DBCEA1" w14:textId="77777777" w:rsidR="000C7D1E" w:rsidRPr="000C7D1E" w:rsidRDefault="000C7D1E" w:rsidP="000C7D1E">
      <w:pPr>
        <w:jc w:val="both"/>
      </w:pPr>
      <w:r w:rsidRPr="000C7D1E">
        <w:rPr>
          <w:b/>
          <w:bCs/>
        </w:rPr>
        <w:t>Citations:</w:t>
      </w:r>
      <w:r w:rsidRPr="000C7D1E">
        <w:t xml:space="preserve"> DriftWatch; Sculley et al.; Alibi-Detect docs</w:t>
      </w:r>
    </w:p>
    <w:p w14:paraId="51443EB5" w14:textId="6D43A82B" w:rsidR="000C7D1E" w:rsidRPr="000C7D1E" w:rsidRDefault="00430DD7" w:rsidP="00430DD7">
      <w:r>
        <w:br w:type="page"/>
      </w:r>
      <w:r w:rsidR="000C7D1E" w:rsidRPr="000C7D1E">
        <w:rPr>
          <w:b/>
          <w:bCs/>
        </w:rPr>
        <w:lastRenderedPageBreak/>
        <w:t>Step 6 — Recovery Mechanisms</w:t>
      </w:r>
    </w:p>
    <w:p w14:paraId="42267A20" w14:textId="77777777" w:rsidR="000C7D1E" w:rsidRPr="000C7D1E" w:rsidRDefault="000C7D1E" w:rsidP="000C7D1E">
      <w:pPr>
        <w:jc w:val="both"/>
      </w:pPr>
      <w:r w:rsidRPr="000C7D1E">
        <w:rPr>
          <w:b/>
          <w:bCs/>
        </w:rPr>
        <w:t>Cell 7 (final robust): RecoveryManager with safe_infer &amp; telemetry logging</w:t>
      </w:r>
    </w:p>
    <w:p w14:paraId="5927E555" w14:textId="77777777" w:rsidR="000C7D1E" w:rsidRPr="000C7D1E" w:rsidRDefault="000C7D1E" w:rsidP="000C7D1E">
      <w:pPr>
        <w:jc w:val="both"/>
      </w:pPr>
      <w:r w:rsidRPr="000C7D1E">
        <w:rPr>
          <w:b/>
          <w:bCs/>
        </w:rPr>
        <w:t>Purpose</w:t>
      </w:r>
      <w:r w:rsidRPr="000C7D1E">
        <w:br/>
        <w:t>Execute policy actions: adaptive prompt rewrite, reroute to fallback/specialized model, human escalation, collect examples to replay buffer for adapter/LoRA training.</w:t>
      </w:r>
    </w:p>
    <w:p w14:paraId="6A95C132" w14:textId="77777777" w:rsidR="000C7D1E" w:rsidRPr="000C7D1E" w:rsidRDefault="000C7D1E" w:rsidP="000C7D1E">
      <w:pPr>
        <w:jc w:val="both"/>
      </w:pPr>
      <w:r w:rsidRPr="000C7D1E">
        <w:rPr>
          <w:b/>
          <w:bCs/>
        </w:rPr>
        <w:t>Key references and pinpointed elements</w:t>
      </w:r>
    </w:p>
    <w:p w14:paraId="0E219AC5" w14:textId="2A47BB47" w:rsidR="000C7D1E" w:rsidRPr="000C7D1E" w:rsidRDefault="000C7D1E" w:rsidP="000C7D1E">
      <w:pPr>
        <w:numPr>
          <w:ilvl w:val="0"/>
          <w:numId w:val="17"/>
        </w:numPr>
        <w:jc w:val="both"/>
      </w:pPr>
      <w:r w:rsidRPr="000C7D1E">
        <w:rPr>
          <w:b/>
          <w:bCs/>
        </w:rPr>
        <w:t>LoRA (Hu et al., 2021)</w:t>
      </w:r>
      <w:r w:rsidRPr="000C7D1E">
        <w:t xml:space="preserve"> and </w:t>
      </w:r>
      <w:r w:rsidRPr="000C7D1E">
        <w:rPr>
          <w:b/>
          <w:bCs/>
        </w:rPr>
        <w:t>LoRA+ (Hayou et al., 2024)</w:t>
      </w:r>
      <w:r w:rsidRPr="000C7D1E">
        <w:t xml:space="preserve">: motivate our use of parameter-efficient adapters for low-cost fine-tuning. We use LoRA-like adapters as the main automated adaptation mechanism when composite drift exceeds action thresholds. </w:t>
      </w:r>
    </w:p>
    <w:p w14:paraId="3A3B37DB" w14:textId="71AE5DDC" w:rsidR="000C7D1E" w:rsidRPr="000C7D1E" w:rsidRDefault="000C7D1E" w:rsidP="000C7D1E">
      <w:pPr>
        <w:numPr>
          <w:ilvl w:val="0"/>
          <w:numId w:val="17"/>
        </w:numPr>
        <w:jc w:val="both"/>
      </w:pPr>
      <w:r w:rsidRPr="000C7D1E">
        <w:rPr>
          <w:b/>
          <w:bCs/>
        </w:rPr>
        <w:t>Parameter-Efficient Fine-Tuning survey (2024)</w:t>
      </w:r>
      <w:r w:rsidRPr="000C7D1E">
        <w:t xml:space="preserve">: provides best practices on which PEFT methods are fastest and least prone to forgetting; we use its recommendations to choose LoRA/prompt-tuning variants and to size replay buffers. </w:t>
      </w:r>
    </w:p>
    <w:p w14:paraId="0CDAA08F" w14:textId="4953AE04" w:rsidR="000C7D1E" w:rsidRPr="000C7D1E" w:rsidRDefault="000C7D1E" w:rsidP="000C7D1E">
      <w:pPr>
        <w:numPr>
          <w:ilvl w:val="0"/>
          <w:numId w:val="17"/>
        </w:numPr>
        <w:jc w:val="both"/>
      </w:pPr>
      <w:r w:rsidRPr="000C7D1E">
        <w:rPr>
          <w:b/>
          <w:bCs/>
        </w:rPr>
        <w:t>DriftWatch</w:t>
      </w:r>
      <w:r w:rsidRPr="000C7D1E">
        <w:t xml:space="preserve">: suggests extracting representative examples for retraining; this forms the design for our replay buffer and simulated fine-tune triggers. </w:t>
      </w:r>
    </w:p>
    <w:p w14:paraId="3A4E32D1" w14:textId="77777777" w:rsidR="000C7D1E" w:rsidRPr="000C7D1E" w:rsidRDefault="000C7D1E" w:rsidP="000C7D1E">
      <w:pPr>
        <w:jc w:val="both"/>
      </w:pPr>
      <w:r w:rsidRPr="000C7D1E">
        <w:rPr>
          <w:b/>
          <w:bCs/>
        </w:rPr>
        <w:t>How we used/adapted these ideas</w:t>
      </w:r>
    </w:p>
    <w:p w14:paraId="65003D7C" w14:textId="77777777" w:rsidR="000C7D1E" w:rsidRPr="000C7D1E" w:rsidRDefault="000C7D1E" w:rsidP="000C7D1E">
      <w:pPr>
        <w:numPr>
          <w:ilvl w:val="0"/>
          <w:numId w:val="18"/>
        </w:numPr>
        <w:jc w:val="both"/>
      </w:pPr>
      <w:r w:rsidRPr="000C7D1E">
        <w:t>We design the RecoveryManager with multiple recovery actions ordered by cost and risk: (1) prompt-adaptation (fast), (2) prompt-tuning / prefix tuning (light), (3) LoRA adapter training (low-cost parameter updates), and (4) routing to specialized/fallback models or human escalation.</w:t>
      </w:r>
    </w:p>
    <w:p w14:paraId="5543BBC7" w14:textId="77777777" w:rsidR="000C7D1E" w:rsidRPr="000C7D1E" w:rsidRDefault="000C7D1E" w:rsidP="000C7D1E">
      <w:pPr>
        <w:numPr>
          <w:ilvl w:val="0"/>
          <w:numId w:val="18"/>
        </w:numPr>
        <w:jc w:val="both"/>
      </w:pPr>
      <w:r w:rsidRPr="000C7D1E">
        <w:t>We maintain a replay buffer of drifted cases and only trigger adapter retraining when enough high-quality drift examples are accumulated — following DriftWatch’s representative-sampling idea and the PEFT surveys’ recommendations to use replay to avoid forgetting.</w:t>
      </w:r>
    </w:p>
    <w:p w14:paraId="22879331" w14:textId="77777777" w:rsidR="000C7D1E" w:rsidRPr="000C7D1E" w:rsidRDefault="000C7D1E" w:rsidP="000C7D1E">
      <w:pPr>
        <w:jc w:val="both"/>
      </w:pPr>
      <w:r w:rsidRPr="000C7D1E">
        <w:rPr>
          <w:b/>
          <w:bCs/>
        </w:rPr>
        <w:t>How our work differs &amp; value added</w:t>
      </w:r>
    </w:p>
    <w:p w14:paraId="462686BB" w14:textId="4A3252BB" w:rsidR="000C7D1E" w:rsidRPr="000C7D1E" w:rsidRDefault="000C7D1E" w:rsidP="000C7D1E">
      <w:pPr>
        <w:numPr>
          <w:ilvl w:val="0"/>
          <w:numId w:val="19"/>
        </w:numPr>
        <w:jc w:val="both"/>
      </w:pPr>
      <w:r w:rsidRPr="000C7D1E">
        <w:t xml:space="preserve">While LoRA and related works show </w:t>
      </w:r>
      <w:r w:rsidRPr="000C7D1E">
        <w:rPr>
          <w:i/>
          <w:iCs/>
        </w:rPr>
        <w:t>how</w:t>
      </w:r>
      <w:r w:rsidRPr="000C7D1E">
        <w:t xml:space="preserve"> to adapt models efficiently, our contribution is integrating those techniques into an </w:t>
      </w:r>
      <w:r w:rsidRPr="000C7D1E">
        <w:rPr>
          <w:b/>
          <w:bCs/>
        </w:rPr>
        <w:t>automated recovery loop</w:t>
      </w:r>
      <w:r w:rsidRPr="000C7D1E">
        <w:t xml:space="preserve"> driven by production detectors and telemetry (including practical gating and auditability). We also provide conservative defaults and simulated-mode fallbacks that make this approach feasible in constrained environments (Collab, limited GPUs).</w:t>
      </w:r>
    </w:p>
    <w:p w14:paraId="4F0B9C29" w14:textId="77777777" w:rsidR="000C7D1E" w:rsidRPr="000C7D1E" w:rsidRDefault="000C7D1E" w:rsidP="000C7D1E">
      <w:pPr>
        <w:jc w:val="both"/>
      </w:pPr>
      <w:r w:rsidRPr="000C7D1E">
        <w:rPr>
          <w:b/>
          <w:bCs/>
        </w:rPr>
        <w:t>Citations:</w:t>
      </w:r>
      <w:r w:rsidRPr="000C7D1E">
        <w:t xml:space="preserve"> LoRA; LoRA+; PEFT survey; DriftWatch.</w:t>
      </w:r>
    </w:p>
    <w:p w14:paraId="68DEA8C2" w14:textId="48BEB957" w:rsidR="000C7D1E" w:rsidRDefault="000C7D1E" w:rsidP="00430DD7"/>
    <w:p w14:paraId="3EB6BD25" w14:textId="77777777" w:rsidR="00430DD7" w:rsidRDefault="00430DD7" w:rsidP="00430DD7"/>
    <w:p w14:paraId="57F278DE" w14:textId="77777777" w:rsidR="00430DD7" w:rsidRDefault="00430DD7" w:rsidP="00430DD7"/>
    <w:p w14:paraId="6CC53A23" w14:textId="77777777" w:rsidR="00430DD7" w:rsidRDefault="00430DD7" w:rsidP="00430DD7"/>
    <w:p w14:paraId="6E357E9A" w14:textId="77777777" w:rsidR="00430DD7" w:rsidRDefault="00430DD7" w:rsidP="00430DD7"/>
    <w:p w14:paraId="7DE8E985" w14:textId="77777777" w:rsidR="000C7D1E" w:rsidRDefault="000C7D1E" w:rsidP="000C7D1E">
      <w:pPr>
        <w:jc w:val="both"/>
      </w:pPr>
    </w:p>
    <w:p w14:paraId="71AF371C" w14:textId="77777777" w:rsidR="00A37FA0" w:rsidRDefault="00A37FA0" w:rsidP="000C7D1E">
      <w:pPr>
        <w:jc w:val="both"/>
      </w:pPr>
    </w:p>
    <w:p w14:paraId="23D9DA4C" w14:textId="77777777" w:rsidR="00A37FA0" w:rsidRDefault="00A37FA0" w:rsidP="000C7D1E">
      <w:pPr>
        <w:jc w:val="both"/>
      </w:pPr>
    </w:p>
    <w:p w14:paraId="2C3AD47F" w14:textId="77777777" w:rsidR="00A37FA0" w:rsidRDefault="00A37FA0" w:rsidP="000C7D1E">
      <w:pPr>
        <w:jc w:val="both"/>
      </w:pPr>
    </w:p>
    <w:p w14:paraId="03D0914B" w14:textId="77777777" w:rsidR="00A37FA0" w:rsidRDefault="00A37FA0" w:rsidP="000C7D1E">
      <w:pPr>
        <w:jc w:val="both"/>
      </w:pPr>
    </w:p>
    <w:p w14:paraId="27DF642D" w14:textId="77777777" w:rsidR="00A37FA0" w:rsidRDefault="00A37FA0" w:rsidP="000C7D1E">
      <w:pPr>
        <w:jc w:val="both"/>
      </w:pPr>
    </w:p>
    <w:p w14:paraId="02183294" w14:textId="77777777" w:rsidR="000C7D1E" w:rsidRDefault="000C7D1E" w:rsidP="000C7D1E">
      <w:pPr>
        <w:jc w:val="both"/>
      </w:pPr>
    </w:p>
    <w:p w14:paraId="65D29EF7" w14:textId="77777777" w:rsidR="000C7D1E" w:rsidRPr="000C7D1E" w:rsidRDefault="000C7D1E" w:rsidP="000C7D1E">
      <w:pPr>
        <w:jc w:val="both"/>
        <w:rPr>
          <w:b/>
          <w:bCs/>
        </w:rPr>
      </w:pPr>
      <w:r w:rsidRPr="000C7D1E">
        <w:rPr>
          <w:b/>
          <w:bCs/>
        </w:rPr>
        <w:lastRenderedPageBreak/>
        <w:t>Step 7 — Evaluation &amp; Governance</w:t>
      </w:r>
    </w:p>
    <w:p w14:paraId="5C294EE2" w14:textId="77777777" w:rsidR="000C7D1E" w:rsidRPr="000C7D1E" w:rsidRDefault="000C7D1E" w:rsidP="000C7D1E">
      <w:pPr>
        <w:jc w:val="both"/>
      </w:pPr>
      <w:r w:rsidRPr="000C7D1E">
        <w:rPr>
          <w:b/>
          <w:bCs/>
        </w:rPr>
        <w:t>Cell 8 (extended): evaluation plots, audit trail, synthetic-drift injection, retraining scheduler</w:t>
      </w:r>
    </w:p>
    <w:p w14:paraId="37C4162F" w14:textId="77777777" w:rsidR="000C7D1E" w:rsidRPr="000C7D1E" w:rsidRDefault="000C7D1E" w:rsidP="000C7D1E">
      <w:pPr>
        <w:jc w:val="both"/>
      </w:pPr>
      <w:r w:rsidRPr="000C7D1E">
        <w:rPr>
          <w:b/>
          <w:bCs/>
        </w:rPr>
        <w:t>Purpose</w:t>
      </w:r>
      <w:r w:rsidRPr="000C7D1E">
        <w:br/>
        <w:t>Provide empirical and audit evidence of detection &amp; recovery efficacy: detection latency, false positive/negative rates, impact on downstream metrics and cost/latency trade-offs.</w:t>
      </w:r>
    </w:p>
    <w:p w14:paraId="7893D9FE" w14:textId="77777777" w:rsidR="000C7D1E" w:rsidRPr="000C7D1E" w:rsidRDefault="000C7D1E" w:rsidP="000C7D1E">
      <w:pPr>
        <w:jc w:val="both"/>
      </w:pPr>
      <w:r w:rsidRPr="000C7D1E">
        <w:rPr>
          <w:b/>
          <w:bCs/>
        </w:rPr>
        <w:t>Key references and pinpointed elements</w:t>
      </w:r>
    </w:p>
    <w:p w14:paraId="5B1EEC11" w14:textId="755915BA" w:rsidR="000C7D1E" w:rsidRPr="000C7D1E" w:rsidRDefault="000C7D1E" w:rsidP="000C7D1E">
      <w:pPr>
        <w:numPr>
          <w:ilvl w:val="0"/>
          <w:numId w:val="20"/>
        </w:numPr>
        <w:jc w:val="both"/>
      </w:pPr>
      <w:r w:rsidRPr="000C7D1E">
        <w:rPr>
          <w:b/>
          <w:bCs/>
        </w:rPr>
        <w:t>Gama et al. (2014)</w:t>
      </w:r>
      <w:r w:rsidRPr="000C7D1E">
        <w:t xml:space="preserve">: evaluation methodology for concept drift algorithms — suggests measures like detection delay, false alarm rate, and recovery impact. These metrics guide our evaluation suite (detection latency, precision/recall, downstream accuracy). </w:t>
      </w:r>
    </w:p>
    <w:p w14:paraId="4C533FB0" w14:textId="75A38917" w:rsidR="000C7D1E" w:rsidRPr="000C7D1E" w:rsidRDefault="000C7D1E" w:rsidP="000C7D1E">
      <w:pPr>
        <w:numPr>
          <w:ilvl w:val="0"/>
          <w:numId w:val="20"/>
        </w:numPr>
        <w:jc w:val="both"/>
      </w:pPr>
      <w:r w:rsidRPr="000C7D1E">
        <w:rPr>
          <w:b/>
          <w:bCs/>
        </w:rPr>
        <w:t>Open-Source Drift Detection Tools in Action (Müller et al., 2024)</w:t>
      </w:r>
      <w:r w:rsidRPr="000C7D1E">
        <w:t xml:space="preserve">: provides empirical comparisons and emphasizes that realistic evaluation must include synthetic drift injection and end-to-end evaluation — we adopt their experimental design for the synthetic-drift generator and ablations. </w:t>
      </w:r>
    </w:p>
    <w:p w14:paraId="30BF11EA" w14:textId="1DCF2654" w:rsidR="000C7D1E" w:rsidRPr="000C7D1E" w:rsidRDefault="000C7D1E" w:rsidP="000C7D1E">
      <w:pPr>
        <w:numPr>
          <w:ilvl w:val="0"/>
          <w:numId w:val="20"/>
        </w:numPr>
        <w:jc w:val="both"/>
      </w:pPr>
      <w:r w:rsidRPr="000C7D1E">
        <w:rPr>
          <w:b/>
          <w:bCs/>
        </w:rPr>
        <w:t>DriftWatch (NAACL 2024)</w:t>
      </w:r>
      <w:r w:rsidRPr="000C7D1E">
        <w:t xml:space="preserve">: recommends representative-example extraction and using them to measure model degradation — we use that approach as our gold-standard testbed. </w:t>
      </w:r>
    </w:p>
    <w:p w14:paraId="2D1F02B8" w14:textId="2EFE1871" w:rsidR="000C7D1E" w:rsidRPr="000C7D1E" w:rsidRDefault="000C7D1E" w:rsidP="000C7D1E">
      <w:pPr>
        <w:numPr>
          <w:ilvl w:val="0"/>
          <w:numId w:val="20"/>
        </w:numPr>
        <w:jc w:val="both"/>
      </w:pPr>
      <w:r w:rsidRPr="000C7D1E">
        <w:rPr>
          <w:b/>
          <w:bCs/>
        </w:rPr>
        <w:t>Sculley et al.</w:t>
      </w:r>
      <w:r w:rsidRPr="000C7D1E">
        <w:t xml:space="preserve">: governance &amp; audit needs (recommend audit trail for each automated action). We implement telemetry-based audit trail and policies for human escalation. </w:t>
      </w:r>
    </w:p>
    <w:p w14:paraId="19B815FA" w14:textId="77777777" w:rsidR="000C7D1E" w:rsidRPr="000C7D1E" w:rsidRDefault="000C7D1E" w:rsidP="000C7D1E">
      <w:pPr>
        <w:jc w:val="both"/>
      </w:pPr>
      <w:r w:rsidRPr="000C7D1E">
        <w:rPr>
          <w:b/>
          <w:bCs/>
        </w:rPr>
        <w:t>How we used/adapted these ideas</w:t>
      </w:r>
    </w:p>
    <w:p w14:paraId="462FD616" w14:textId="453464A6" w:rsidR="000C7D1E" w:rsidRPr="000C7D1E" w:rsidRDefault="000C7D1E" w:rsidP="000C7D1E">
      <w:pPr>
        <w:numPr>
          <w:ilvl w:val="0"/>
          <w:numId w:val="21"/>
        </w:numPr>
        <w:jc w:val="both"/>
      </w:pPr>
      <w:r w:rsidRPr="000C7D1E">
        <w:t>Implement a structured evaluation pipeline with synthetic-drift injection (controlled slangs / domain shift), detection metrics (latency and accuracy of alarms), downstream task metrics (heuristic or task-specific), and operational metrics (latency/cost).</w:t>
      </w:r>
    </w:p>
    <w:p w14:paraId="3434E1A9" w14:textId="77777777" w:rsidR="000C7D1E" w:rsidRPr="000C7D1E" w:rsidRDefault="000C7D1E" w:rsidP="000C7D1E">
      <w:pPr>
        <w:numPr>
          <w:ilvl w:val="0"/>
          <w:numId w:val="21"/>
        </w:numPr>
        <w:jc w:val="both"/>
      </w:pPr>
      <w:r w:rsidRPr="000C7D1E">
        <w:t>The governance report collects audit logs, summarises recovery actions, and outputs a retraining schedule recommendation when drift is persistent.</w:t>
      </w:r>
    </w:p>
    <w:p w14:paraId="6BC1D7CD" w14:textId="77777777" w:rsidR="000C7D1E" w:rsidRPr="000C7D1E" w:rsidRDefault="000C7D1E" w:rsidP="000C7D1E">
      <w:pPr>
        <w:jc w:val="both"/>
      </w:pPr>
      <w:r w:rsidRPr="000C7D1E">
        <w:rPr>
          <w:b/>
          <w:bCs/>
        </w:rPr>
        <w:t>How our work differs &amp; value added</w:t>
      </w:r>
    </w:p>
    <w:p w14:paraId="0680B149" w14:textId="77777777" w:rsidR="000C7D1E" w:rsidRPr="000C7D1E" w:rsidRDefault="000C7D1E" w:rsidP="000C7D1E">
      <w:pPr>
        <w:numPr>
          <w:ilvl w:val="0"/>
          <w:numId w:val="22"/>
        </w:numPr>
        <w:jc w:val="both"/>
      </w:pPr>
      <w:r w:rsidRPr="000C7D1E">
        <w:t xml:space="preserve">Prior research often treats detection evaluation in isolation. We evaluate detection </w:t>
      </w:r>
      <w:r w:rsidRPr="000C7D1E">
        <w:rPr>
          <w:i/>
          <w:iCs/>
        </w:rPr>
        <w:t>and</w:t>
      </w:r>
      <w:r w:rsidRPr="000C7D1E">
        <w:t xml:space="preserve"> recovery </w:t>
      </w:r>
      <w:r w:rsidRPr="000C7D1E">
        <w:rPr>
          <w:i/>
          <w:iCs/>
        </w:rPr>
        <w:t>together</w:t>
      </w:r>
      <w:r w:rsidRPr="000C7D1E">
        <w:t xml:space="preserve"> in streaming settings and provide governance outputs (audit logs and retraining scheduler) to make the system actionable for operations teams. This operational focus is an applied but publishable contribution.</w:t>
      </w:r>
    </w:p>
    <w:p w14:paraId="121E00E2" w14:textId="77777777" w:rsidR="000C7D1E" w:rsidRPr="000C7D1E" w:rsidRDefault="000C7D1E" w:rsidP="000C7D1E">
      <w:pPr>
        <w:jc w:val="both"/>
      </w:pPr>
      <w:r w:rsidRPr="000C7D1E">
        <w:rPr>
          <w:b/>
          <w:bCs/>
        </w:rPr>
        <w:t>Citations:</w:t>
      </w:r>
      <w:r w:rsidRPr="000C7D1E">
        <w:t xml:space="preserve"> Gama et al.; Müller et al.; DriftWatch; Sculley et al.</w:t>
      </w:r>
    </w:p>
    <w:p w14:paraId="779440F9" w14:textId="25358F47" w:rsidR="000C7D1E" w:rsidRDefault="00430DD7" w:rsidP="00430DD7">
      <w:r>
        <w:br w:type="page"/>
      </w:r>
    </w:p>
    <w:p w14:paraId="6F5BAAB3" w14:textId="77777777" w:rsidR="000C7D1E" w:rsidRPr="000C7D1E" w:rsidRDefault="000C7D1E" w:rsidP="000C7D1E">
      <w:pPr>
        <w:jc w:val="both"/>
        <w:rPr>
          <w:b/>
          <w:bCs/>
        </w:rPr>
      </w:pPr>
      <w:r w:rsidRPr="000C7D1E">
        <w:rPr>
          <w:b/>
          <w:bCs/>
        </w:rPr>
        <w:lastRenderedPageBreak/>
        <w:t>Which paper justifies which pipeline step (quick map for report margins)</w:t>
      </w:r>
    </w:p>
    <w:p w14:paraId="2AB076F6" w14:textId="1C61FD36" w:rsidR="000C7D1E" w:rsidRPr="000C7D1E" w:rsidRDefault="000C7D1E" w:rsidP="000C7D1E">
      <w:pPr>
        <w:numPr>
          <w:ilvl w:val="0"/>
          <w:numId w:val="23"/>
        </w:numPr>
        <w:jc w:val="both"/>
      </w:pPr>
      <w:r w:rsidRPr="000C7D1E">
        <w:rPr>
          <w:b/>
          <w:bCs/>
        </w:rPr>
        <w:t>Inference Layer</w:t>
      </w:r>
      <w:r w:rsidRPr="000C7D1E">
        <w:t xml:space="preserve"> — engineering instrumentation guidance (Sculley et al.); adapter loading for runtime (LoRA). </w:t>
      </w:r>
    </w:p>
    <w:p w14:paraId="4ED07E6D" w14:textId="763BCBD8" w:rsidR="000C7D1E" w:rsidRPr="000C7D1E" w:rsidRDefault="000C7D1E" w:rsidP="000C7D1E">
      <w:pPr>
        <w:numPr>
          <w:ilvl w:val="0"/>
          <w:numId w:val="23"/>
        </w:numPr>
        <w:jc w:val="both"/>
      </w:pPr>
      <w:r w:rsidRPr="000C7D1E">
        <w:rPr>
          <w:b/>
          <w:bCs/>
        </w:rPr>
        <w:t>Telemetry &amp; Logging</w:t>
      </w:r>
      <w:r w:rsidRPr="000C7D1E">
        <w:t xml:space="preserve"> — Sculley et al.; monitoring guides (NVIDIA). </w:t>
      </w:r>
    </w:p>
    <w:p w14:paraId="2F8F0B3E" w14:textId="6F080564" w:rsidR="000C7D1E" w:rsidRPr="000C7D1E" w:rsidRDefault="000C7D1E" w:rsidP="000C7D1E">
      <w:pPr>
        <w:numPr>
          <w:ilvl w:val="0"/>
          <w:numId w:val="23"/>
        </w:numPr>
        <w:jc w:val="both"/>
      </w:pPr>
      <w:r w:rsidRPr="000C7D1E">
        <w:rPr>
          <w:b/>
          <w:bCs/>
        </w:rPr>
        <w:t>Monitoring Agents</w:t>
      </w:r>
      <w:r w:rsidRPr="000C7D1E">
        <w:t xml:space="preserve"> — DriftWatch recommendations (semantic + syntactic), embedding-drift literature, Alibi-Detect design. </w:t>
      </w:r>
    </w:p>
    <w:p w14:paraId="1DAF15BA" w14:textId="21C3CB23" w:rsidR="000C7D1E" w:rsidRPr="000C7D1E" w:rsidRDefault="000C7D1E" w:rsidP="000C7D1E">
      <w:pPr>
        <w:numPr>
          <w:ilvl w:val="0"/>
          <w:numId w:val="23"/>
        </w:numPr>
        <w:jc w:val="both"/>
      </w:pPr>
      <w:r w:rsidRPr="000C7D1E">
        <w:rPr>
          <w:b/>
          <w:bCs/>
        </w:rPr>
        <w:t>Drift Detection Engine</w:t>
      </w:r>
      <w:r w:rsidRPr="000C7D1E">
        <w:t xml:space="preserve"> — ADWIN / Page-Hinkley (River docs), Gama survey, DriftWatch ensemble approach. </w:t>
      </w:r>
    </w:p>
    <w:p w14:paraId="60E14FFE" w14:textId="6F54B04A" w:rsidR="000C7D1E" w:rsidRPr="000C7D1E" w:rsidRDefault="000C7D1E" w:rsidP="000C7D1E">
      <w:pPr>
        <w:numPr>
          <w:ilvl w:val="0"/>
          <w:numId w:val="23"/>
        </w:numPr>
        <w:jc w:val="both"/>
      </w:pPr>
      <w:r w:rsidRPr="000C7D1E">
        <w:rPr>
          <w:b/>
          <w:bCs/>
        </w:rPr>
        <w:t>Decision Manager</w:t>
      </w:r>
      <w:r w:rsidRPr="000C7D1E">
        <w:t xml:space="preserve"> — DriftWatch staged actions + engineering governance (Sculley). </w:t>
      </w:r>
    </w:p>
    <w:p w14:paraId="3EC6B1CB" w14:textId="1EFBF807" w:rsidR="000C7D1E" w:rsidRPr="000C7D1E" w:rsidRDefault="000C7D1E" w:rsidP="000C7D1E">
      <w:pPr>
        <w:numPr>
          <w:ilvl w:val="0"/>
          <w:numId w:val="23"/>
        </w:numPr>
        <w:jc w:val="both"/>
      </w:pPr>
      <w:r w:rsidRPr="000C7D1E">
        <w:rPr>
          <w:b/>
          <w:bCs/>
        </w:rPr>
        <w:t>Recovery Mechanisms</w:t>
      </w:r>
      <w:r w:rsidRPr="000C7D1E">
        <w:t xml:space="preserve"> — LoRA &amp; LoRA+ and PEFT surveys for adapter design &amp; training strategy. </w:t>
      </w:r>
    </w:p>
    <w:p w14:paraId="679F8F83" w14:textId="77777777" w:rsidR="000C7D1E" w:rsidRPr="000C7D1E" w:rsidRDefault="000C7D1E" w:rsidP="000C7D1E">
      <w:pPr>
        <w:numPr>
          <w:ilvl w:val="0"/>
          <w:numId w:val="23"/>
        </w:numPr>
        <w:jc w:val="both"/>
      </w:pPr>
      <w:r w:rsidRPr="000C7D1E">
        <w:rPr>
          <w:b/>
          <w:bCs/>
        </w:rPr>
        <w:t>Evaluation &amp; Governance</w:t>
      </w:r>
      <w:r w:rsidRPr="000C7D1E">
        <w:t xml:space="preserve"> — Gama et al. evaluation methodology, Open-source tools benchmarking (Müller), and DriftWatch example-based testing.</w:t>
      </w:r>
    </w:p>
    <w:p w14:paraId="722696EF" w14:textId="594AEB36" w:rsidR="000C7D1E" w:rsidRDefault="000C7D1E" w:rsidP="00A20D4F"/>
    <w:p w14:paraId="37D7DF70" w14:textId="77777777" w:rsidR="009C7F27" w:rsidRDefault="009C7F27" w:rsidP="00A20D4F"/>
    <w:p w14:paraId="74627A17" w14:textId="77777777" w:rsidR="009C7F27" w:rsidRDefault="009C7F27" w:rsidP="00A20D4F"/>
    <w:p w14:paraId="7C5474BA" w14:textId="77777777" w:rsidR="009C7F27" w:rsidRDefault="009C7F27" w:rsidP="00A20D4F"/>
    <w:p w14:paraId="0E3BBE34" w14:textId="77777777" w:rsidR="009C7F27" w:rsidRDefault="009C7F27" w:rsidP="00A20D4F"/>
    <w:p w14:paraId="087164AD" w14:textId="77777777" w:rsidR="009C7F27" w:rsidRDefault="009C7F27" w:rsidP="00A20D4F"/>
    <w:p w14:paraId="265B55BC" w14:textId="77777777" w:rsidR="009C7F27" w:rsidRDefault="009C7F27" w:rsidP="00A20D4F"/>
    <w:p w14:paraId="01BC5BC9" w14:textId="77777777" w:rsidR="009C7F27" w:rsidRDefault="009C7F27" w:rsidP="00A20D4F"/>
    <w:p w14:paraId="27AE7293" w14:textId="77777777" w:rsidR="009C7F27" w:rsidRDefault="009C7F27" w:rsidP="00A20D4F"/>
    <w:p w14:paraId="20205B1D" w14:textId="77777777" w:rsidR="009C7F27" w:rsidRDefault="009C7F27" w:rsidP="00A20D4F"/>
    <w:p w14:paraId="7B43A0BF" w14:textId="77777777" w:rsidR="009C7F27" w:rsidRDefault="009C7F27" w:rsidP="00A20D4F"/>
    <w:p w14:paraId="3D372877" w14:textId="77777777" w:rsidR="009C7F27" w:rsidRDefault="009C7F27" w:rsidP="00A20D4F"/>
    <w:p w14:paraId="24D475E7" w14:textId="77777777" w:rsidR="009C7F27" w:rsidRDefault="009C7F27" w:rsidP="00A20D4F"/>
    <w:p w14:paraId="12F8ED8E" w14:textId="77777777" w:rsidR="009C7F27" w:rsidRDefault="009C7F27" w:rsidP="00A20D4F"/>
    <w:p w14:paraId="0136F9F0" w14:textId="77777777" w:rsidR="009C7F27" w:rsidRDefault="009C7F27" w:rsidP="00A20D4F"/>
    <w:p w14:paraId="0459A218" w14:textId="77777777" w:rsidR="009C7F27" w:rsidRDefault="009C7F27" w:rsidP="00A20D4F"/>
    <w:p w14:paraId="4E0D473F" w14:textId="77777777" w:rsidR="009C7F27" w:rsidRDefault="009C7F27" w:rsidP="00A20D4F"/>
    <w:p w14:paraId="5384EAAB" w14:textId="77777777" w:rsidR="009C7F27" w:rsidRDefault="009C7F27" w:rsidP="00A20D4F"/>
    <w:p w14:paraId="78EBD647" w14:textId="77777777" w:rsidR="009C7F27" w:rsidRDefault="009C7F27" w:rsidP="00A20D4F"/>
    <w:p w14:paraId="2A83A3A6" w14:textId="77777777" w:rsidR="009C7F27" w:rsidRDefault="009C7F27" w:rsidP="00A20D4F"/>
    <w:p w14:paraId="3B187806" w14:textId="77777777" w:rsidR="009C7F27" w:rsidRDefault="009C7F27" w:rsidP="00A20D4F"/>
    <w:p w14:paraId="790FA156" w14:textId="77777777" w:rsidR="009C7F27" w:rsidRDefault="009C7F27" w:rsidP="00A20D4F"/>
    <w:p w14:paraId="34CD4C43" w14:textId="77777777" w:rsidR="009C7F27" w:rsidRDefault="009C7F27" w:rsidP="00A20D4F"/>
    <w:tbl>
      <w:tblPr>
        <w:tblStyle w:val="PlainTable1"/>
        <w:tblW w:w="0" w:type="auto"/>
        <w:tblLook w:val="04A0" w:firstRow="1" w:lastRow="0" w:firstColumn="1" w:lastColumn="0" w:noHBand="0" w:noVBand="1"/>
      </w:tblPr>
      <w:tblGrid>
        <w:gridCol w:w="4015"/>
        <w:gridCol w:w="3496"/>
        <w:gridCol w:w="2945"/>
      </w:tblGrid>
      <w:tr w:rsidR="009C7F27" w:rsidRPr="009C7F27" w14:paraId="1B08DD3C" w14:textId="77777777" w:rsidTr="009C7F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6F9DD" w14:textId="77777777" w:rsidR="009C7F27" w:rsidRPr="009C7F27" w:rsidRDefault="009C7F27" w:rsidP="009C7F27">
            <w:pPr>
              <w:spacing w:after="160" w:line="259" w:lineRule="auto"/>
            </w:pPr>
            <w:r w:rsidRPr="009C7F27">
              <w:lastRenderedPageBreak/>
              <w:t>Pipeline Step</w:t>
            </w:r>
          </w:p>
        </w:tc>
        <w:tc>
          <w:tcPr>
            <w:tcW w:w="0" w:type="auto"/>
            <w:hideMark/>
          </w:tcPr>
          <w:p w14:paraId="777C89BE" w14:textId="77777777" w:rsidR="009C7F27" w:rsidRPr="009C7F27" w:rsidRDefault="009C7F27" w:rsidP="009C7F27">
            <w:pPr>
              <w:spacing w:after="160" w:line="259" w:lineRule="auto"/>
              <w:cnfStyle w:val="100000000000" w:firstRow="1" w:lastRow="0" w:firstColumn="0" w:lastColumn="0" w:oddVBand="0" w:evenVBand="0" w:oddHBand="0" w:evenHBand="0" w:firstRowFirstColumn="0" w:firstRowLastColumn="0" w:lastRowFirstColumn="0" w:lastRowLastColumn="0"/>
            </w:pPr>
            <w:r w:rsidRPr="009C7F27">
              <w:t>Justifying Papers</w:t>
            </w:r>
          </w:p>
        </w:tc>
        <w:tc>
          <w:tcPr>
            <w:tcW w:w="0" w:type="auto"/>
            <w:hideMark/>
          </w:tcPr>
          <w:p w14:paraId="7FBD44E4" w14:textId="77777777" w:rsidR="009C7F27" w:rsidRPr="009C7F27" w:rsidRDefault="009C7F27" w:rsidP="009C7F27">
            <w:pPr>
              <w:spacing w:after="160" w:line="259" w:lineRule="auto"/>
              <w:cnfStyle w:val="100000000000" w:firstRow="1" w:lastRow="0" w:firstColumn="0" w:lastColumn="0" w:oddVBand="0" w:evenVBand="0" w:oddHBand="0" w:evenHBand="0" w:firstRowFirstColumn="0" w:firstRowLastColumn="0" w:lastRowFirstColumn="0" w:lastRowLastColumn="0"/>
            </w:pPr>
            <w:r w:rsidRPr="009C7F27">
              <w:t>Links</w:t>
            </w:r>
          </w:p>
        </w:tc>
      </w:tr>
      <w:tr w:rsidR="009C7F27" w:rsidRPr="009C7F27" w14:paraId="4D86BB93" w14:textId="77777777" w:rsidTr="009C7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C0AC2" w14:textId="77777777" w:rsidR="009C7F27" w:rsidRPr="009C7F27" w:rsidRDefault="009C7F27" w:rsidP="009C7F27">
            <w:pPr>
              <w:spacing w:after="160" w:line="259" w:lineRule="auto"/>
            </w:pPr>
            <w:r w:rsidRPr="009C7F27">
              <w:t>Step 1 — Inference LayerLoad primary/fallback LLM, stable API, telemetry.</w:t>
            </w:r>
          </w:p>
        </w:tc>
        <w:tc>
          <w:tcPr>
            <w:tcW w:w="0" w:type="auto"/>
            <w:hideMark/>
          </w:tcPr>
          <w:p w14:paraId="7E94FA97" w14:textId="77777777" w:rsidR="00C94D21"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xml:space="preserve">- Sculley et al., </w:t>
            </w:r>
            <w:r w:rsidRPr="009C7F27">
              <w:rPr>
                <w:i/>
                <w:iCs/>
              </w:rPr>
              <w:t>Hidden Technical Debt in ML Systems</w:t>
            </w:r>
            <w:r w:rsidRPr="009C7F27">
              <w:t xml:space="preserve"> (2015) — need for instrumentation and monitoring</w:t>
            </w:r>
          </w:p>
          <w:p w14:paraId="54D584A6" w14:textId="2EEDE485" w:rsidR="009C7F27" w:rsidRPr="009C7F27" w:rsidRDefault="00C94D21"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w:t>
            </w:r>
            <w:r w:rsidR="009C7F27" w:rsidRPr="009C7F27">
              <w:t xml:space="preserve"> Hu et al., </w:t>
            </w:r>
            <w:r w:rsidR="009C7F27" w:rsidRPr="009C7F27">
              <w:rPr>
                <w:i/>
                <w:iCs/>
              </w:rPr>
              <w:t>LoRA: Low-Rank Adaptation</w:t>
            </w:r>
            <w:r w:rsidR="009C7F27" w:rsidRPr="009C7F27">
              <w:t xml:space="preserve"> (2021) — adapters for lightweight model loading.</w:t>
            </w:r>
          </w:p>
        </w:tc>
        <w:tc>
          <w:tcPr>
            <w:tcW w:w="0" w:type="auto"/>
            <w:hideMark/>
          </w:tcPr>
          <w:p w14:paraId="1E4EBBC8" w14:textId="77777777" w:rsidR="009C7F27" w:rsidRPr="009C7F27"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hyperlink r:id="rId15" w:history="1">
              <w:r w:rsidRPr="009C7F27">
                <w:rPr>
                  <w:rStyle w:val="Hyperlink"/>
                </w:rPr>
                <w:t>Sculley et al., 2015</w:t>
              </w:r>
            </w:hyperlink>
            <w:hyperlink r:id="rId16" w:history="1">
              <w:r w:rsidRPr="009C7F27">
                <w:rPr>
                  <w:rStyle w:val="Hyperlink"/>
                </w:rPr>
                <w:t>LoRA, Hu et al., 2021</w:t>
              </w:r>
            </w:hyperlink>
          </w:p>
        </w:tc>
      </w:tr>
      <w:tr w:rsidR="009C7F27" w:rsidRPr="009C7F27" w14:paraId="6EEFEA3B" w14:textId="77777777" w:rsidTr="009C7F27">
        <w:tc>
          <w:tcPr>
            <w:cnfStyle w:val="001000000000" w:firstRow="0" w:lastRow="0" w:firstColumn="1" w:lastColumn="0" w:oddVBand="0" w:evenVBand="0" w:oddHBand="0" w:evenHBand="0" w:firstRowFirstColumn="0" w:firstRowLastColumn="0" w:lastRowFirstColumn="0" w:lastRowLastColumn="0"/>
            <w:tcW w:w="0" w:type="auto"/>
            <w:hideMark/>
          </w:tcPr>
          <w:p w14:paraId="44D6E106" w14:textId="77777777" w:rsidR="009C7F27" w:rsidRPr="009C7F27" w:rsidRDefault="009C7F27" w:rsidP="009C7F27">
            <w:pPr>
              <w:spacing w:after="160" w:line="259" w:lineRule="auto"/>
            </w:pPr>
            <w:r w:rsidRPr="009C7F27">
              <w:t>Step 2 — Telemetry &amp; LoggingStructured logs, latency, tokens, entropy.</w:t>
            </w:r>
          </w:p>
        </w:tc>
        <w:tc>
          <w:tcPr>
            <w:tcW w:w="0" w:type="auto"/>
            <w:hideMark/>
          </w:tcPr>
          <w:p w14:paraId="175424B0" w14:textId="77777777" w:rsidR="00C94D21"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xml:space="preserve">- Sculley et al., </w:t>
            </w:r>
            <w:r w:rsidRPr="009C7F27">
              <w:rPr>
                <w:i/>
                <w:iCs/>
              </w:rPr>
              <w:t>Hidden Technical Debt</w:t>
            </w:r>
            <w:r w:rsidRPr="009C7F27">
              <w:t xml:space="preserve"> (2015) — importance of logging data dependencies</w:t>
            </w:r>
          </w:p>
          <w:p w14:paraId="02838F3B" w14:textId="67496770" w:rsidR="009C7F27" w:rsidRPr="009C7F27" w:rsidRDefault="00C94D21"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w:t>
            </w:r>
            <w:r w:rsidR="009C7F27" w:rsidRPr="009C7F27">
              <w:t xml:space="preserve"> NVIDIA, </w:t>
            </w:r>
            <w:r w:rsidR="009C7F27" w:rsidRPr="009C7F27">
              <w:rPr>
                <w:i/>
                <w:iCs/>
              </w:rPr>
              <w:t>Guide to Monitoring ML Models in Production</w:t>
            </w:r>
            <w:r w:rsidR="009C7F27" w:rsidRPr="009C7F27">
              <w:t xml:space="preserve"> — practical metrics (latency, version, performance).</w:t>
            </w:r>
          </w:p>
        </w:tc>
        <w:tc>
          <w:tcPr>
            <w:tcW w:w="0" w:type="auto"/>
            <w:hideMark/>
          </w:tcPr>
          <w:p w14:paraId="16FDA0F6" w14:textId="77777777" w:rsidR="00407EA3" w:rsidRDefault="009C7F27" w:rsidP="00407EA3">
            <w:pPr>
              <w:spacing w:after="160" w:line="259" w:lineRule="auto"/>
              <w:cnfStyle w:val="000000000000" w:firstRow="0" w:lastRow="0" w:firstColumn="0" w:lastColumn="0" w:oddVBand="0" w:evenVBand="0" w:oddHBand="0" w:evenHBand="0" w:firstRowFirstColumn="0" w:firstRowLastColumn="0" w:lastRowFirstColumn="0" w:lastRowLastColumn="0"/>
            </w:pPr>
            <w:hyperlink r:id="rId17" w:history="1">
              <w:r w:rsidRPr="009C7F27">
                <w:rPr>
                  <w:rStyle w:val="Hyperlink"/>
                </w:rPr>
                <w:t xml:space="preserve"> 2015</w:t>
              </w:r>
            </w:hyperlink>
            <w:hyperlink r:id="rId18" w:history="1">
              <w:r w:rsidRPr="009C7F27">
                <w:rPr>
                  <w:rStyle w:val="Hyperlink"/>
                </w:rPr>
                <w:t>NVIDIA Monitoring Guide</w:t>
              </w:r>
            </w:hyperlink>
          </w:p>
          <w:p w14:paraId="0C1A7B11" w14:textId="061E0BB2" w:rsidR="00477CF1" w:rsidRPr="009C7F27" w:rsidRDefault="00477CF1" w:rsidP="00407EA3">
            <w:pPr>
              <w:cnfStyle w:val="000000000000" w:firstRow="0" w:lastRow="0" w:firstColumn="0" w:lastColumn="0" w:oddVBand="0" w:evenVBand="0" w:oddHBand="0" w:evenHBand="0" w:firstRowFirstColumn="0" w:firstRowLastColumn="0" w:lastRowFirstColumn="0" w:lastRowLastColumn="0"/>
            </w:pPr>
          </w:p>
        </w:tc>
      </w:tr>
      <w:tr w:rsidR="009C7F27" w:rsidRPr="009C7F27" w14:paraId="5BD6C3B6" w14:textId="77777777" w:rsidTr="009C7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9CCF8" w14:textId="77777777" w:rsidR="009C7F27" w:rsidRPr="009C7F27" w:rsidRDefault="009C7F27" w:rsidP="009C7F27">
            <w:pPr>
              <w:spacing w:after="160" w:line="259" w:lineRule="auto"/>
            </w:pPr>
            <w:r w:rsidRPr="009C7F27">
              <w:t>Step 3 — Monitoring AgentsEmbeddings, token distributions, language detection, heuristics.</w:t>
            </w:r>
          </w:p>
        </w:tc>
        <w:tc>
          <w:tcPr>
            <w:tcW w:w="0" w:type="auto"/>
            <w:hideMark/>
          </w:tcPr>
          <w:p w14:paraId="499D4B24" w14:textId="77777777" w:rsidR="00C94D21"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xml:space="preserve">- Jang et al., </w:t>
            </w:r>
            <w:r w:rsidRPr="009C7F27">
              <w:rPr>
                <w:i/>
                <w:iCs/>
              </w:rPr>
              <w:t>DriftWatch</w:t>
            </w:r>
            <w:r w:rsidRPr="009C7F27">
              <w:t xml:space="preserve"> (NAACL 2024) — combine semantic &amp; syntactic features for drift detection</w:t>
            </w:r>
          </w:p>
          <w:p w14:paraId="47F10947" w14:textId="77777777" w:rsidR="00C94D21"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xml:space="preserve">.- Feldhans &amp; Wilke, </w:t>
            </w:r>
            <w:r w:rsidRPr="009C7F27">
              <w:rPr>
                <w:i/>
                <w:iCs/>
              </w:rPr>
              <w:t>Embedding-based Drift Detection in Text</w:t>
            </w:r>
            <w:r w:rsidRPr="009C7F27">
              <w:t xml:space="preserve"> — embedding similarity for textual </w:t>
            </w:r>
            <w:r w:rsidR="00C94D21" w:rsidRPr="009C7F27">
              <w:t xml:space="preserve">drift. </w:t>
            </w:r>
          </w:p>
          <w:p w14:paraId="7E38EDE1" w14:textId="20285FD4" w:rsidR="009C7F27" w:rsidRPr="009C7F27" w:rsidRDefault="00C94D21"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w:t>
            </w:r>
            <w:r w:rsidR="009C7F27" w:rsidRPr="009C7F27">
              <w:t xml:space="preserve"> Alibi-Detect (Seldon) — feature extraction &amp; practical drift detection tools.</w:t>
            </w:r>
          </w:p>
        </w:tc>
        <w:tc>
          <w:tcPr>
            <w:tcW w:w="0" w:type="auto"/>
            <w:hideMark/>
          </w:tcPr>
          <w:p w14:paraId="690ABBE2" w14:textId="77777777" w:rsidR="009C7F27" w:rsidRPr="009C7F27"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hyperlink r:id="rId19" w:history="1">
              <w:r w:rsidRPr="009C7F27">
                <w:rPr>
                  <w:rStyle w:val="Hyperlink"/>
                </w:rPr>
                <w:t>DriftWatch, NAACL 2024</w:t>
              </w:r>
            </w:hyperlink>
            <w:hyperlink r:id="rId20" w:history="1">
              <w:r w:rsidRPr="009C7F27">
                <w:rPr>
                  <w:rStyle w:val="Hyperlink"/>
                </w:rPr>
                <w:t>Embedding Drift Paper</w:t>
              </w:r>
            </w:hyperlink>
            <w:r w:rsidRPr="009C7F27">
              <w:t xml:space="preserve"> </w:t>
            </w:r>
            <w:r w:rsidRPr="009C7F27">
              <w:rPr>
                <w:i/>
                <w:iCs/>
              </w:rPr>
              <w:t>(example link)</w:t>
            </w:r>
            <w:hyperlink r:id="rId21" w:history="1">
              <w:r w:rsidRPr="009C7F27">
                <w:rPr>
                  <w:rStyle w:val="Hyperlink"/>
                </w:rPr>
                <w:t>Alibi-Detect Docs</w:t>
              </w:r>
            </w:hyperlink>
          </w:p>
        </w:tc>
      </w:tr>
      <w:tr w:rsidR="009C7F27" w:rsidRPr="009C7F27" w14:paraId="57A09E25" w14:textId="77777777" w:rsidTr="009C7F27">
        <w:tc>
          <w:tcPr>
            <w:cnfStyle w:val="001000000000" w:firstRow="0" w:lastRow="0" w:firstColumn="1" w:lastColumn="0" w:oddVBand="0" w:evenVBand="0" w:oddHBand="0" w:evenHBand="0" w:firstRowFirstColumn="0" w:firstRowLastColumn="0" w:lastRowFirstColumn="0" w:lastRowLastColumn="0"/>
            <w:tcW w:w="0" w:type="auto"/>
            <w:hideMark/>
          </w:tcPr>
          <w:p w14:paraId="591F0B8F" w14:textId="77777777" w:rsidR="009C7F27" w:rsidRPr="009C7F27" w:rsidRDefault="009C7F27" w:rsidP="009C7F27">
            <w:pPr>
              <w:spacing w:after="160" w:line="259" w:lineRule="auto"/>
            </w:pPr>
            <w:r w:rsidRPr="009C7F27">
              <w:t>Step 4 — Drift Detection EngineEmbedding similarity, JS/KS divergence, ADWIN, Page-Hinkley, composite score.</w:t>
            </w:r>
          </w:p>
        </w:tc>
        <w:tc>
          <w:tcPr>
            <w:tcW w:w="0" w:type="auto"/>
            <w:hideMark/>
          </w:tcPr>
          <w:p w14:paraId="65FBE7EA" w14:textId="77777777" w:rsidR="00C94D21"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xml:space="preserve">- Gama et al., </w:t>
            </w:r>
            <w:r w:rsidRPr="009C7F27">
              <w:rPr>
                <w:i/>
                <w:iCs/>
              </w:rPr>
              <w:t>Survey on Concept Drift Adaptation</w:t>
            </w:r>
            <w:r w:rsidRPr="009C7F27">
              <w:t xml:space="preserve"> (2014) — taxonomy of drift types &amp; detectors.</w:t>
            </w:r>
          </w:p>
          <w:p w14:paraId="7F59A3D8" w14:textId="77777777" w:rsidR="00C94D21"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River Docs (ADWIN, Page-Hinkley) — streaming drift detection methods</w:t>
            </w:r>
          </w:p>
          <w:p w14:paraId="7C598FBB" w14:textId="629FA21E" w:rsidR="00C94D21" w:rsidRDefault="00C94D21"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w:t>
            </w:r>
            <w:r w:rsidR="009C7F27" w:rsidRPr="009C7F27">
              <w:t xml:space="preserve"> Jang et al., </w:t>
            </w:r>
            <w:r w:rsidR="009C7F27" w:rsidRPr="009C7F27">
              <w:rPr>
                <w:i/>
                <w:iCs/>
              </w:rPr>
              <w:t>DriftWatch</w:t>
            </w:r>
            <w:r w:rsidR="009C7F27" w:rsidRPr="009C7F27">
              <w:t xml:space="preserve"> (2024) — ensemble of semantic + lexical detectors</w:t>
            </w:r>
          </w:p>
          <w:p w14:paraId="170B631D" w14:textId="52EC8C43" w:rsidR="009C7F27" w:rsidRPr="009C7F27" w:rsidRDefault="00C94D21"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w:t>
            </w:r>
            <w:r w:rsidR="009C7F27" w:rsidRPr="009C7F27">
              <w:t xml:space="preserve"> Müller et al., </w:t>
            </w:r>
            <w:r w:rsidR="009C7F27" w:rsidRPr="009C7F27">
              <w:rPr>
                <w:i/>
                <w:iCs/>
              </w:rPr>
              <w:t>Open-Source Drift Detection Tools in Action</w:t>
            </w:r>
            <w:r w:rsidR="009C7F27" w:rsidRPr="009C7F27">
              <w:t xml:space="preserve"> (2024) — benchmarking and limitations of detectors.</w:t>
            </w:r>
          </w:p>
        </w:tc>
        <w:tc>
          <w:tcPr>
            <w:tcW w:w="0" w:type="auto"/>
            <w:hideMark/>
          </w:tcPr>
          <w:p w14:paraId="2AE6142C" w14:textId="77777777" w:rsidR="009C7F27" w:rsidRPr="009C7F27"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hyperlink r:id="rId22" w:history="1">
              <w:r w:rsidRPr="009C7F27">
                <w:rPr>
                  <w:rStyle w:val="Hyperlink"/>
                </w:rPr>
                <w:t>Gama et al., 2014</w:t>
              </w:r>
            </w:hyperlink>
            <w:hyperlink r:id="rId23" w:history="1">
              <w:r w:rsidRPr="009C7F27">
                <w:rPr>
                  <w:rStyle w:val="Hyperlink"/>
                </w:rPr>
                <w:t>River Docs</w:t>
              </w:r>
            </w:hyperlink>
            <w:hyperlink r:id="rId24" w:history="1">
              <w:r w:rsidRPr="009C7F27">
                <w:rPr>
                  <w:rStyle w:val="Hyperlink"/>
                </w:rPr>
                <w:t>DriftWatch, 2024</w:t>
              </w:r>
            </w:hyperlink>
            <w:hyperlink r:id="rId25" w:history="1">
              <w:r w:rsidRPr="009C7F27">
                <w:rPr>
                  <w:rStyle w:val="Hyperlink"/>
                </w:rPr>
                <w:t>Müller et al., 2024</w:t>
              </w:r>
            </w:hyperlink>
          </w:p>
        </w:tc>
      </w:tr>
      <w:tr w:rsidR="009C7F27" w:rsidRPr="009C7F27" w14:paraId="1106CC5C" w14:textId="77777777" w:rsidTr="009C7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FDA31" w14:textId="77777777" w:rsidR="009C7F27" w:rsidRPr="009C7F27" w:rsidRDefault="009C7F27" w:rsidP="009C7F27">
            <w:pPr>
              <w:spacing w:after="160" w:line="259" w:lineRule="auto"/>
            </w:pPr>
            <w:r w:rsidRPr="009C7F27">
              <w:t>Step 5 — Policy &amp; Decision ManagerThresholds, warnings, staged actions.</w:t>
            </w:r>
          </w:p>
        </w:tc>
        <w:tc>
          <w:tcPr>
            <w:tcW w:w="0" w:type="auto"/>
            <w:hideMark/>
          </w:tcPr>
          <w:p w14:paraId="0CF063C3" w14:textId="77777777" w:rsidR="00C94D21"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xml:space="preserve">- Jang et al., </w:t>
            </w:r>
            <w:r w:rsidRPr="009C7F27">
              <w:rPr>
                <w:i/>
                <w:iCs/>
              </w:rPr>
              <w:t>DriftWatch</w:t>
            </w:r>
            <w:r w:rsidRPr="009C7F27">
              <w:t xml:space="preserve"> (2024) — staged actions and example extraction</w:t>
            </w:r>
          </w:p>
          <w:p w14:paraId="26A242FB" w14:textId="77777777" w:rsidR="00C94D21" w:rsidRDefault="00C94D21"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lastRenderedPageBreak/>
              <w:t>. -</w:t>
            </w:r>
            <w:r w:rsidR="009C7F27" w:rsidRPr="009C7F27">
              <w:t xml:space="preserve"> Sculley et al., </w:t>
            </w:r>
            <w:r w:rsidR="009C7F27" w:rsidRPr="009C7F27">
              <w:rPr>
                <w:i/>
                <w:iCs/>
              </w:rPr>
              <w:t>Hidden Technical Debt</w:t>
            </w:r>
            <w:r w:rsidR="009C7F27" w:rsidRPr="009C7F27">
              <w:t xml:space="preserve"> (2015) — governance and human-in-loop principles.</w:t>
            </w:r>
          </w:p>
          <w:p w14:paraId="71C26117" w14:textId="46C24A1E" w:rsidR="009C7F27" w:rsidRPr="009C7F27"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Alibi-Detect Docs — alarm-based decision triggers.</w:t>
            </w:r>
          </w:p>
        </w:tc>
        <w:tc>
          <w:tcPr>
            <w:tcW w:w="0" w:type="auto"/>
            <w:hideMark/>
          </w:tcPr>
          <w:p w14:paraId="4913A0A6" w14:textId="77777777" w:rsidR="009C7F27" w:rsidRPr="009C7F27"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hyperlink r:id="rId26" w:history="1">
              <w:r w:rsidRPr="009C7F27">
                <w:rPr>
                  <w:rStyle w:val="Hyperlink"/>
                </w:rPr>
                <w:t>DriftWatch, 2024</w:t>
              </w:r>
            </w:hyperlink>
            <w:hyperlink r:id="rId27" w:history="1">
              <w:r w:rsidRPr="009C7F27">
                <w:rPr>
                  <w:rStyle w:val="Hyperlink"/>
                </w:rPr>
                <w:t>Sculley et al., 2015</w:t>
              </w:r>
            </w:hyperlink>
            <w:hyperlink r:id="rId28" w:history="1">
              <w:r w:rsidRPr="009C7F27">
                <w:rPr>
                  <w:rStyle w:val="Hyperlink"/>
                </w:rPr>
                <w:t>Alibi-Detect Docs</w:t>
              </w:r>
            </w:hyperlink>
          </w:p>
        </w:tc>
      </w:tr>
      <w:tr w:rsidR="009C7F27" w:rsidRPr="009C7F27" w14:paraId="54367E02" w14:textId="77777777" w:rsidTr="009C7F27">
        <w:tc>
          <w:tcPr>
            <w:cnfStyle w:val="001000000000" w:firstRow="0" w:lastRow="0" w:firstColumn="1" w:lastColumn="0" w:oddVBand="0" w:evenVBand="0" w:oddHBand="0" w:evenHBand="0" w:firstRowFirstColumn="0" w:firstRowLastColumn="0" w:lastRowFirstColumn="0" w:lastRowLastColumn="0"/>
            <w:tcW w:w="0" w:type="auto"/>
            <w:hideMark/>
          </w:tcPr>
          <w:p w14:paraId="4CDAA6E9" w14:textId="77777777" w:rsidR="009C7F27" w:rsidRPr="009C7F27" w:rsidRDefault="009C7F27" w:rsidP="009C7F27">
            <w:pPr>
              <w:spacing w:after="160" w:line="259" w:lineRule="auto"/>
            </w:pPr>
            <w:r w:rsidRPr="009C7F27">
              <w:t>Step 6 — Recovery MechanismsPrompt rewrites, rerouting, adapters, replay buffer, fine-tuning.</w:t>
            </w:r>
          </w:p>
        </w:tc>
        <w:tc>
          <w:tcPr>
            <w:tcW w:w="0" w:type="auto"/>
            <w:hideMark/>
          </w:tcPr>
          <w:p w14:paraId="56D6B43E" w14:textId="77777777" w:rsidR="00C94D21"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xml:space="preserve">- Hu et al., </w:t>
            </w:r>
            <w:r w:rsidRPr="009C7F27">
              <w:rPr>
                <w:i/>
                <w:iCs/>
              </w:rPr>
              <w:t>LoRA</w:t>
            </w:r>
            <w:r w:rsidRPr="009C7F27">
              <w:t xml:space="preserve"> (2021) — lightweight adapter training.</w:t>
            </w:r>
          </w:p>
          <w:p w14:paraId="37A4D897" w14:textId="77777777" w:rsidR="00C94D21"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xml:space="preserve">- Hayou et al., </w:t>
            </w:r>
            <w:r w:rsidRPr="009C7F27">
              <w:rPr>
                <w:i/>
                <w:iCs/>
              </w:rPr>
              <w:t>LoRA+</w:t>
            </w:r>
            <w:r w:rsidRPr="009C7F27">
              <w:t xml:space="preserve"> (2024) — improved fine-tuning efficiency.</w:t>
            </w:r>
          </w:p>
          <w:p w14:paraId="447FE5B1" w14:textId="77777777" w:rsidR="00C94D21"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xml:space="preserve">- Han et al., </w:t>
            </w:r>
            <w:r w:rsidRPr="009C7F27">
              <w:rPr>
                <w:i/>
                <w:iCs/>
              </w:rPr>
              <w:t>PEFT Survey</w:t>
            </w:r>
            <w:r w:rsidRPr="009C7F27">
              <w:t xml:space="preserve"> (2024) — parameter-efficient tuning strategies.</w:t>
            </w:r>
          </w:p>
          <w:p w14:paraId="7B42090A" w14:textId="4A15E1AF" w:rsidR="009C7F27" w:rsidRPr="009C7F27"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r w:rsidRPr="009C7F27">
              <w:t xml:space="preserve">- Jang et al., </w:t>
            </w:r>
            <w:r w:rsidRPr="009C7F27">
              <w:rPr>
                <w:i/>
                <w:iCs/>
              </w:rPr>
              <w:t>DriftWatch</w:t>
            </w:r>
            <w:r w:rsidRPr="009C7F27">
              <w:t xml:space="preserve"> (2024) — representative example collection for retraining.</w:t>
            </w:r>
          </w:p>
        </w:tc>
        <w:tc>
          <w:tcPr>
            <w:tcW w:w="0" w:type="auto"/>
            <w:hideMark/>
          </w:tcPr>
          <w:p w14:paraId="2F61C104" w14:textId="77777777" w:rsidR="009C7F27" w:rsidRPr="009C7F27" w:rsidRDefault="009C7F27" w:rsidP="009C7F27">
            <w:pPr>
              <w:spacing w:after="160" w:line="259" w:lineRule="auto"/>
              <w:cnfStyle w:val="000000000000" w:firstRow="0" w:lastRow="0" w:firstColumn="0" w:lastColumn="0" w:oddVBand="0" w:evenVBand="0" w:oddHBand="0" w:evenHBand="0" w:firstRowFirstColumn="0" w:firstRowLastColumn="0" w:lastRowFirstColumn="0" w:lastRowLastColumn="0"/>
            </w:pPr>
            <w:hyperlink r:id="rId29" w:history="1">
              <w:r w:rsidRPr="009C7F27">
                <w:rPr>
                  <w:rStyle w:val="Hyperlink"/>
                </w:rPr>
                <w:t>LoRA, 2021</w:t>
              </w:r>
            </w:hyperlink>
            <w:hyperlink r:id="rId30" w:history="1">
              <w:r w:rsidRPr="009C7F27">
                <w:rPr>
                  <w:rStyle w:val="Hyperlink"/>
                </w:rPr>
                <w:t>LoRA+, 2024</w:t>
              </w:r>
            </w:hyperlink>
            <w:hyperlink r:id="rId31" w:history="1">
              <w:r w:rsidRPr="009C7F27">
                <w:rPr>
                  <w:rStyle w:val="Hyperlink"/>
                </w:rPr>
                <w:t>PEFT Survey, 2024</w:t>
              </w:r>
            </w:hyperlink>
            <w:hyperlink r:id="rId32" w:history="1">
              <w:r w:rsidRPr="009C7F27">
                <w:rPr>
                  <w:rStyle w:val="Hyperlink"/>
                </w:rPr>
                <w:t>DriftWatch, 2024</w:t>
              </w:r>
            </w:hyperlink>
          </w:p>
        </w:tc>
      </w:tr>
      <w:tr w:rsidR="009C7F27" w:rsidRPr="009C7F27" w14:paraId="3A8102E5" w14:textId="77777777" w:rsidTr="009C7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CFE79" w14:textId="77777777" w:rsidR="009C7F27" w:rsidRPr="009C7F27" w:rsidRDefault="009C7F27" w:rsidP="009C7F27">
            <w:pPr>
              <w:spacing w:after="160" w:line="259" w:lineRule="auto"/>
            </w:pPr>
            <w:r w:rsidRPr="009C7F27">
              <w:t>Step 7 — Evaluation &amp; GovernancePlots, audit trail, synthetic drift injection, retraining schedule.</w:t>
            </w:r>
          </w:p>
        </w:tc>
        <w:tc>
          <w:tcPr>
            <w:tcW w:w="0" w:type="auto"/>
            <w:hideMark/>
          </w:tcPr>
          <w:p w14:paraId="6240EB0C" w14:textId="77777777" w:rsidR="00C94D21"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xml:space="preserve">- Gama et al., </w:t>
            </w:r>
            <w:r w:rsidRPr="009C7F27">
              <w:rPr>
                <w:i/>
                <w:iCs/>
              </w:rPr>
              <w:t>Survey on Concept Drift</w:t>
            </w:r>
            <w:r w:rsidRPr="009C7F27">
              <w:t xml:space="preserve"> (2014) — evaluation metrics for drift detectors (latency, false alarms)</w:t>
            </w:r>
          </w:p>
          <w:p w14:paraId="0639E7E8" w14:textId="77777777" w:rsidR="00C94D21"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xml:space="preserve">.- Müller et al., </w:t>
            </w:r>
            <w:r w:rsidRPr="009C7F27">
              <w:rPr>
                <w:i/>
                <w:iCs/>
              </w:rPr>
              <w:t>Open-Source Drift Detection Tools in Action</w:t>
            </w:r>
            <w:r w:rsidRPr="009C7F27">
              <w:t xml:space="preserve"> (2024) — benchmarking with synthetic drift injection</w:t>
            </w:r>
          </w:p>
          <w:p w14:paraId="0307FEAB" w14:textId="77777777" w:rsidR="00C94D21"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xml:space="preserve">.- Jang et al., </w:t>
            </w:r>
            <w:r w:rsidRPr="009C7F27">
              <w:rPr>
                <w:i/>
                <w:iCs/>
              </w:rPr>
              <w:t>DriftWatch</w:t>
            </w:r>
            <w:r w:rsidRPr="009C7F27">
              <w:t xml:space="preserve"> (2024) — measuring degradation and recovery</w:t>
            </w:r>
          </w:p>
          <w:p w14:paraId="410B4970" w14:textId="76826274" w:rsidR="009C7F27" w:rsidRPr="009C7F27"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r w:rsidRPr="009C7F27">
              <w:t xml:space="preserve">.- Sculley et al., </w:t>
            </w:r>
            <w:r w:rsidRPr="009C7F27">
              <w:rPr>
                <w:i/>
                <w:iCs/>
              </w:rPr>
              <w:t>Hidden Technical Debt</w:t>
            </w:r>
            <w:r w:rsidRPr="009C7F27">
              <w:t xml:space="preserve"> (2015) — auditability and governance.</w:t>
            </w:r>
          </w:p>
        </w:tc>
        <w:tc>
          <w:tcPr>
            <w:tcW w:w="0" w:type="auto"/>
            <w:hideMark/>
          </w:tcPr>
          <w:p w14:paraId="690D3396" w14:textId="77777777" w:rsidR="009C7F27" w:rsidRPr="009C7F27" w:rsidRDefault="009C7F27" w:rsidP="009C7F27">
            <w:pPr>
              <w:spacing w:after="160" w:line="259" w:lineRule="auto"/>
              <w:cnfStyle w:val="000000100000" w:firstRow="0" w:lastRow="0" w:firstColumn="0" w:lastColumn="0" w:oddVBand="0" w:evenVBand="0" w:oddHBand="1" w:evenHBand="0" w:firstRowFirstColumn="0" w:firstRowLastColumn="0" w:lastRowFirstColumn="0" w:lastRowLastColumn="0"/>
            </w:pPr>
            <w:hyperlink r:id="rId33" w:history="1">
              <w:r w:rsidRPr="009C7F27">
                <w:rPr>
                  <w:rStyle w:val="Hyperlink"/>
                </w:rPr>
                <w:t>Gama et al., 2014</w:t>
              </w:r>
            </w:hyperlink>
            <w:hyperlink r:id="rId34" w:history="1">
              <w:r w:rsidRPr="009C7F27">
                <w:rPr>
                  <w:rStyle w:val="Hyperlink"/>
                </w:rPr>
                <w:t>Müller et al., 2024</w:t>
              </w:r>
            </w:hyperlink>
            <w:hyperlink r:id="rId35" w:history="1">
              <w:r w:rsidRPr="009C7F27">
                <w:rPr>
                  <w:rStyle w:val="Hyperlink"/>
                </w:rPr>
                <w:t>DriftWatch, 2024</w:t>
              </w:r>
            </w:hyperlink>
            <w:hyperlink r:id="rId36" w:history="1">
              <w:r w:rsidRPr="009C7F27">
                <w:rPr>
                  <w:rStyle w:val="Hyperlink"/>
                </w:rPr>
                <w:t>Sculley et al., 2015</w:t>
              </w:r>
            </w:hyperlink>
          </w:p>
        </w:tc>
      </w:tr>
    </w:tbl>
    <w:p w14:paraId="1235DA23" w14:textId="77777777" w:rsidR="009C7F27" w:rsidRPr="00250CBA" w:rsidRDefault="009C7F27" w:rsidP="00A20D4F"/>
    <w:sectPr w:rsidR="009C7F27" w:rsidRPr="00250CBA" w:rsidSect="00A37F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286C"/>
    <w:multiLevelType w:val="multilevel"/>
    <w:tmpl w:val="CB6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5DA7"/>
    <w:multiLevelType w:val="multilevel"/>
    <w:tmpl w:val="5314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64409"/>
    <w:multiLevelType w:val="multilevel"/>
    <w:tmpl w:val="AD5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B24E8"/>
    <w:multiLevelType w:val="multilevel"/>
    <w:tmpl w:val="019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5646B"/>
    <w:multiLevelType w:val="multilevel"/>
    <w:tmpl w:val="6AE4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D5FDC"/>
    <w:multiLevelType w:val="multilevel"/>
    <w:tmpl w:val="6A8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D0FFB"/>
    <w:multiLevelType w:val="multilevel"/>
    <w:tmpl w:val="6E1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23BFB"/>
    <w:multiLevelType w:val="multilevel"/>
    <w:tmpl w:val="98A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B1697"/>
    <w:multiLevelType w:val="multilevel"/>
    <w:tmpl w:val="C3E4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C6C5B"/>
    <w:multiLevelType w:val="multilevel"/>
    <w:tmpl w:val="554E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97E62"/>
    <w:multiLevelType w:val="multilevel"/>
    <w:tmpl w:val="A18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A31E0"/>
    <w:multiLevelType w:val="multilevel"/>
    <w:tmpl w:val="318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D5652"/>
    <w:multiLevelType w:val="multilevel"/>
    <w:tmpl w:val="BBB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8670F"/>
    <w:multiLevelType w:val="multilevel"/>
    <w:tmpl w:val="DC7A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63EFC"/>
    <w:multiLevelType w:val="hybridMultilevel"/>
    <w:tmpl w:val="66728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8F6CE4"/>
    <w:multiLevelType w:val="multilevel"/>
    <w:tmpl w:val="5EE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C74FC"/>
    <w:multiLevelType w:val="multilevel"/>
    <w:tmpl w:val="819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F5D35"/>
    <w:multiLevelType w:val="multilevel"/>
    <w:tmpl w:val="2E6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74646"/>
    <w:multiLevelType w:val="multilevel"/>
    <w:tmpl w:val="7652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21609"/>
    <w:multiLevelType w:val="multilevel"/>
    <w:tmpl w:val="FA74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30443"/>
    <w:multiLevelType w:val="multilevel"/>
    <w:tmpl w:val="6EC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B10AF"/>
    <w:multiLevelType w:val="multilevel"/>
    <w:tmpl w:val="55B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C2667"/>
    <w:multiLevelType w:val="multilevel"/>
    <w:tmpl w:val="CEA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239861">
    <w:abstractNumId w:val="14"/>
  </w:num>
  <w:num w:numId="2" w16cid:durableId="1088690925">
    <w:abstractNumId w:val="11"/>
  </w:num>
  <w:num w:numId="3" w16cid:durableId="289014601">
    <w:abstractNumId w:val="9"/>
  </w:num>
  <w:num w:numId="4" w16cid:durableId="1966110713">
    <w:abstractNumId w:val="7"/>
  </w:num>
  <w:num w:numId="5" w16cid:durableId="2125420528">
    <w:abstractNumId w:val="8"/>
  </w:num>
  <w:num w:numId="6" w16cid:durableId="1303802854">
    <w:abstractNumId w:val="17"/>
  </w:num>
  <w:num w:numId="7" w16cid:durableId="119418484">
    <w:abstractNumId w:val="3"/>
  </w:num>
  <w:num w:numId="8" w16cid:durableId="1377387451">
    <w:abstractNumId w:val="0"/>
  </w:num>
  <w:num w:numId="9" w16cid:durableId="685908038">
    <w:abstractNumId w:val="6"/>
  </w:num>
  <w:num w:numId="10" w16cid:durableId="930234293">
    <w:abstractNumId w:val="18"/>
  </w:num>
  <w:num w:numId="11" w16cid:durableId="1562671495">
    <w:abstractNumId w:val="20"/>
  </w:num>
  <w:num w:numId="12" w16cid:durableId="1171291695">
    <w:abstractNumId w:val="22"/>
  </w:num>
  <w:num w:numId="13" w16cid:durableId="1898280222">
    <w:abstractNumId w:val="2"/>
  </w:num>
  <w:num w:numId="14" w16cid:durableId="584263433">
    <w:abstractNumId w:val="16"/>
  </w:num>
  <w:num w:numId="15" w16cid:durableId="322053173">
    <w:abstractNumId w:val="10"/>
  </w:num>
  <w:num w:numId="16" w16cid:durableId="179321202">
    <w:abstractNumId w:val="13"/>
  </w:num>
  <w:num w:numId="17" w16cid:durableId="1215851547">
    <w:abstractNumId w:val="19"/>
  </w:num>
  <w:num w:numId="18" w16cid:durableId="1115441922">
    <w:abstractNumId w:val="4"/>
  </w:num>
  <w:num w:numId="19" w16cid:durableId="333605388">
    <w:abstractNumId w:val="15"/>
  </w:num>
  <w:num w:numId="20" w16cid:durableId="974258977">
    <w:abstractNumId w:val="21"/>
  </w:num>
  <w:num w:numId="21" w16cid:durableId="944925065">
    <w:abstractNumId w:val="12"/>
  </w:num>
  <w:num w:numId="22" w16cid:durableId="1699693147">
    <w:abstractNumId w:val="1"/>
  </w:num>
  <w:num w:numId="23" w16cid:durableId="1019771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BA"/>
    <w:rsid w:val="00001AA4"/>
    <w:rsid w:val="000B6619"/>
    <w:rsid w:val="000C7D1E"/>
    <w:rsid w:val="001C4828"/>
    <w:rsid w:val="00250CBA"/>
    <w:rsid w:val="0035601F"/>
    <w:rsid w:val="00362CEC"/>
    <w:rsid w:val="003D244F"/>
    <w:rsid w:val="00407EA3"/>
    <w:rsid w:val="00430DD7"/>
    <w:rsid w:val="00477CF1"/>
    <w:rsid w:val="004805AF"/>
    <w:rsid w:val="009C7F27"/>
    <w:rsid w:val="00A20D4F"/>
    <w:rsid w:val="00A37FA0"/>
    <w:rsid w:val="00C94D21"/>
    <w:rsid w:val="00CF55C3"/>
    <w:rsid w:val="00E01C7B"/>
    <w:rsid w:val="00EB1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C1C9"/>
  <w15:chartTrackingRefBased/>
  <w15:docId w15:val="{3FD61CC8-6714-4BDE-A80F-8D15F65C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A"/>
    <w:rPr>
      <w:rFonts w:eastAsiaTheme="majorEastAsia" w:cstheme="majorBidi"/>
      <w:color w:val="272727" w:themeColor="text1" w:themeTint="D8"/>
    </w:rPr>
  </w:style>
  <w:style w:type="paragraph" w:styleId="Title">
    <w:name w:val="Title"/>
    <w:basedOn w:val="Normal"/>
    <w:next w:val="Normal"/>
    <w:link w:val="TitleChar"/>
    <w:uiPriority w:val="10"/>
    <w:qFormat/>
    <w:rsid w:val="00250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A"/>
    <w:pPr>
      <w:spacing w:before="160"/>
      <w:jc w:val="center"/>
    </w:pPr>
    <w:rPr>
      <w:i/>
      <w:iCs/>
      <w:color w:val="404040" w:themeColor="text1" w:themeTint="BF"/>
    </w:rPr>
  </w:style>
  <w:style w:type="character" w:customStyle="1" w:styleId="QuoteChar">
    <w:name w:val="Quote Char"/>
    <w:basedOn w:val="DefaultParagraphFont"/>
    <w:link w:val="Quote"/>
    <w:uiPriority w:val="29"/>
    <w:rsid w:val="00250CBA"/>
    <w:rPr>
      <w:i/>
      <w:iCs/>
      <w:color w:val="404040" w:themeColor="text1" w:themeTint="BF"/>
    </w:rPr>
  </w:style>
  <w:style w:type="paragraph" w:styleId="ListParagraph">
    <w:name w:val="List Paragraph"/>
    <w:basedOn w:val="Normal"/>
    <w:uiPriority w:val="34"/>
    <w:qFormat/>
    <w:rsid w:val="00250CBA"/>
    <w:pPr>
      <w:ind w:left="720"/>
      <w:contextualSpacing/>
    </w:pPr>
  </w:style>
  <w:style w:type="character" w:styleId="IntenseEmphasis">
    <w:name w:val="Intense Emphasis"/>
    <w:basedOn w:val="DefaultParagraphFont"/>
    <w:uiPriority w:val="21"/>
    <w:qFormat/>
    <w:rsid w:val="00250CBA"/>
    <w:rPr>
      <w:i/>
      <w:iCs/>
      <w:color w:val="0F4761" w:themeColor="accent1" w:themeShade="BF"/>
    </w:rPr>
  </w:style>
  <w:style w:type="paragraph" w:styleId="IntenseQuote">
    <w:name w:val="Intense Quote"/>
    <w:basedOn w:val="Normal"/>
    <w:next w:val="Normal"/>
    <w:link w:val="IntenseQuoteChar"/>
    <w:uiPriority w:val="30"/>
    <w:qFormat/>
    <w:rsid w:val="00250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A"/>
    <w:rPr>
      <w:i/>
      <w:iCs/>
      <w:color w:val="0F4761" w:themeColor="accent1" w:themeShade="BF"/>
    </w:rPr>
  </w:style>
  <w:style w:type="character" w:styleId="IntenseReference">
    <w:name w:val="Intense Reference"/>
    <w:basedOn w:val="DefaultParagraphFont"/>
    <w:uiPriority w:val="32"/>
    <w:qFormat/>
    <w:rsid w:val="00250CBA"/>
    <w:rPr>
      <w:b/>
      <w:bCs/>
      <w:smallCaps/>
      <w:color w:val="0F4761" w:themeColor="accent1" w:themeShade="BF"/>
      <w:spacing w:val="5"/>
    </w:rPr>
  </w:style>
  <w:style w:type="character" w:styleId="Hyperlink">
    <w:name w:val="Hyperlink"/>
    <w:basedOn w:val="DefaultParagraphFont"/>
    <w:uiPriority w:val="99"/>
    <w:unhideWhenUsed/>
    <w:rsid w:val="00250CBA"/>
    <w:rPr>
      <w:color w:val="467886" w:themeColor="hyperlink"/>
      <w:u w:val="single"/>
    </w:rPr>
  </w:style>
  <w:style w:type="character" w:styleId="UnresolvedMention">
    <w:name w:val="Unresolved Mention"/>
    <w:basedOn w:val="DefaultParagraphFont"/>
    <w:uiPriority w:val="99"/>
    <w:semiHidden/>
    <w:unhideWhenUsed/>
    <w:rsid w:val="00250CBA"/>
    <w:rPr>
      <w:color w:val="605E5C"/>
      <w:shd w:val="clear" w:color="auto" w:fill="E1DFDD"/>
    </w:rPr>
  </w:style>
  <w:style w:type="character" w:styleId="FollowedHyperlink">
    <w:name w:val="FollowedHyperlink"/>
    <w:basedOn w:val="DefaultParagraphFont"/>
    <w:uiPriority w:val="99"/>
    <w:semiHidden/>
    <w:unhideWhenUsed/>
    <w:rsid w:val="00250CBA"/>
    <w:rPr>
      <w:color w:val="96607D" w:themeColor="followedHyperlink"/>
      <w:u w:val="single"/>
    </w:rPr>
  </w:style>
  <w:style w:type="table" w:styleId="PlainTable1">
    <w:name w:val="Plain Table 1"/>
    <w:basedOn w:val="TableNormal"/>
    <w:uiPriority w:val="41"/>
    <w:rsid w:val="009C7F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404.18673" TargetMode="External"/><Relationship Id="rId18" Type="http://schemas.openxmlformats.org/officeDocument/2006/relationships/hyperlink" Target="https://developer.nvidia.com/blog/monitoring-machine-learning-models-in-production/" TargetMode="External"/><Relationship Id="rId26" Type="http://schemas.openxmlformats.org/officeDocument/2006/relationships/hyperlink" Target="https://aclanthology.org/2024.naacl-industry.28/" TargetMode="External"/><Relationship Id="rId21" Type="http://schemas.openxmlformats.org/officeDocument/2006/relationships/hyperlink" Target="https://docs.seldon.io/projects/alibi-detect/" TargetMode="External"/><Relationship Id="rId34" Type="http://schemas.openxmlformats.org/officeDocument/2006/relationships/hyperlink" Target="https://arxiv.org/abs/2402.06782" TargetMode="External"/><Relationship Id="rId7" Type="http://schemas.openxmlformats.org/officeDocument/2006/relationships/hyperlink" Target="https://www.frontiersin.org/journals/artificialintelligence/articles/10.3389/frai.2024.1330257" TargetMode="External"/><Relationship Id="rId12" Type="http://schemas.openxmlformats.org/officeDocument/2006/relationships/hyperlink" Target="https://proceedings.neurips.cc/paper_files/paper/2015/file/86df7dcfd896fcaf2674f757a2463eba-Paper.pdf" TargetMode="External"/><Relationship Id="rId17" Type="http://schemas.openxmlformats.org/officeDocument/2006/relationships/hyperlink" Target="https://research.google/pubs/pub43146/" TargetMode="External"/><Relationship Id="rId25" Type="http://schemas.openxmlformats.org/officeDocument/2006/relationships/hyperlink" Target="https://arxiv.org/abs/2402.06782" TargetMode="External"/><Relationship Id="rId33" Type="http://schemas.openxmlformats.org/officeDocument/2006/relationships/hyperlink" Target="https://dl.acm.org/doi/10.1145/2523813"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106.09685" TargetMode="External"/><Relationship Id="rId20" Type="http://schemas.openxmlformats.org/officeDocument/2006/relationships/hyperlink" Target="https://arxiv.org/abs/2007.06700" TargetMode="External"/><Relationship Id="rId29" Type="http://schemas.openxmlformats.org/officeDocument/2006/relationships/hyperlink" Target="https://arxiv.org/abs/2106.09685" TargetMode="External"/><Relationship Id="rId1" Type="http://schemas.openxmlformats.org/officeDocument/2006/relationships/numbering" Target="numbering.xml"/><Relationship Id="rId6" Type="http://schemas.openxmlformats.org/officeDocument/2006/relationships/hyperlink" Target="https://netman.aiops.org/~peidan/ANM2018/6.AnomalyLocalization/ReadingLists/Gama-2014-A%20survey%20on%20concept%20drift%20adaptation.pdf.pdf" TargetMode="External"/><Relationship Id="rId11" Type="http://schemas.openxmlformats.org/officeDocument/2006/relationships/hyperlink" Target="https://riverml.xyz/dev/api/drift/ADWIN/" TargetMode="External"/><Relationship Id="rId24" Type="http://schemas.openxmlformats.org/officeDocument/2006/relationships/hyperlink" Target="https://aclanthology.org/2024.naacl-industry.28/" TargetMode="External"/><Relationship Id="rId32" Type="http://schemas.openxmlformats.org/officeDocument/2006/relationships/hyperlink" Target="https://aclanthology.org/2024.naacl-industry.28/" TargetMode="External"/><Relationship Id="rId37" Type="http://schemas.openxmlformats.org/officeDocument/2006/relationships/fontTable" Target="fontTable.xml"/><Relationship Id="rId5" Type="http://schemas.openxmlformats.org/officeDocument/2006/relationships/hyperlink" Target="https://aclanthology.org/2024.naacl-industry.28/?utm_source=chatgpt.com" TargetMode="External"/><Relationship Id="rId15" Type="http://schemas.openxmlformats.org/officeDocument/2006/relationships/hyperlink" Target="https://research.google/pubs/pub43146/" TargetMode="External"/><Relationship Id="rId23" Type="http://schemas.openxmlformats.org/officeDocument/2006/relationships/hyperlink" Target="https://riverml.xyz/dev/api/drift/" TargetMode="External"/><Relationship Id="rId28" Type="http://schemas.openxmlformats.org/officeDocument/2006/relationships/hyperlink" Target="https://docs.seldon.io/projects/alibi-detect/" TargetMode="External"/><Relationship Id="rId36" Type="http://schemas.openxmlformats.org/officeDocument/2006/relationships/hyperlink" Target="https://research.google/pubs/pub43146/" TargetMode="External"/><Relationship Id="rId10" Type="http://schemas.openxmlformats.org/officeDocument/2006/relationships/hyperlink" Target="https://docs.seldon.io/projects/alibi-detect/en/latest/" TargetMode="External"/><Relationship Id="rId19" Type="http://schemas.openxmlformats.org/officeDocument/2006/relationships/hyperlink" Target="https://aclanthology.org/2024.naacl-industry.28/" TargetMode="External"/><Relationship Id="rId31" Type="http://schemas.openxmlformats.org/officeDocument/2006/relationships/hyperlink" Target="https://arxiv.org/abs/2403.11207" TargetMode="External"/><Relationship Id="rId4" Type="http://schemas.openxmlformats.org/officeDocument/2006/relationships/webSettings" Target="webSettings.xml"/><Relationship Id="rId9" Type="http://schemas.openxmlformats.org/officeDocument/2006/relationships/hyperlink" Target="https://arxiv.org/pdf/2403.14608" TargetMode="External"/><Relationship Id="rId14" Type="http://schemas.openxmlformats.org/officeDocument/2006/relationships/hyperlink" Target="https://www.semanticscholar.org/paper/Drift-Detection-in-Text-Data-with-Document-Feldhans-Wilke/556be80b7c524ddc1fce7e6179844065037148a0" TargetMode="External"/><Relationship Id="rId22" Type="http://schemas.openxmlformats.org/officeDocument/2006/relationships/hyperlink" Target="https://dl.acm.org/doi/10.1145/2523813" TargetMode="External"/><Relationship Id="rId27" Type="http://schemas.openxmlformats.org/officeDocument/2006/relationships/hyperlink" Target="https://research.google/pubs/pub43146/" TargetMode="External"/><Relationship Id="rId30" Type="http://schemas.openxmlformats.org/officeDocument/2006/relationships/hyperlink" Target="https://arxiv.org/abs/2402.13516" TargetMode="External"/><Relationship Id="rId35" Type="http://schemas.openxmlformats.org/officeDocument/2006/relationships/hyperlink" Target="https://aclanthology.org/2024.naacl-industry.28/" TargetMode="External"/><Relationship Id="rId8" Type="http://schemas.openxmlformats.org/officeDocument/2006/relationships/hyperlink" Target="https://arxiv.org/abs/2402.1235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3352</Words>
  <Characters>19109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3</cp:revision>
  <dcterms:created xsi:type="dcterms:W3CDTF">2025-09-18T15:35:00Z</dcterms:created>
  <dcterms:modified xsi:type="dcterms:W3CDTF">2025-09-19T12:29:00Z</dcterms:modified>
</cp:coreProperties>
</file>