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Homology modeling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upload.wikimedia.org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Homology modeling, also known as comparative modeling, is a computational technique used in structural biology to predict the three-dimensional (3D) structure of a protein or other macromolecule based on its amino acid sequence and the known structure of a related protein1. Here are the key steps involved in homology modeling: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Identification and Selection of Template Structures: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step is to identify and select appropriate template structures from the Protein Data Bank (PDB).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Pair-wise sequence alignment methods like BLAST help identify proteins with high sequence homology to the query protein in the PDB.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Multiple sequence alignments or automated iterative methods (e.g., PSI-BLAST) can be used for more sensitive template identification.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Factors such as sequence identity, alignment scores, phylogenetic relationships, biological function, and environmental context guide template selection.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Alignment of the Query Sequence with the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Achieving a high-quality sequence alignment is crucial for accurate modeling.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Multiple sequence alignment programs (e.g., Proline, T-Coffee) are recommended to incorporate evolutionary information.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Visual examination of the alignment ensures proper alignment of conserved residues.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Building: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Based on the aligned sequences, a 3D model is built for the query protein using the template’s known structure.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model is constructed by aligning corresponding residues in the query and template sequences.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 Modeling: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Loops or missing segments in the template structure are modeled to complete the full protein structure.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Various algorithms and tools are available for loop modeling.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Optimization: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Energy minimization and refinement techniques are applied to optimize the model.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Molecular dynamics simulations and other methods improve the model’s accuracy.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Applications of Homology Modeling: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Drug Discovery: Homology models aid in understanding protein-ligand interactions, guiding drug design.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Functional Annotation: Predicting protein function based on structure.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Enzyme Mechanism Studies: Investigating active site residues and catalytic mechanisms.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Protein Engineering: Designing mutations for improved properties.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Microbe Notes: Homology Modeling2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SpringerLink: Homology Modeling3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Wikipedia: Homology Modeling4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Learn more: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microbiologynote.com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microbenotes.com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link.springer.com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en.wikipedia.org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en.wikipedia.org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