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Business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Business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790"/>
        <w:gridCol w:w="5685"/>
        <w:tblGridChange w:id="0">
          <w:tblGrid>
            <w:gridCol w:w="1530"/>
            <w:gridCol w:w="2790"/>
            <w:gridCol w:w="568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Ecosystem Participants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Role/Interest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Clients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Journalists, governments, social media platforms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Real-time detection for time-sensitive workflows.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API integration for automated content moderation.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Cloud providers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Scalable infrastructure for AI processing.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Cost-effective data storage.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Partners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Fact-checking agencies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Access to labeled datasets for model training.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Collaborative misinformation reports.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Internal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R&amp;D, Legal, Marketing teams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Compliance with AI regulations (e.g., DEFEND Act).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Clear ROI metrics for investor updates.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Stakeholder Requirements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595"/>
        <w:gridCol w:w="5220"/>
        <w:tblGridChange w:id="0">
          <w:tblGrid>
            <w:gridCol w:w="1530"/>
            <w:gridCol w:w="2595"/>
            <w:gridCol w:w="5220"/>
          </w:tblGrid>
        </w:tblGridChange>
      </w:tblGrid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Pain Points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Journalists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Verify news authenticity before publishing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Time-consuming manual checks; risk of spreading misinformation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Governments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Detect fraudulent media for national 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High-stakes consequences of deepfake-driven misinformation (e.g., election interference)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Social Media Platforms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flag deepfakes in user uploads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Regulatory pressure to combat misinformation; reputational damage from viral fakes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General Public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Simple, accessible tool to verify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Distrust in digital content; lack of technical expertise to identify deepfakes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Solution Requirements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ind w:firstLine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35">
      <w:pPr>
        <w:ind w:left="0"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The product shall, upon viewing a media type, run analysis and report to the user whether that video is authentic or altered in a clear window on the screen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If the media is determined to be product shall explain to the user why altered media was flagged and the detection type which was used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Ability to detect altered media across all media types and provide detection in real-time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Flags altered media to clearly notify the user that the media is not in its original form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Integrated or embedded within content platforms for seamless interaction (ie. chrome extension or integrated into a social media app)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Ability to collect customer feedback for algorithm improvement and product improvement</w:t>
      </w:r>
    </w:p>
    <w:p w:rsidR="00000000" w:rsidDel="00000000" w:rsidP="00000000" w:rsidRDefault="00000000" w:rsidRPr="00000000" w14:paraId="0000003D">
      <w:pPr>
        <w:spacing w:after="200" w:line="276" w:lineRule="auto"/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firstLine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The software shall function with reasonable accuracy </w:t>
      </w:r>
      <w:r w:rsidDel="00000000" w:rsidR="00000000" w:rsidRPr="00000000">
        <w:rPr>
          <w:color w:val="ff0000"/>
          <w:rtl w:val="0"/>
        </w:rPr>
        <w:t xml:space="preserve">(let's say 95% correct???)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00" w:lineRule="auto"/>
        <w:ind w:left="720" w:hanging="450"/>
      </w:pPr>
      <w:r w:rsidDel="00000000" w:rsidR="00000000" w:rsidRPr="00000000">
        <w:rPr>
          <w:rtl w:val="0"/>
        </w:rPr>
        <w:t xml:space="preserve">The software shall run its analysis of a media within a reasonable time dependent on media type (</w:t>
      </w:r>
      <w:r w:rsidDel="00000000" w:rsidR="00000000" w:rsidRPr="00000000">
        <w:rPr>
          <w:color w:val="ff0000"/>
          <w:rtl w:val="0"/>
        </w:rPr>
        <w:t xml:space="preserve">this is likely more complicated depending on length?)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 10 seconds per 150 words of opening a text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20 seconds of opening a photo </w:t>
      </w:r>
      <w:r w:rsidDel="00000000" w:rsidR="00000000" w:rsidRPr="00000000">
        <w:rPr>
          <w:color w:val="ff0000"/>
          <w:rtl w:val="0"/>
        </w:rPr>
        <w:t xml:space="preserve">(size limits?)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seconds per 60 seconds of opening an audio file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seconds per 60 seconds of opening a video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276" w:lineRule="auto"/>
        <w:ind w:left="720" w:hanging="450"/>
        <w:rPr/>
      </w:pPr>
      <w:r w:rsidDel="00000000" w:rsidR="00000000" w:rsidRPr="00000000">
        <w:rPr>
          <w:rtl w:val="0"/>
        </w:rPr>
        <w:t xml:space="preserve">The software should be compatible with multiple content platforms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 web browsers as an extension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applications </w:t>
      </w:r>
      <w:r w:rsidDel="00000000" w:rsidR="00000000" w:rsidRPr="00000000">
        <w:rPr>
          <w:color w:val="ff0000"/>
          <w:rtl w:val="0"/>
        </w:rPr>
        <w:t xml:space="preserve">(through collaboration with developers?)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As a web browser where media can be uploaded and analyzed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As a standalone application where media can be downloaded and analyzed</w:t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Transition Requirements</w:t>
      </w:r>
    </w:p>
    <w:p w:rsidR="00000000" w:rsidDel="00000000" w:rsidP="00000000" w:rsidRDefault="00000000" w:rsidRPr="00000000" w14:paraId="0000004D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margin" w:horzAnchor="margin" w:tblpXSpec="center" w:tblpYSpec="top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810"/>
        <w:gridCol w:w="3435"/>
        <w:tblGridChange w:id="0">
          <w:tblGrid>
            <w:gridCol w:w="2115"/>
            <w:gridCol w:w="3810"/>
            <w:gridCol w:w="343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 for MythBuster.AI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setup, data migration, and initial user onboarding.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Cloud configuration.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 Import labeled deepfake datasets.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Tools for monitoring performance and handling real-time issues.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- 24/7 uptime dashboards.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 API rate-limiting for social media platforms.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Regular updates to address evolving deepfake techniques and user feedback.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Monthly model retraining.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 Bug-fix sprints based on journalist reports.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Decommissioning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Secure data disposal and user notification if services are sunset.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Anonymize stored metadata.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- 90-day advance notice to enterprise clients.</w:t>
            </w:r>
          </w:p>
        </w:tc>
      </w:tr>
    </w:tbl>
    <w:p w:rsidR="00000000" w:rsidDel="00000000" w:rsidP="00000000" w:rsidRDefault="00000000" w:rsidRPr="00000000" w14:paraId="00000061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