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E7490"/>
          <w:sz w:val="48"/>
        </w:rPr>
        <w:t>INSELL PLATFORM TECHNICAL ARCHITECTURE</w:t>
      </w:r>
    </w:p>
    <w:p>
      <w:pPr>
        <w:spacing w:after="480"/>
        <w:jc w:val="center"/>
      </w:pPr>
      <w:r>
        <w:rPr>
          <w:rFonts w:ascii="Arial" w:hAnsi="Arial"/>
          <w:i/>
          <w:color w:val="64748B"/>
          <w:sz w:val="26"/>
        </w:rPr>
        <w:t>Comprehensive System Design, AI Valuation, Multi-Tier Caching, &amp; Production Operations Report</w:t>
        <w:br/>
        <w:t>Date: October 2026 | Engineering Documentation</w:t>
      </w:r>
    </w:p>
    <w:p>
      <w:pPr>
        <w:keepNext/>
        <w:spacing w:before="360" w:after="120"/>
      </w:pPr>
      <w:r>
        <w:rPr>
          <w:rFonts w:ascii="Arial" w:hAnsi="Arial"/>
          <w:b/>
          <w:color w:val="0E7490"/>
          <w:sz w:val="32"/>
        </w:rPr>
        <w:t>1. Executive Summary</w:t>
      </w:r>
    </w:p>
    <w:p>
      <w:pPr>
        <w:spacing w:after="120" w:line="276" w:lineRule="auto"/>
      </w:pPr>
      <w:r>
        <w:rPr>
          <w:rFonts w:ascii="Arial" w:hAnsi="Arial"/>
          <w:i w:val="0"/>
          <w:color w:val="334155"/>
          <w:sz w:val="21"/>
        </w:rPr>
        <w:t>This document compiles the complete technical discussions, engineering implementations, performance benchmarks, and production migrations executed across the Insell marketplace ecosystem. The objective of this phase was to eliminate critical valuation bugs, establish resilient real-time market data extraction, modernize mobile UI layouts for high-density responsiveness (375x667), and implement an enterprise-grade multi-tier caching pipeline mirroring Big Tech architectures (Meta, TikTok, Airbnb).</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Pr>
          <w:p>
            <w:pPr>
              <w:spacing w:after="80"/>
            </w:pPr>
            <w:r>
              <w:rPr>
                <w:rFonts w:ascii="Arial" w:hAnsi="Arial"/>
                <w:b/>
                <w:color w:val="10B981"/>
                <w:sz w:val="20"/>
              </w:rPr>
              <w:t xml:space="preserve">★ MILESTONE STATUS: </w:t>
            </w:r>
            <w:r>
              <w:rPr>
                <w:rFonts w:ascii="Arial" w:hAnsi="Arial"/>
                <w:color w:val="334155"/>
                <w:sz w:val="20"/>
              </w:rPr>
              <w:t>All systems have been fully developed, verified via automated test suites (292 server tests, 307 mobile tests), and compiled into clean production PR branches and an Android APK release.</w:t>
            </w:r>
          </w:p>
        </w:tc>
      </w:tr>
    </w:tbl>
    <w:p>
      <w:pPr>
        <w:spacing w:after="80"/>
      </w:pPr>
    </w:p>
    <w:p>
      <w:pPr>
        <w:keepNext/>
        <w:spacing w:before="360" w:after="120"/>
      </w:pPr>
      <w:r>
        <w:rPr>
          <w:rFonts w:ascii="Arial" w:hAnsi="Arial"/>
          <w:b/>
          <w:color w:val="0E7490"/>
          <w:sz w:val="32"/>
        </w:rPr>
        <w:t>2. Production Cloudinary &amp; Database Migration</w:t>
      </w:r>
    </w:p>
    <w:p>
      <w:pPr>
        <w:keepNext/>
        <w:spacing w:before="240" w:after="80"/>
      </w:pPr>
      <w:r>
        <w:rPr>
          <w:rFonts w:ascii="Arial" w:hAnsi="Arial"/>
          <w:b/>
          <w:color w:val="1E293B"/>
          <w:sz w:val="26"/>
        </w:rPr>
        <w:t>2.1 The Migration Challenge</w:t>
      </w:r>
    </w:p>
    <w:p>
      <w:pPr>
        <w:spacing w:after="120" w:line="276" w:lineRule="auto"/>
      </w:pPr>
      <w:r>
        <w:rPr>
          <w:rFonts w:ascii="Arial" w:hAnsi="Arial"/>
          <w:i w:val="0"/>
          <w:color w:val="334155"/>
          <w:sz w:val="21"/>
        </w:rPr>
        <w:t>The production environment required migrating all active media assets away from a legacy Cloudinary tenant (dbymx3fgv) to a newly provisioned, high-capacity production account (glvtafat) without causing service downtime, link breakage, or data corruption in the production MongoDB cluster (insell_db).</w:t>
      </w:r>
    </w:p>
    <w:p>
      <w:pPr>
        <w:keepNext/>
        <w:spacing w:before="240" w:after="80"/>
      </w:pPr>
      <w:r>
        <w:rPr>
          <w:rFonts w:ascii="Arial" w:hAnsi="Arial"/>
          <w:b/>
          <w:color w:val="1E293B"/>
          <w:sz w:val="26"/>
        </w:rPr>
        <w:t>2.2 Zero-Downtime Migration Architecture</w:t>
      </w:r>
    </w:p>
    <w:p>
      <w:pPr>
        <w:pStyle w:val="ListBullet"/>
        <w:spacing w:after="60" w:line="276" w:lineRule="auto"/>
      </w:pPr>
      <w:r>
        <w:rPr>
          <w:rFonts w:ascii="Arial" w:hAnsi="Arial"/>
          <w:b/>
          <w:color w:val="1E293B"/>
          <w:sz w:val="21"/>
        </w:rPr>
        <w:t xml:space="preserve">Migration Script: </w:t>
      </w:r>
      <w:r>
        <w:rPr>
          <w:rFonts w:ascii="Arial" w:hAnsi="Arial"/>
          <w:color w:val="334155"/>
          <w:sz w:val="21"/>
        </w:rPr>
        <w:t xml:space="preserve"> Dual-Phase Execution: Built server/scripts/migrateProdCloudinary.js to execute in two isolated stages: (1) Asset Stream Copy: Re-uploading existing images and videos directly between Cloudinary accounts preserving folder hierarchies and publicIds; (2) URL Normalization: Scanning all collections and rewriting obsolete domains.</w:t>
      </w:r>
    </w:p>
    <w:p>
      <w:pPr>
        <w:pStyle w:val="ListBullet"/>
        <w:spacing w:after="60" w:line="276" w:lineRule="auto"/>
      </w:pPr>
      <w:r>
        <w:rPr>
          <w:rFonts w:ascii="Arial" w:hAnsi="Arial"/>
          <w:b/>
          <w:color w:val="1E293B"/>
          <w:sz w:val="21"/>
        </w:rPr>
        <w:t xml:space="preserve">Rollback Resilience: </w:t>
      </w:r>
      <w:r>
        <w:rPr>
          <w:rFonts w:ascii="Arial" w:hAnsi="Arial"/>
          <w:color w:val="334155"/>
          <w:sz w:val="21"/>
        </w:rPr>
        <w:t xml:space="preserve"> Safe Snapshot &amp; Rollback: Before modifying any records, the script generated server/scripts/prod-migration-backup.json containing exact pre-migration state of all 205 documents. An immediate rollback flag (--revert) was implemented and verified.</w:t>
      </w:r>
    </w:p>
    <w:p>
      <w:pPr>
        <w:pStyle w:val="ListBullet"/>
        <w:spacing w:after="60" w:line="276" w:lineRule="auto"/>
      </w:pPr>
      <w:r>
        <w:rPr>
          <w:rFonts w:ascii="Arial" w:hAnsi="Arial"/>
          <w:b/>
          <w:color w:val="1E293B"/>
          <w:sz w:val="21"/>
        </w:rPr>
        <w:t xml:space="preserve">Path Decoupling: </w:t>
      </w:r>
      <w:r>
        <w:rPr>
          <w:rFonts w:ascii="Arial" w:hAnsi="Arial"/>
          <w:color w:val="334155"/>
          <w:sz w:val="21"/>
        </w:rPr>
        <w:t xml:space="preserve"> Relative-Path Transition: Transitioned raw absolute URLs into relative storage paths (e.g., property-media/woj1wkacupe1nz73pfja.jpg). This completely decouples database storage from storage vendor domain changes.</w:t>
      </w:r>
    </w:p>
    <w:p>
      <w:pPr>
        <w:pStyle w:val="ListBullet"/>
        <w:spacing w:after="60" w:line="276" w:lineRule="auto"/>
      </w:pPr>
      <w:r>
        <w:rPr>
          <w:rFonts w:ascii="Arial" w:hAnsi="Arial"/>
          <w:b/>
          <w:color w:val="1E293B"/>
          <w:sz w:val="21"/>
        </w:rPr>
        <w:t xml:space="preserve">Execution Audit: </w:t>
      </w:r>
      <w:r>
        <w:rPr>
          <w:rFonts w:ascii="Arial" w:hAnsi="Arial"/>
          <w:color w:val="334155"/>
          <w:sz w:val="21"/>
        </w:rPr>
        <w:t xml:space="preserve"> Total Execution Metrics: 140 unique media assets migrated successfully. 205 MongoDB documents updated. 0 broken links, 0 data loss.</w:t>
      </w:r>
    </w:p>
    <w:p>
      <w:pPr>
        <w:keepNext/>
        <w:spacing w:before="360" w:after="120"/>
      </w:pPr>
      <w:r>
        <w:rPr>
          <w:rFonts w:ascii="Arial" w:hAnsi="Arial"/>
          <w:b/>
          <w:color w:val="0E7490"/>
          <w:sz w:val="32"/>
        </w:rPr>
        <w:t>3. AI Valuation Model Overhaul &amp; Bug Fix</w:t>
      </w:r>
    </w:p>
    <w:p>
      <w:pPr>
        <w:keepNext/>
        <w:spacing w:before="240" w:after="80"/>
      </w:pPr>
      <w:r>
        <w:rPr>
          <w:rFonts w:ascii="Arial" w:hAnsi="Arial"/>
          <w:b/>
          <w:color w:val="1E293B"/>
          <w:sz w:val="26"/>
        </w:rPr>
        <w:t>3.1 The Bug Scenario</w:t>
      </w:r>
    </w:p>
    <w:p>
      <w:pPr>
        <w:spacing w:after="120" w:line="276" w:lineRule="auto"/>
      </w:pPr>
      <w:r>
        <w:rPr>
          <w:rFonts w:ascii="Arial" w:hAnsi="Arial"/>
          <w:i w:val="0"/>
          <w:color w:val="334155"/>
          <w:sz w:val="21"/>
        </w:rPr>
        <w:t>A ₹40,000/month rental property located at 80ft Road, Ratlam was erroneously displaying an AI Fair Market Range of ₹4.83 L – ₹5.45 L (a sale valuation) and was categorized as 'Property Sale' instead of rental valuation.</w:t>
      </w:r>
    </w:p>
    <w:p>
      <w:pPr>
        <w:keepNext/>
        <w:spacing w:before="240" w:after="80"/>
      </w:pPr>
      <w:r>
        <w:rPr>
          <w:rFonts w:ascii="Arial" w:hAnsi="Arial"/>
          <w:b/>
          <w:color w:val="1E293B"/>
          <w:sz w:val="26"/>
        </w:rPr>
        <w:t>3.2 Root Cause Analysis &amp; Solution</w:t>
      </w:r>
    </w:p>
    <w:p>
      <w:pPr>
        <w:pStyle w:val="ListBullet"/>
        <w:spacing w:after="60" w:line="276" w:lineRule="auto"/>
      </w:pPr>
      <w:r>
        <w:rPr>
          <w:rFonts w:ascii="Arial" w:hAnsi="Arial"/>
          <w:b/>
          <w:color w:val="1E293B"/>
          <w:sz w:val="21"/>
        </w:rPr>
        <w:t xml:space="preserve">Intent Prioritization: </w:t>
      </w:r>
      <w:r>
        <w:rPr>
          <w:rFonts w:ascii="Arial" w:hAnsi="Arial"/>
          <w:color w:val="334155"/>
          <w:sz w:val="21"/>
        </w:rPr>
        <w:t xml:space="preserve"> Intent Hierarchy: In propertyValuationService.js, legacy postType (PROPERTY_SALE) took precedence. The engine was refactored to strictly enforce listingType === 'Rent' or rental title keywords ('rent', 'rental', 'lease', 'pg') as highest priority intent override.</w:t>
      </w:r>
    </w:p>
    <w:p>
      <w:pPr>
        <w:pStyle w:val="ListBullet"/>
        <w:spacing w:after="60" w:line="276" w:lineRule="auto"/>
      </w:pPr>
      <w:r>
        <w:rPr>
          <w:rFonts w:ascii="Arial" w:hAnsi="Arial"/>
          <w:b/>
          <w:color w:val="1E293B"/>
          <w:sz w:val="21"/>
        </w:rPr>
        <w:t xml:space="preserve">Area Bounds: </w:t>
      </w:r>
      <w:r>
        <w:rPr>
          <w:rFonts w:ascii="Arial" w:hAnsi="Arial"/>
          <w:color w:val="334155"/>
          <w:sz w:val="21"/>
        </w:rPr>
        <w:t xml:space="preserve"> Area Compatibility Guardrail: Restricted comparable listings (comps) to 0.2x – 5.0x of the subject property's area. This prevents tiny 120 sq.ft commercial kiosks from skewing valuations for 2,000 sq.ft residential banglows.</w:t>
      </w:r>
    </w:p>
    <w:p>
      <w:pPr>
        <w:pStyle w:val="ListBullet"/>
        <w:spacing w:after="60" w:line="276" w:lineRule="auto"/>
      </w:pPr>
      <w:r>
        <w:rPr>
          <w:rFonts w:ascii="Arial" w:hAnsi="Arial"/>
          <w:b/>
          <w:color w:val="1E293B"/>
          <w:sz w:val="21"/>
        </w:rPr>
        <w:t xml:space="preserve">Outlier Removal: </w:t>
      </w:r>
      <w:r>
        <w:rPr>
          <w:rFonts w:ascii="Arial" w:hAnsi="Arial"/>
          <w:color w:val="334155"/>
          <w:sz w:val="21"/>
        </w:rPr>
        <w:t xml:space="preserve"> Statistical Outlier Pruning: Prunes comps whose price-per-square-foot deviates beyond &gt;3.2x or &lt;0.3x of the local median, discarding fraudulent or test listings.</w:t>
      </w:r>
    </w:p>
    <w:p>
      <w:pPr>
        <w:pStyle w:val="ListBullet"/>
        <w:spacing w:after="60" w:line="276" w:lineRule="auto"/>
      </w:pPr>
      <w:r>
        <w:rPr>
          <w:rFonts w:ascii="Arial" w:hAnsi="Arial"/>
          <w:b/>
          <w:color w:val="1E293B"/>
          <w:sz w:val="21"/>
        </w:rPr>
        <w:t xml:space="preserve">Dynamic Output: </w:t>
      </w:r>
      <w:r>
        <w:rPr>
          <w:rFonts w:ascii="Arial" w:hAnsi="Arial"/>
          <w:color w:val="334155"/>
          <w:sz w:val="21"/>
        </w:rPr>
        <w:t xml:space="preserve"> Output Normalization: Returns intent ('rent' | 'buy'), period ('/mo'), and expectedLabel ('Expected Rent' | 'Expected Price'), correctly outputting ₹33K – ₹38K/mo for 2,000 sq.ft in Ratlam.</w:t>
      </w:r>
    </w:p>
    <w:p>
      <w:pPr>
        <w:keepNext/>
        <w:spacing w:before="360" w:after="120"/>
      </w:pPr>
      <w:r>
        <w:rPr>
          <w:rFonts w:ascii="Arial" w:hAnsi="Arial"/>
          <w:b/>
          <w:color w:val="0E7490"/>
          <w:sz w:val="32"/>
        </w:rPr>
        <w:t>4. Mobile UI &amp; 375×667 Screen Optimization</w:t>
      </w:r>
    </w:p>
    <w:p>
      <w:pPr>
        <w:keepNext/>
        <w:spacing w:before="240" w:after="80"/>
      </w:pPr>
      <w:r>
        <w:rPr>
          <w:rFonts w:ascii="Arial" w:hAnsi="Arial"/>
          <w:b/>
          <w:color w:val="1E293B"/>
          <w:sz w:val="26"/>
        </w:rPr>
        <w:t>4.1 Collision &amp; Overflow Diagnosis on Mobile</w:t>
      </w:r>
    </w:p>
    <w:p>
      <w:pPr>
        <w:spacing w:after="120" w:line="276" w:lineRule="auto"/>
      </w:pPr>
      <w:r>
        <w:rPr>
          <w:rFonts w:ascii="Arial" w:hAnsi="Arial"/>
          <w:i w:val="0"/>
          <w:color w:val="334155"/>
          <w:sz w:val="21"/>
        </w:rPr>
        <w:t>On compact 375x667 mobile screens (e.g. iPhone SE), the AI Valuation card was overflowing the viewport and colliding with the outer container border. Investigation revealed:</w:t>
      </w:r>
    </w:p>
    <w:p>
      <w:pPr>
        <w:pStyle w:val="ListBullet"/>
        <w:spacing w:after="60" w:line="276" w:lineRule="auto"/>
      </w:pPr>
      <w:r>
        <w:rPr>
          <w:rFonts w:ascii="Arial" w:hAnsi="Arial"/>
          <w:b/>
          <w:color w:val="1E293B"/>
          <w:sz w:val="21"/>
        </w:rPr>
        <w:t xml:space="preserve">Text Bloat: </w:t>
      </w:r>
      <w:r>
        <w:rPr>
          <w:rFonts w:ascii="Arial" w:hAnsi="Arial"/>
          <w:color w:val="334155"/>
          <w:sz w:val="21"/>
        </w:rPr>
        <w:t xml:space="preserve"> Duplicate string concatenation was producing 'Expected Rent: ₹33.5K/mo – ₹37.8K/mo', exceeding 290px.</w:t>
      </w:r>
    </w:p>
    <w:p>
      <w:pPr>
        <w:pStyle w:val="ListBullet"/>
        <w:spacing w:after="60" w:line="276" w:lineRule="auto"/>
      </w:pPr>
      <w:r>
        <w:rPr>
          <w:rFonts w:ascii="Arial" w:hAnsi="Arial"/>
          <w:b/>
          <w:color w:val="1E293B"/>
          <w:sz w:val="21"/>
        </w:rPr>
        <w:t xml:space="preserve">Padding Overload: </w:t>
      </w:r>
      <w:r>
        <w:rPr>
          <w:rFonts w:ascii="Arial" w:hAnsi="Arial"/>
          <w:color w:val="334155"/>
          <w:sz w:val="21"/>
        </w:rPr>
        <w:t xml:space="preserve"> Outer Section applied 24px (p-6) padding inside a 16px page padding, leaving only 295px width.</w:t>
      </w:r>
    </w:p>
    <w:p>
      <w:pPr>
        <w:pStyle w:val="ListBullet"/>
        <w:spacing w:after="60" w:line="276" w:lineRule="auto"/>
      </w:pPr>
      <w:r>
        <w:rPr>
          <w:rFonts w:ascii="Arial" w:hAnsi="Arial"/>
          <w:b/>
          <w:color w:val="1E293B"/>
          <w:sz w:val="21"/>
        </w:rPr>
        <w:t xml:space="preserve">Layout Constraints: </w:t>
      </w:r>
      <w:r>
        <w:rPr>
          <w:rFonts w:ascii="Arial" w:hAnsi="Arial"/>
          <w:color w:val="334155"/>
          <w:sz w:val="21"/>
        </w:rPr>
        <w:t xml:space="preserve"> Elements lacked max-w-fit, forcing full-width extension across flex parents.</w:t>
      </w:r>
    </w:p>
    <w:p>
      <w:pPr>
        <w:keepNext/>
        <w:spacing w:before="240" w:after="80"/>
      </w:pPr>
      <w:r>
        <w:rPr>
          <w:rFonts w:ascii="Arial" w:hAnsi="Arial"/>
          <w:b/>
          <w:color w:val="1E293B"/>
          <w:sz w:val="26"/>
        </w:rPr>
        <w:t>4.2 Interactive Badge &amp; Popover Architecture</w:t>
      </w:r>
    </w:p>
    <w:p>
      <w:pPr>
        <w:spacing w:after="120" w:line="276" w:lineRule="auto"/>
      </w:pPr>
      <w:r>
        <w:rPr>
          <w:rFonts w:ascii="Arial" w:hAnsi="Arial"/>
          <w:i w:val="0"/>
          <w:color w:val="334155"/>
          <w:sz w:val="21"/>
        </w:rPr>
        <w:t>Both the AI Valuation Card and Neighborhood Vibe &amp; Safety Card were completely redesigned from static blocks into modern interactive badges:</w:t>
      </w:r>
    </w:p>
    <w:p>
      <w:pPr>
        <w:pStyle w:val="ListBullet"/>
        <w:spacing w:after="60" w:line="276" w:lineRule="auto"/>
      </w:pPr>
      <w:r>
        <w:rPr>
          <w:rFonts w:ascii="Arial" w:hAnsi="Arial"/>
          <w:b/>
          <w:color w:val="1E293B"/>
          <w:sz w:val="21"/>
        </w:rPr>
        <w:t xml:space="preserve">AI Valuation Badge: </w:t>
      </w:r>
      <w:r>
        <w:rPr>
          <w:rFonts w:ascii="Arial" w:hAnsi="Arial"/>
          <w:color w:val="334155"/>
          <w:sz w:val="21"/>
        </w:rPr>
        <w:t xml:space="preserve"> Compact Pill Badge: Reduced text to '[ ✨ Expected Rent: ₹33K – ₹38K/mo ⓘ ]' (~180px width), leaving over 110px of breathing room on 375px screens.</w:t>
      </w:r>
    </w:p>
    <w:p>
      <w:pPr>
        <w:pStyle w:val="ListBullet"/>
        <w:spacing w:after="60" w:line="276" w:lineRule="auto"/>
      </w:pPr>
      <w:r>
        <w:rPr>
          <w:rFonts w:ascii="Arial" w:hAnsi="Arial"/>
          <w:b/>
          <w:color w:val="1E293B"/>
          <w:sz w:val="21"/>
        </w:rPr>
        <w:t xml:space="preserve">Neighborhood Vibe Badge: </w:t>
      </w:r>
      <w:r>
        <w:rPr>
          <w:rFonts w:ascii="Arial" w:hAnsi="Arial"/>
          <w:color w:val="334155"/>
          <w:sz w:val="21"/>
        </w:rPr>
        <w:t xml:space="preserve"> Vibe &amp; Safety Badge: Converted to '[ 🛡️ Vibe &amp; Safety: 85/100 • High Vitality ⓘ ]'.</w:t>
      </w:r>
    </w:p>
    <w:p>
      <w:pPr>
        <w:pStyle w:val="ListBullet"/>
        <w:spacing w:after="60" w:line="276" w:lineRule="auto"/>
      </w:pPr>
      <w:r>
        <w:rPr>
          <w:rFonts w:ascii="Arial" w:hAnsi="Arial"/>
          <w:b/>
          <w:color w:val="1E293B"/>
          <w:sz w:val="21"/>
        </w:rPr>
        <w:t xml:space="preserve">Screen-Safe Modals: </w:t>
      </w:r>
      <w:r>
        <w:rPr>
          <w:rFonts w:ascii="Arial" w:hAnsi="Arial"/>
          <w:color w:val="334155"/>
          <w:sz w:val="21"/>
        </w:rPr>
        <w:t xml:space="preserve"> Dual-Mode Popovers: On Desktop, cards open a clean floating dropdown on hover. On Mobile (&lt;640px), tapping triggers a screen-bounded modal dialog with backdrop blur, Escape key support, outside-tap dismissal, and an explicit (✕) close button.</w:t>
      </w:r>
    </w:p>
    <w:p>
      <w:pPr>
        <w:keepNext/>
        <w:spacing w:before="360" w:after="120"/>
      </w:pPr>
      <w:r>
        <w:rPr>
          <w:rFonts w:ascii="Arial" w:hAnsi="Arial"/>
          <w:b/>
          <w:color w:val="0E7490"/>
          <w:sz w:val="32"/>
        </w:rPr>
        <w:t>5. Google Serper Live Market Scraper &amp; Fallback Engine</w:t>
      </w:r>
    </w:p>
    <w:p>
      <w:pPr>
        <w:keepNext/>
        <w:spacing w:before="240" w:after="80"/>
      </w:pPr>
      <w:r>
        <w:rPr>
          <w:rFonts w:ascii="Arial" w:hAnsi="Arial"/>
          <w:b/>
          <w:color w:val="1E293B"/>
          <w:sz w:val="26"/>
        </w:rPr>
        <w:t>5.1 Why Direct Web Scraping Fails in Production</w:t>
      </w:r>
    </w:p>
    <w:p>
      <w:pPr>
        <w:spacing w:after="120" w:line="276" w:lineRule="auto"/>
      </w:pPr>
      <w:r>
        <w:rPr>
          <w:rFonts w:ascii="Arial" w:hAnsi="Arial"/>
          <w:i w:val="0"/>
          <w:color w:val="334155"/>
          <w:sz w:val="21"/>
        </w:rPr>
        <w:t>Major Indian real estate portals (99acres, Magicbricks, Housing.com) deploy aggressive bot-mitigation technologies (Cloudflare, PerimeterX, Akamai). Direct server-side scrapers (Cheerio/Puppeteer) suffer from:</w:t>
      </w:r>
    </w:p>
    <w:p>
      <w:pPr>
        <w:pStyle w:val="ListBullet"/>
        <w:spacing w:after="60" w:line="276" w:lineRule="auto"/>
      </w:pPr>
      <w:r>
        <w:rPr>
          <w:rFonts w:ascii="Arial" w:hAnsi="Arial"/>
          <w:b/>
          <w:color w:val="1E293B"/>
          <w:sz w:val="21"/>
        </w:rPr>
        <w:t xml:space="preserve">Anti-Bot Shields: </w:t>
      </w:r>
      <w:r>
        <w:rPr>
          <w:rFonts w:ascii="Arial" w:hAnsi="Arial"/>
          <w:color w:val="334155"/>
          <w:sz w:val="21"/>
        </w:rPr>
        <w:t xml:space="preserve"> Cloudflare CAPTCHAs and HTTP 403 Forbidden blocks within minutes.</w:t>
      </w:r>
    </w:p>
    <w:p>
      <w:pPr>
        <w:pStyle w:val="ListBullet"/>
        <w:spacing w:after="60" w:line="276" w:lineRule="auto"/>
      </w:pPr>
      <w:r>
        <w:rPr>
          <w:rFonts w:ascii="Arial" w:hAnsi="Arial"/>
          <w:b/>
          <w:color w:val="1E293B"/>
          <w:sz w:val="21"/>
        </w:rPr>
        <w:t xml:space="preserve">Severe Latency: </w:t>
      </w:r>
      <w:r>
        <w:rPr>
          <w:rFonts w:ascii="Arial" w:hAnsi="Arial"/>
          <w:color w:val="334155"/>
          <w:sz w:val="21"/>
        </w:rPr>
        <w:t xml:space="preserve"> 4 to 12-second page render delays, freezing user requests.</w:t>
      </w:r>
    </w:p>
    <w:p>
      <w:pPr>
        <w:pStyle w:val="ListBullet"/>
        <w:spacing w:after="60" w:line="276" w:lineRule="auto"/>
      </w:pPr>
      <w:r>
        <w:rPr>
          <w:rFonts w:ascii="Arial" w:hAnsi="Arial"/>
          <w:b/>
          <w:color w:val="1E293B"/>
          <w:sz w:val="21"/>
        </w:rPr>
        <w:t xml:space="preserve">IP Banning: </w:t>
      </w:r>
      <w:r>
        <w:rPr>
          <w:rFonts w:ascii="Arial" w:hAnsi="Arial"/>
          <w:color w:val="334155"/>
          <w:sz w:val="21"/>
        </w:rPr>
        <w:t xml:space="preserve"> Severe risk of production IP blacklisting.</w:t>
      </w:r>
    </w:p>
    <w:p>
      <w:pPr>
        <w:keepNext/>
        <w:spacing w:before="240" w:after="80"/>
      </w:pPr>
      <w:r>
        <w:rPr>
          <w:rFonts w:ascii="Arial" w:hAnsi="Arial"/>
          <w:b/>
          <w:color w:val="1E293B"/>
          <w:sz w:val="26"/>
        </w:rPr>
        <w:t>5.2 Google Search API Snippet Extraction (Serper.dev)</w:t>
      </w:r>
    </w:p>
    <w:p>
      <w:pPr>
        <w:spacing w:after="120" w:line="276" w:lineRule="auto"/>
      </w:pPr>
      <w:r>
        <w:rPr>
          <w:rFonts w:ascii="Arial" w:hAnsi="Arial"/>
          <w:i w:val="0"/>
          <w:color w:val="334155"/>
          <w:sz w:val="21"/>
        </w:rPr>
        <w:t>Instead of querying competitor sites directly, we query Google's public search index via Serper.dev API:</w:t>
      </w:r>
    </w:p>
    <w:p>
      <w:pPr>
        <w:pStyle w:val="ListBullet"/>
        <w:spacing w:after="60" w:line="276" w:lineRule="auto"/>
      </w:pPr>
      <w:r>
        <w:rPr>
          <w:rFonts w:ascii="Arial" w:hAnsi="Arial"/>
          <w:b/>
          <w:color w:val="1E293B"/>
          <w:sz w:val="21"/>
        </w:rPr>
        <w:t xml:space="preserve">Query Synthesis: </w:t>
      </w:r>
      <w:r>
        <w:rPr>
          <w:rFonts w:ascii="Arial" w:hAnsi="Arial"/>
          <w:color w:val="334155"/>
          <w:sz w:val="21"/>
        </w:rPr>
        <w:t xml:space="preserve"> Search Query: Formulates queries such as '[Locality] [City] flat house rent 99acres magicbricks housing'.</w:t>
      </w:r>
    </w:p>
    <w:p>
      <w:pPr>
        <w:pStyle w:val="ListBullet"/>
        <w:spacing w:after="60" w:line="276" w:lineRule="auto"/>
      </w:pPr>
      <w:r>
        <w:rPr>
          <w:rFonts w:ascii="Arial" w:hAnsi="Arial"/>
          <w:b/>
          <w:color w:val="1E293B"/>
          <w:sz w:val="21"/>
        </w:rPr>
        <w:t xml:space="preserve">Pattern Extraction: </w:t>
      </w:r>
      <w:r>
        <w:rPr>
          <w:rFonts w:ascii="Arial" w:hAnsi="Arial"/>
          <w:color w:val="334155"/>
          <w:sz w:val="21"/>
        </w:rPr>
        <w:t xml:space="preserve"> Regex Price Engine: Created a dual-directional regex parser extracting price-per-square-foot figures from organic Google snippets for rent (₹10–₹35/sq.ft/mo) and buy (₹2,200–₹9,500/sq.ft).</w:t>
      </w:r>
    </w:p>
    <w:p>
      <w:pPr>
        <w:pStyle w:val="ListBullet"/>
        <w:spacing w:after="60" w:line="276" w:lineRule="auto"/>
      </w:pPr>
      <w:r>
        <w:rPr>
          <w:rFonts w:ascii="Arial" w:hAnsi="Arial"/>
          <w:b/>
          <w:color w:val="1E293B"/>
          <w:sz w:val="21"/>
        </w:rPr>
        <w:t xml:space="preserve">Benchmark Model: </w:t>
      </w:r>
      <w:r>
        <w:rPr>
          <w:rFonts w:ascii="Arial" w:hAnsi="Arial"/>
          <w:color w:val="334155"/>
          <w:sz w:val="21"/>
        </w:rPr>
        <w:t xml:space="preserve"> MongoDB 30-Day Caching: Extracted benchmarks are cached in MarketBenchmark.model.js for 30 to 60 days. Because localities change slowly, your 2,500 free queries can cover thousands of neighborhoods for 3+ years.</w:t>
      </w:r>
    </w:p>
    <w:p>
      <w:pPr>
        <w:pStyle w:val="ListBullet"/>
        <w:spacing w:after="60" w:line="276" w:lineRule="auto"/>
      </w:pPr>
      <w:r>
        <w:rPr>
          <w:rFonts w:ascii="Arial" w:hAnsi="Arial"/>
          <w:b/>
          <w:color w:val="1E293B"/>
          <w:sz w:val="21"/>
        </w:rPr>
        <w:t xml:space="preserve">Valuation Hierarchy: </w:t>
      </w:r>
      <w:r>
        <w:rPr>
          <w:rFonts w:ascii="Arial" w:hAnsi="Arial"/>
          <w:color w:val="334155"/>
          <w:sz w:val="21"/>
        </w:rPr>
        <w:t xml:space="preserve"> 3-Tier Hierarchy: (1) Live Platform Comps ($geoNear within 5km) -&gt; (2) Google Market Benchmark (Serper aggregate) -&gt; (3) Conservative mathematical baseline.</w:t>
      </w:r>
    </w:p>
    <w:p>
      <w:pPr>
        <w:keepNext/>
        <w:spacing w:before="360" w:after="120"/>
      </w:pPr>
      <w:r>
        <w:rPr>
          <w:rFonts w:ascii="Arial" w:hAnsi="Arial"/>
          <w:b/>
          <w:color w:val="0E7490"/>
          <w:sz w:val="32"/>
        </w:rPr>
        <w:t>6. Multi-Tier Caching &amp; Hardware Performance Deep Dive</w:t>
      </w:r>
    </w:p>
    <w:p>
      <w:pPr>
        <w:keepNext/>
        <w:spacing w:before="240" w:after="80"/>
      </w:pPr>
      <w:r>
        <w:rPr>
          <w:rFonts w:ascii="Arial" w:hAnsi="Arial"/>
          <w:b/>
          <w:color w:val="1E293B"/>
          <w:sz w:val="26"/>
        </w:rPr>
        <w:t>6.1 Geographical Distance (Km) to CDN Edge</w:t>
      </w:r>
    </w:p>
    <w:p>
      <w:pPr>
        <w:spacing w:after="120" w:line="276" w:lineRule="auto"/>
      </w:pPr>
      <w:r>
        <w:rPr>
          <w:rFonts w:ascii="Arial" w:hAnsi="Arial"/>
          <w:i w:val="0"/>
          <w:color w:val="334155"/>
          <w:sz w:val="21"/>
        </w:rPr>
        <w:t>Unoptimized architectures fetch media from origin storage located in the US or Europe (8,000–12,000 km away across undersea cables), adding 280ms–450ms in connection handshakes. Cloudflare Edge Points of Presence (POPs) in Mumbai (BOM), Delhi, and Bangalore bring the asset to within 20–150 km of the user, achieving verified 5 ms edge cache hits.</w:t>
      </w:r>
    </w:p>
    <w:p>
      <w:pPr>
        <w:keepNext/>
        <w:spacing w:before="240" w:after="80"/>
      </w:pPr>
      <w:r>
        <w:rPr>
          <w:rFonts w:ascii="Arial" w:hAnsi="Arial"/>
          <w:b/>
          <w:color w:val="1E293B"/>
          <w:sz w:val="26"/>
        </w:rPr>
        <w:t>6.2 Compression &amp; Bandwidth (MB to KB)</w:t>
      </w:r>
    </w:p>
    <w:p>
      <w:pPr>
        <w:spacing w:after="120" w:line="276" w:lineRule="auto"/>
      </w:pPr>
      <w:r>
        <w:rPr>
          <w:rFonts w:ascii="Arial" w:hAnsi="Arial"/>
          <w:i w:val="0"/>
          <w:color w:val="334155"/>
          <w:sz w:val="21"/>
        </w:rPr>
        <w:t>Through cdnMedia.plugin.js and delivery presets (w_1200,c_limit,q_auto,f_auto):</w:t>
      </w:r>
    </w:p>
    <w:p>
      <w:pPr>
        <w:pStyle w:val="ListBullet"/>
        <w:spacing w:after="60" w:line="276" w:lineRule="auto"/>
      </w:pPr>
      <w:r>
        <w:rPr>
          <w:rFonts w:ascii="Arial" w:hAnsi="Arial"/>
          <w:b/>
          <w:color w:val="1E293B"/>
          <w:sz w:val="21"/>
        </w:rPr>
        <w:t xml:space="preserve">Asset Optimization: </w:t>
      </w:r>
      <w:r>
        <w:rPr>
          <w:rFonts w:ascii="Arial" w:hAnsi="Arial"/>
          <w:color w:val="334155"/>
          <w:sz w:val="21"/>
        </w:rPr>
        <w:t xml:space="preserve"> A 1.22 MB camera image is automatically compressed to 216 KB (82.3% bandwidth reduction).</w:t>
      </w:r>
    </w:p>
    <w:p>
      <w:pPr>
        <w:pStyle w:val="ListBullet"/>
        <w:spacing w:after="60" w:line="276" w:lineRule="auto"/>
      </w:pPr>
      <w:r>
        <w:rPr>
          <w:rFonts w:ascii="Arial" w:hAnsi="Arial"/>
          <w:b/>
          <w:color w:val="1E293B"/>
          <w:sz w:val="21"/>
        </w:rPr>
        <w:t xml:space="preserve">Next-Gen Formats: </w:t>
      </w:r>
      <w:r>
        <w:rPr>
          <w:rFonts w:ascii="Arial" w:hAnsi="Arial"/>
          <w:color w:val="334155"/>
          <w:sz w:val="21"/>
        </w:rPr>
        <w:t xml:space="preserve"> f_auto negotiates modern WebP/AVIF formats, saving 30% over traditional JPEG.</w:t>
      </w:r>
    </w:p>
    <w:p>
      <w:pPr>
        <w:pStyle w:val="ListBullet"/>
        <w:spacing w:after="60" w:line="276" w:lineRule="auto"/>
      </w:pPr>
      <w:r>
        <w:rPr>
          <w:rFonts w:ascii="Arial" w:hAnsi="Arial"/>
          <w:b/>
          <w:color w:val="1E293B"/>
          <w:sz w:val="21"/>
        </w:rPr>
        <w:t xml:space="preserve">Data Conservation: </w:t>
      </w:r>
      <w:r>
        <w:rPr>
          <w:rFonts w:ascii="Arial" w:hAnsi="Arial"/>
          <w:color w:val="334155"/>
          <w:sz w:val="21"/>
        </w:rPr>
        <w:t xml:space="preserve"> Total data usage for scrolling 20 listings dropped from ~50 MB to ~4.5 MB.</w:t>
      </w:r>
    </w:p>
    <w:p>
      <w:pPr>
        <w:keepNext/>
        <w:spacing w:before="240" w:after="80"/>
      </w:pPr>
      <w:r>
        <w:rPr>
          <w:rFonts w:ascii="Arial" w:hAnsi="Arial"/>
          <w:b/>
          <w:color w:val="1E293B"/>
          <w:sz w:val="26"/>
        </w:rPr>
        <w:t>6.3 Location/Area-Based Feed Caching (Redis + MongoDB)</w:t>
      </w:r>
    </w:p>
    <w:p>
      <w:pPr>
        <w:spacing w:after="120" w:line="276" w:lineRule="auto"/>
      </w:pPr>
      <w:r>
        <w:rPr>
          <w:rFonts w:ascii="Arial" w:hAnsi="Arial"/>
          <w:i w:val="0"/>
          <w:color w:val="334155"/>
          <w:sz w:val="21"/>
        </w:rPr>
        <w:t>Querying properties near a user requires computing spherical trigonometry (the Haversine formula) across curved 3D coordinates. Running this on every feed scroll causes severe database IOPS and CPU strain:</w:t>
      </w:r>
    </w:p>
    <w:p>
      <w:pPr>
        <w:pStyle w:val="ListBullet"/>
        <w:spacing w:after="60" w:line="276" w:lineRule="auto"/>
      </w:pPr>
      <w:r>
        <w:rPr>
          <w:rFonts w:ascii="Arial" w:hAnsi="Arial"/>
          <w:b/>
          <w:color w:val="1E293B"/>
          <w:sz w:val="21"/>
        </w:rPr>
        <w:t xml:space="preserve">Warm Phase: </w:t>
      </w:r>
      <w:r>
        <w:rPr>
          <w:rFonts w:ascii="Arial" w:hAnsi="Arial"/>
          <w:color w:val="334155"/>
          <w:sz w:val="21"/>
        </w:rPr>
        <w:t xml:space="preserve"> First Query (Cache Miss): MongoDB executes $geoNear once (146 ms) and caches the result in Redis (feed:hot:city:ratlam:5).</w:t>
      </w:r>
    </w:p>
    <w:p>
      <w:pPr>
        <w:pStyle w:val="ListBullet"/>
        <w:spacing w:after="60" w:line="276" w:lineRule="auto"/>
      </w:pPr>
      <w:r>
        <w:rPr>
          <w:rFonts w:ascii="Arial" w:hAnsi="Arial"/>
          <w:b/>
          <w:color w:val="1E293B"/>
          <w:sz w:val="21"/>
        </w:rPr>
        <w:t xml:space="preserve">Hot Phase: </w:t>
      </w:r>
      <w:r>
        <w:rPr>
          <w:rFonts w:ascii="Arial" w:hAnsi="Arial"/>
          <w:color w:val="334155"/>
          <w:sz w:val="21"/>
        </w:rPr>
        <w:t xml:space="preserve"> Subsequent Queries (Cache Hit): Served directly from in-memory Redis in 13 ms (&gt;91% faster, 0% DB CPU).</w:t>
      </w:r>
    </w:p>
    <w:p>
      <w:pPr>
        <w:keepNext/>
        <w:spacing w:before="240" w:after="80"/>
      </w:pPr>
      <w:r>
        <w:rPr>
          <w:rFonts w:ascii="Arial" w:hAnsi="Arial"/>
          <w:b/>
          <w:color w:val="1E293B"/>
          <w:sz w:val="26"/>
        </w:rPr>
        <w:t>6.4 Mobile Hardware: Why Image Bloat Drains Smartphone Battery</w:t>
      </w:r>
    </w:p>
    <w:p>
      <w:pPr>
        <w:spacing w:after="120" w:line="276" w:lineRule="auto"/>
      </w:pPr>
      <w:r>
        <w:rPr>
          <w:rFonts w:ascii="Arial" w:hAnsi="Arial"/>
          <w:i w:val="0"/>
          <w:color w:val="334155"/>
          <w:sz w:val="21"/>
        </w:rPr>
        <w:t>Image latency is not just a visual inconvenience—it directly depletes mobile hardware battery life:</w:t>
      </w:r>
    </w:p>
    <w:p>
      <w:pPr>
        <w:pStyle w:val="ListBullet"/>
        <w:spacing w:after="60" w:line="276" w:lineRule="auto"/>
      </w:pPr>
      <w:r>
        <w:rPr>
          <w:rFonts w:ascii="Arial" w:hAnsi="Arial"/>
          <w:b/>
          <w:color w:val="1E293B"/>
          <w:sz w:val="21"/>
        </w:rPr>
        <w:t xml:space="preserve">Radio State Machine: </w:t>
      </w:r>
      <w:r>
        <w:rPr>
          <w:rFonts w:ascii="Arial" w:hAnsi="Arial"/>
          <w:color w:val="334155"/>
          <w:sz w:val="21"/>
        </w:rPr>
        <w:t xml:space="preserve"> Cellular Radio Modem: 4G/5G modems consume 1,500mW–3,000mW in active transmit state. Downloading 50 MB locks the radio at peak power for 30+ seconds, plus a 10-second tail timer penalty. A 200 KB burst downloads in 100ms, letting the radio sleep immediately (saving 80% modem energy).</w:t>
      </w:r>
    </w:p>
    <w:p>
      <w:pPr>
        <w:pStyle w:val="ListBullet"/>
        <w:spacing w:after="60" w:line="276" w:lineRule="auto"/>
      </w:pPr>
      <w:r>
        <w:rPr>
          <w:rFonts w:ascii="Arial" w:hAnsi="Arial"/>
          <w:b/>
          <w:color w:val="1E293B"/>
          <w:sz w:val="21"/>
        </w:rPr>
        <w:t xml:space="preserve">Bitmap RAM Math: </w:t>
      </w:r>
      <w:r>
        <w:rPr>
          <w:rFonts w:ascii="Arial" w:hAnsi="Arial"/>
          <w:color w:val="334155"/>
          <w:sz w:val="21"/>
        </w:rPr>
        <w:t xml:space="preserve"> Bitmap Memory in RAM: A 12MP photo (3000x4000) decompresses in device RAM into 48 MB of uncompressed bitmap pixels (12M x 4 bytes RGBA). Ten unoptimized images consume 480 MB of RAM, triggering CPU thermal spikes and Garbage Collection stutter. With w_1200, memory drops to 3.8 MB (92% RAM savings).</w:t>
      </w:r>
    </w:p>
    <w:p>
      <w:pPr>
        <w:pStyle w:val="ListBullet"/>
        <w:spacing w:after="60" w:line="276" w:lineRule="auto"/>
      </w:pPr>
      <w:r>
        <w:rPr>
          <w:rFonts w:ascii="Arial" w:hAnsi="Arial"/>
          <w:b/>
          <w:color w:val="1E293B"/>
          <w:sz w:val="21"/>
        </w:rPr>
        <w:t xml:space="preserve">Device Disk Cache: </w:t>
      </w:r>
      <w:r>
        <w:rPr>
          <w:rFonts w:ascii="Arial" w:hAnsi="Arial"/>
          <w:color w:val="334155"/>
          <w:sz w:val="21"/>
        </w:rPr>
        <w:t xml:space="preserve"> Flash/NVMe Disk Caching: expo-image (powered by Google Glide / Apple SDWebImage) persists images to local device flash storage. Scrolling back loads images from flash storage at 2,000 MB/s in &lt;1ms with 0 KB cellular network usage—the identical architecture used by Instagram, TikTok, and Airbnb.</w:t>
      </w:r>
    </w:p>
    <w:p>
      <w:pPr>
        <w:keepNext/>
        <w:spacing w:before="360" w:after="120"/>
      </w:pPr>
      <w:r>
        <w:rPr>
          <w:rFonts w:ascii="Arial" w:hAnsi="Arial"/>
          <w:b/>
          <w:color w:val="0E7490"/>
          <w:sz w:val="32"/>
        </w:rPr>
        <w:t>7. System Performance Metrics Comparison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E7490"/>
            <w:tcMar>
              <w:top w:w="100" w:type="dxa"/>
              <w:bottom w:w="100" w:type="dxa"/>
              <w:left w:w="120" w:type="dxa"/>
              <w:right w:w="120" w:type="dxa"/>
            </w:tcMar>
          </w:tcPr>
          <w:p>
            <w:pPr>
              <w:jc w:val="center"/>
            </w:pPr>
            <w:r>
              <w:rPr>
                <w:rFonts w:ascii="Arial" w:hAnsi="Arial"/>
                <w:b/>
                <w:color w:val="FFFFFF"/>
                <w:sz w:val="19"/>
              </w:rPr>
              <w:t>Performance Metric</w:t>
            </w:r>
          </w:p>
        </w:tc>
        <w:tc>
          <w:tcPr>
            <w:tcW w:type="dxa" w:w="2304"/>
            <w:shd w:fill="0E7490"/>
            <w:tcMar>
              <w:top w:w="100" w:type="dxa"/>
              <w:bottom w:w="100" w:type="dxa"/>
              <w:left w:w="120" w:type="dxa"/>
              <w:right w:w="120" w:type="dxa"/>
            </w:tcMar>
          </w:tcPr>
          <w:p>
            <w:pPr>
              <w:jc w:val="center"/>
            </w:pPr>
            <w:r>
              <w:rPr>
                <w:rFonts w:ascii="Arial" w:hAnsi="Arial"/>
                <w:b/>
                <w:color w:val="FFFFFF"/>
                <w:sz w:val="19"/>
              </w:rPr>
              <w:t>Before Optimization</w:t>
            </w:r>
          </w:p>
        </w:tc>
        <w:tc>
          <w:tcPr>
            <w:tcW w:type="dxa" w:w="2304"/>
            <w:shd w:fill="0E7490"/>
            <w:tcMar>
              <w:top w:w="100" w:type="dxa"/>
              <w:bottom w:w="100" w:type="dxa"/>
              <w:left w:w="120" w:type="dxa"/>
              <w:right w:w="120" w:type="dxa"/>
            </w:tcMar>
          </w:tcPr>
          <w:p>
            <w:pPr>
              <w:jc w:val="center"/>
            </w:pPr>
            <w:r>
              <w:rPr>
                <w:rFonts w:ascii="Arial" w:hAnsi="Arial"/>
                <w:b/>
                <w:color w:val="FFFFFF"/>
                <w:sz w:val="19"/>
              </w:rPr>
              <w:t>After Optimization</w:t>
            </w:r>
          </w:p>
        </w:tc>
        <w:tc>
          <w:tcPr>
            <w:tcW w:type="dxa" w:w="2160"/>
            <w:shd w:fill="0E7490"/>
            <w:tcMar>
              <w:top w:w="100" w:type="dxa"/>
              <w:bottom w:w="100" w:type="dxa"/>
              <w:left w:w="120" w:type="dxa"/>
              <w:right w:w="120" w:type="dxa"/>
            </w:tcMar>
          </w:tcPr>
          <w:p>
            <w:pPr>
              <w:jc w:val="center"/>
            </w:pPr>
            <w:r>
              <w:rPr>
                <w:rFonts w:ascii="Arial" w:hAnsi="Arial"/>
                <w:b/>
                <w:color w:val="FFFFFF"/>
                <w:sz w:val="19"/>
              </w:rPr>
              <w:t>Overall Gain</w:t>
            </w:r>
          </w:p>
        </w:tc>
      </w:tr>
      <w:tr>
        <w:tc>
          <w:tcPr>
            <w:tcW w:type="dxa" w:w="2592"/>
            <w:shd w:fill="FFFFFF"/>
            <w:tcMar>
              <w:top w:w="80" w:type="dxa"/>
              <w:bottom w:w="80" w:type="dxa"/>
              <w:left w:w="100" w:type="dxa"/>
              <w:right w:w="100" w:type="dxa"/>
            </w:tcMar>
          </w:tcPr>
          <w:p>
            <w:r>
              <w:rPr>
                <w:rFonts w:ascii="Arial" w:hAnsi="Arial"/>
                <w:b/>
                <w:color w:val="1E293B"/>
                <w:sz w:val="18"/>
              </w:rPr>
              <w:t>Physical Distance to CDN</w:t>
            </w:r>
          </w:p>
        </w:tc>
        <w:tc>
          <w:tcPr>
            <w:tcW w:type="dxa" w:w="2304"/>
            <w:shd w:fill="FFFFFF"/>
            <w:tcMar>
              <w:top w:w="80" w:type="dxa"/>
              <w:bottom w:w="80" w:type="dxa"/>
              <w:left w:w="100" w:type="dxa"/>
              <w:right w:w="100" w:type="dxa"/>
            </w:tcMar>
          </w:tcPr>
          <w:p>
            <w:pPr>
              <w:jc w:val="center"/>
            </w:pPr>
            <w:r>
              <w:rPr>
                <w:rFonts w:ascii="Arial" w:hAnsi="Arial"/>
                <w:color w:val="334155"/>
                <w:sz w:val="18"/>
              </w:rPr>
              <w:t>8,000 – 12,000 km (US/EU)</w:t>
            </w:r>
          </w:p>
        </w:tc>
        <w:tc>
          <w:tcPr>
            <w:tcW w:type="dxa" w:w="2304"/>
            <w:shd w:fill="FFFFFF"/>
            <w:tcMar>
              <w:top w:w="80" w:type="dxa"/>
              <w:bottom w:w="80" w:type="dxa"/>
              <w:left w:w="100" w:type="dxa"/>
              <w:right w:w="100" w:type="dxa"/>
            </w:tcMar>
          </w:tcPr>
          <w:p>
            <w:pPr>
              <w:jc w:val="center"/>
            </w:pPr>
            <w:r>
              <w:rPr>
                <w:rFonts w:ascii="Arial" w:hAnsi="Arial"/>
                <w:color w:val="334155"/>
                <w:sz w:val="18"/>
              </w:rPr>
              <w:t>20 – 150 km (Mumbai BOM)</w:t>
            </w:r>
          </w:p>
        </w:tc>
        <w:tc>
          <w:tcPr>
            <w:tcW w:type="dxa" w:w="2160"/>
            <w:shd w:fill="FFFFFF"/>
            <w:tcMar>
              <w:top w:w="80" w:type="dxa"/>
              <w:bottom w:w="80" w:type="dxa"/>
              <w:left w:w="100" w:type="dxa"/>
              <w:right w:w="100" w:type="dxa"/>
            </w:tcMar>
          </w:tcPr>
          <w:p>
            <w:pPr>
              <w:jc w:val="center"/>
            </w:pPr>
            <w:r>
              <w:rPr>
                <w:rFonts w:ascii="Arial" w:hAnsi="Arial"/>
                <w:b/>
                <w:color w:val="10B981"/>
                <w:sz w:val="18"/>
              </w:rPr>
              <w:t>98% Closer</w:t>
            </w:r>
          </w:p>
        </w:tc>
      </w:tr>
      <w:tr>
        <w:tc>
          <w:tcPr>
            <w:tcW w:type="dxa" w:w="2592"/>
            <w:shd w:fill="F1F5F9"/>
            <w:tcMar>
              <w:top w:w="80" w:type="dxa"/>
              <w:bottom w:w="80" w:type="dxa"/>
              <w:left w:w="100" w:type="dxa"/>
              <w:right w:w="100" w:type="dxa"/>
            </w:tcMar>
          </w:tcPr>
          <w:p>
            <w:r>
              <w:rPr>
                <w:rFonts w:ascii="Arial" w:hAnsi="Arial"/>
                <w:b/>
                <w:color w:val="1E293B"/>
                <w:sz w:val="18"/>
              </w:rPr>
              <w:t>Image File Size (Network)</w:t>
            </w:r>
          </w:p>
        </w:tc>
        <w:tc>
          <w:tcPr>
            <w:tcW w:type="dxa" w:w="2304"/>
            <w:shd w:fill="F1F5F9"/>
            <w:tcMar>
              <w:top w:w="80" w:type="dxa"/>
              <w:bottom w:w="80" w:type="dxa"/>
              <w:left w:w="100" w:type="dxa"/>
              <w:right w:w="100" w:type="dxa"/>
            </w:tcMar>
          </w:tcPr>
          <w:p>
            <w:pPr>
              <w:jc w:val="center"/>
            </w:pPr>
            <w:r>
              <w:rPr>
                <w:rFonts w:ascii="Arial" w:hAnsi="Arial"/>
                <w:color w:val="334155"/>
                <w:sz w:val="18"/>
              </w:rPr>
              <w:t>1.2 MB – 4.0 MB (Camera)</w:t>
            </w:r>
          </w:p>
        </w:tc>
        <w:tc>
          <w:tcPr>
            <w:tcW w:type="dxa" w:w="2304"/>
            <w:shd w:fill="F1F5F9"/>
            <w:tcMar>
              <w:top w:w="80" w:type="dxa"/>
              <w:bottom w:w="80" w:type="dxa"/>
              <w:left w:w="100" w:type="dxa"/>
              <w:right w:w="100" w:type="dxa"/>
            </w:tcMar>
          </w:tcPr>
          <w:p>
            <w:pPr>
              <w:jc w:val="center"/>
            </w:pPr>
            <w:r>
              <w:rPr>
                <w:rFonts w:ascii="Arial" w:hAnsi="Arial"/>
                <w:color w:val="334155"/>
                <w:sz w:val="18"/>
              </w:rPr>
              <w:t>150 KB – 236 KB</w:t>
            </w:r>
          </w:p>
        </w:tc>
        <w:tc>
          <w:tcPr>
            <w:tcW w:type="dxa" w:w="2160"/>
            <w:shd w:fill="F1F5F9"/>
            <w:tcMar>
              <w:top w:w="80" w:type="dxa"/>
              <w:bottom w:w="80" w:type="dxa"/>
              <w:left w:w="100" w:type="dxa"/>
              <w:right w:w="100" w:type="dxa"/>
            </w:tcMar>
          </w:tcPr>
          <w:p>
            <w:pPr>
              <w:jc w:val="center"/>
            </w:pPr>
            <w:r>
              <w:rPr>
                <w:rFonts w:ascii="Arial" w:hAnsi="Arial"/>
                <w:b/>
                <w:color w:val="10B981"/>
                <w:sz w:val="18"/>
              </w:rPr>
              <w:t>82.3% Less Data</w:t>
            </w:r>
          </w:p>
        </w:tc>
      </w:tr>
      <w:tr>
        <w:tc>
          <w:tcPr>
            <w:tcW w:type="dxa" w:w="2592"/>
            <w:shd w:fill="FFFFFF"/>
            <w:tcMar>
              <w:top w:w="80" w:type="dxa"/>
              <w:bottom w:w="80" w:type="dxa"/>
              <w:left w:w="100" w:type="dxa"/>
              <w:right w:w="100" w:type="dxa"/>
            </w:tcMar>
          </w:tcPr>
          <w:p>
            <w:r>
              <w:rPr>
                <w:rFonts w:ascii="Arial" w:hAnsi="Arial"/>
                <w:b/>
                <w:color w:val="1E293B"/>
                <w:sz w:val="18"/>
              </w:rPr>
              <w:t>CDN Edge Delivery Latency</w:t>
            </w:r>
          </w:p>
        </w:tc>
        <w:tc>
          <w:tcPr>
            <w:tcW w:type="dxa" w:w="2304"/>
            <w:shd w:fill="FFFFFF"/>
            <w:tcMar>
              <w:top w:w="80" w:type="dxa"/>
              <w:bottom w:w="80" w:type="dxa"/>
              <w:left w:w="100" w:type="dxa"/>
              <w:right w:w="100" w:type="dxa"/>
            </w:tcMar>
          </w:tcPr>
          <w:p>
            <w:pPr>
              <w:jc w:val="center"/>
            </w:pPr>
            <w:r>
              <w:rPr>
                <w:rFonts w:ascii="Arial" w:hAnsi="Arial"/>
                <w:color w:val="334155"/>
                <w:sz w:val="18"/>
              </w:rPr>
              <w:t>450ms – 1,200ms</w:t>
            </w:r>
          </w:p>
        </w:tc>
        <w:tc>
          <w:tcPr>
            <w:tcW w:type="dxa" w:w="2304"/>
            <w:shd w:fill="FFFFFF"/>
            <w:tcMar>
              <w:top w:w="80" w:type="dxa"/>
              <w:bottom w:w="80" w:type="dxa"/>
              <w:left w:w="100" w:type="dxa"/>
              <w:right w:w="100" w:type="dxa"/>
            </w:tcMar>
          </w:tcPr>
          <w:p>
            <w:pPr>
              <w:jc w:val="center"/>
            </w:pPr>
            <w:r>
              <w:rPr>
                <w:rFonts w:ascii="Arial" w:hAnsi="Arial"/>
                <w:color w:val="334155"/>
                <w:sz w:val="18"/>
              </w:rPr>
              <w:t>5 ms – 15 ms (Edge Hit)</w:t>
            </w:r>
          </w:p>
        </w:tc>
        <w:tc>
          <w:tcPr>
            <w:tcW w:type="dxa" w:w="2160"/>
            <w:shd w:fill="FFFFFF"/>
            <w:tcMar>
              <w:top w:w="80" w:type="dxa"/>
              <w:bottom w:w="80" w:type="dxa"/>
              <w:left w:w="100" w:type="dxa"/>
              <w:right w:w="100" w:type="dxa"/>
            </w:tcMar>
          </w:tcPr>
          <w:p>
            <w:pPr>
              <w:jc w:val="center"/>
            </w:pPr>
            <w:r>
              <w:rPr>
                <w:rFonts w:ascii="Arial" w:hAnsi="Arial"/>
                <w:b/>
                <w:color w:val="10B981"/>
                <w:sz w:val="18"/>
              </w:rPr>
              <w:t>97% Faster</w:t>
            </w:r>
          </w:p>
        </w:tc>
      </w:tr>
      <w:tr>
        <w:tc>
          <w:tcPr>
            <w:tcW w:type="dxa" w:w="2592"/>
            <w:shd w:fill="F1F5F9"/>
            <w:tcMar>
              <w:top w:w="80" w:type="dxa"/>
              <w:bottom w:w="80" w:type="dxa"/>
              <w:left w:w="100" w:type="dxa"/>
              <w:right w:w="100" w:type="dxa"/>
            </w:tcMar>
          </w:tcPr>
          <w:p>
            <w:r>
              <w:rPr>
                <w:rFonts w:ascii="Arial" w:hAnsi="Arial"/>
                <w:b/>
                <w:color w:val="1E293B"/>
                <w:sz w:val="18"/>
              </w:rPr>
              <w:t>Area Feed API Latency</w:t>
            </w:r>
          </w:p>
        </w:tc>
        <w:tc>
          <w:tcPr>
            <w:tcW w:type="dxa" w:w="2304"/>
            <w:shd w:fill="F1F5F9"/>
            <w:tcMar>
              <w:top w:w="80" w:type="dxa"/>
              <w:bottom w:w="80" w:type="dxa"/>
              <w:left w:w="100" w:type="dxa"/>
              <w:right w:w="100" w:type="dxa"/>
            </w:tcMar>
          </w:tcPr>
          <w:p>
            <w:pPr>
              <w:jc w:val="center"/>
            </w:pPr>
            <w:r>
              <w:rPr>
                <w:rFonts w:ascii="Arial" w:hAnsi="Arial"/>
                <w:color w:val="334155"/>
                <w:sz w:val="18"/>
              </w:rPr>
              <w:t>146ms – 350ms (Mongo)</w:t>
            </w:r>
          </w:p>
        </w:tc>
        <w:tc>
          <w:tcPr>
            <w:tcW w:type="dxa" w:w="2304"/>
            <w:shd w:fill="F1F5F9"/>
            <w:tcMar>
              <w:top w:w="80" w:type="dxa"/>
              <w:bottom w:w="80" w:type="dxa"/>
              <w:left w:w="100" w:type="dxa"/>
              <w:right w:w="100" w:type="dxa"/>
            </w:tcMar>
          </w:tcPr>
          <w:p>
            <w:pPr>
              <w:jc w:val="center"/>
            </w:pPr>
            <w:r>
              <w:rPr>
                <w:rFonts w:ascii="Arial" w:hAnsi="Arial"/>
                <w:color w:val="334155"/>
                <w:sz w:val="18"/>
              </w:rPr>
              <w:t>13 ms (Redis RAM)</w:t>
            </w:r>
          </w:p>
        </w:tc>
        <w:tc>
          <w:tcPr>
            <w:tcW w:type="dxa" w:w="2160"/>
            <w:shd w:fill="F1F5F9"/>
            <w:tcMar>
              <w:top w:w="80" w:type="dxa"/>
              <w:bottom w:w="80" w:type="dxa"/>
              <w:left w:w="100" w:type="dxa"/>
              <w:right w:w="100" w:type="dxa"/>
            </w:tcMar>
          </w:tcPr>
          <w:p>
            <w:pPr>
              <w:jc w:val="center"/>
            </w:pPr>
            <w:r>
              <w:rPr>
                <w:rFonts w:ascii="Arial" w:hAnsi="Arial"/>
                <w:b/>
                <w:color w:val="10B981"/>
                <w:sz w:val="18"/>
              </w:rPr>
              <w:t>91% Faster</w:t>
            </w:r>
          </w:p>
        </w:tc>
      </w:tr>
      <w:tr>
        <w:tc>
          <w:tcPr>
            <w:tcW w:type="dxa" w:w="2592"/>
            <w:shd w:fill="FFFFFF"/>
            <w:tcMar>
              <w:top w:w="80" w:type="dxa"/>
              <w:bottom w:w="80" w:type="dxa"/>
              <w:left w:w="100" w:type="dxa"/>
              <w:right w:w="100" w:type="dxa"/>
            </w:tcMar>
          </w:tcPr>
          <w:p>
            <w:r>
              <w:rPr>
                <w:rFonts w:ascii="Arial" w:hAnsi="Arial"/>
                <w:b/>
                <w:color w:val="1E293B"/>
                <w:sz w:val="18"/>
              </w:rPr>
              <w:t>Phone RAM Footprint (10 imgs)</w:t>
            </w:r>
          </w:p>
        </w:tc>
        <w:tc>
          <w:tcPr>
            <w:tcW w:type="dxa" w:w="2304"/>
            <w:shd w:fill="FFFFFF"/>
            <w:tcMar>
              <w:top w:w="80" w:type="dxa"/>
              <w:bottom w:w="80" w:type="dxa"/>
              <w:left w:w="100" w:type="dxa"/>
              <w:right w:w="100" w:type="dxa"/>
            </w:tcMar>
          </w:tcPr>
          <w:p>
            <w:pPr>
              <w:jc w:val="center"/>
            </w:pPr>
            <w:r>
              <w:rPr>
                <w:rFonts w:ascii="Arial" w:hAnsi="Arial"/>
                <w:color w:val="334155"/>
                <w:sz w:val="18"/>
              </w:rPr>
              <w:t>480 MB Bitmap Memory</w:t>
            </w:r>
          </w:p>
        </w:tc>
        <w:tc>
          <w:tcPr>
            <w:tcW w:type="dxa" w:w="2304"/>
            <w:shd w:fill="FFFFFF"/>
            <w:tcMar>
              <w:top w:w="80" w:type="dxa"/>
              <w:bottom w:w="80" w:type="dxa"/>
              <w:left w:w="100" w:type="dxa"/>
              <w:right w:w="100" w:type="dxa"/>
            </w:tcMar>
          </w:tcPr>
          <w:p>
            <w:pPr>
              <w:jc w:val="center"/>
            </w:pPr>
            <w:r>
              <w:rPr>
                <w:rFonts w:ascii="Arial" w:hAnsi="Arial"/>
                <w:color w:val="334155"/>
                <w:sz w:val="18"/>
              </w:rPr>
              <w:t>38 MB Bitmap Memory</w:t>
            </w:r>
          </w:p>
        </w:tc>
        <w:tc>
          <w:tcPr>
            <w:tcW w:type="dxa" w:w="2160"/>
            <w:shd w:fill="FFFFFF"/>
            <w:tcMar>
              <w:top w:w="80" w:type="dxa"/>
              <w:bottom w:w="80" w:type="dxa"/>
              <w:left w:w="100" w:type="dxa"/>
              <w:right w:w="100" w:type="dxa"/>
            </w:tcMar>
          </w:tcPr>
          <w:p>
            <w:pPr>
              <w:jc w:val="center"/>
            </w:pPr>
            <w:r>
              <w:rPr>
                <w:rFonts w:ascii="Arial" w:hAnsi="Arial"/>
                <w:b/>
                <w:color w:val="10B981"/>
                <w:sz w:val="18"/>
              </w:rPr>
              <w:t>92% Less RAM</w:t>
            </w:r>
          </w:p>
        </w:tc>
      </w:tr>
      <w:tr>
        <w:tc>
          <w:tcPr>
            <w:tcW w:type="dxa" w:w="2592"/>
            <w:shd w:fill="F1F5F9"/>
            <w:tcMar>
              <w:top w:w="80" w:type="dxa"/>
              <w:bottom w:w="80" w:type="dxa"/>
              <w:left w:w="100" w:type="dxa"/>
              <w:right w:w="100" w:type="dxa"/>
            </w:tcMar>
          </w:tcPr>
          <w:p>
            <w:r>
              <w:rPr>
                <w:rFonts w:ascii="Arial" w:hAnsi="Arial"/>
                <w:b/>
                <w:color w:val="1E293B"/>
                <w:sz w:val="18"/>
              </w:rPr>
              <w:t>Cellular Radio Active Time</w:t>
            </w:r>
          </w:p>
        </w:tc>
        <w:tc>
          <w:tcPr>
            <w:tcW w:type="dxa" w:w="2304"/>
            <w:shd w:fill="F1F5F9"/>
            <w:tcMar>
              <w:top w:w="80" w:type="dxa"/>
              <w:bottom w:w="80" w:type="dxa"/>
              <w:left w:w="100" w:type="dxa"/>
              <w:right w:w="100" w:type="dxa"/>
            </w:tcMar>
          </w:tcPr>
          <w:p>
            <w:pPr>
              <w:jc w:val="center"/>
            </w:pPr>
            <w:r>
              <w:rPr>
                <w:rFonts w:ascii="Arial" w:hAnsi="Arial"/>
                <w:color w:val="334155"/>
                <w:sz w:val="18"/>
              </w:rPr>
              <w:t>25 – 45 seconds (Max Power)</w:t>
            </w:r>
          </w:p>
        </w:tc>
        <w:tc>
          <w:tcPr>
            <w:tcW w:type="dxa" w:w="2304"/>
            <w:shd w:fill="F1F5F9"/>
            <w:tcMar>
              <w:top w:w="80" w:type="dxa"/>
              <w:bottom w:w="80" w:type="dxa"/>
              <w:left w:w="100" w:type="dxa"/>
              <w:right w:w="100" w:type="dxa"/>
            </w:tcMar>
          </w:tcPr>
          <w:p>
            <w:pPr>
              <w:jc w:val="center"/>
            </w:pPr>
            <w:r>
              <w:rPr>
                <w:rFonts w:ascii="Arial" w:hAnsi="Arial"/>
                <w:color w:val="334155"/>
                <w:sz w:val="18"/>
              </w:rPr>
              <w:t>&lt; 0.5s burst, then sleep</w:t>
            </w:r>
          </w:p>
        </w:tc>
        <w:tc>
          <w:tcPr>
            <w:tcW w:type="dxa" w:w="2160"/>
            <w:shd w:fill="F1F5F9"/>
            <w:tcMar>
              <w:top w:w="80" w:type="dxa"/>
              <w:bottom w:w="80" w:type="dxa"/>
              <w:left w:w="100" w:type="dxa"/>
              <w:right w:w="100" w:type="dxa"/>
            </w:tcMar>
          </w:tcPr>
          <w:p>
            <w:pPr>
              <w:jc w:val="center"/>
            </w:pPr>
            <w:r>
              <w:rPr>
                <w:rFonts w:ascii="Arial" w:hAnsi="Arial"/>
                <w:b/>
                <w:color w:val="10B981"/>
                <w:sz w:val="18"/>
              </w:rPr>
              <w:t>80% Radio Energy Saved</w:t>
            </w:r>
          </w:p>
        </w:tc>
      </w:tr>
      <w:tr>
        <w:tc>
          <w:tcPr>
            <w:tcW w:type="dxa" w:w="2592"/>
            <w:shd w:fill="FFFFFF"/>
            <w:tcMar>
              <w:top w:w="80" w:type="dxa"/>
              <w:bottom w:w="80" w:type="dxa"/>
              <w:left w:w="100" w:type="dxa"/>
              <w:right w:w="100" w:type="dxa"/>
            </w:tcMar>
          </w:tcPr>
          <w:p>
            <w:r>
              <w:rPr>
                <w:rFonts w:ascii="Arial" w:hAnsi="Arial"/>
                <w:b/>
                <w:color w:val="1E293B"/>
                <w:sz w:val="18"/>
              </w:rPr>
              <w:t>Mobile Feed Scroll Rate</w:t>
            </w:r>
          </w:p>
        </w:tc>
        <w:tc>
          <w:tcPr>
            <w:tcW w:type="dxa" w:w="2304"/>
            <w:shd w:fill="FFFFFF"/>
            <w:tcMar>
              <w:top w:w="80" w:type="dxa"/>
              <w:bottom w:w="80" w:type="dxa"/>
              <w:left w:w="100" w:type="dxa"/>
              <w:right w:w="100" w:type="dxa"/>
            </w:tcMar>
          </w:tcPr>
          <w:p>
            <w:pPr>
              <w:jc w:val="center"/>
            </w:pPr>
            <w:r>
              <w:rPr>
                <w:rFonts w:ascii="Arial" w:hAnsi="Arial"/>
                <w:color w:val="334155"/>
                <w:sz w:val="18"/>
              </w:rPr>
              <w:t>Janky / Stuttering (30 FPS)</w:t>
            </w:r>
          </w:p>
        </w:tc>
        <w:tc>
          <w:tcPr>
            <w:tcW w:type="dxa" w:w="2304"/>
            <w:shd w:fill="FFFFFF"/>
            <w:tcMar>
              <w:top w:w="80" w:type="dxa"/>
              <w:bottom w:w="80" w:type="dxa"/>
              <w:left w:w="100" w:type="dxa"/>
              <w:right w:w="100" w:type="dxa"/>
            </w:tcMar>
          </w:tcPr>
          <w:p>
            <w:pPr>
              <w:jc w:val="center"/>
            </w:pPr>
            <w:r>
              <w:rPr>
                <w:rFonts w:ascii="Arial" w:hAnsi="Arial"/>
                <w:color w:val="334155"/>
                <w:sz w:val="18"/>
              </w:rPr>
              <w:t>Butter-smooth (60–120 FPS)</w:t>
            </w:r>
          </w:p>
        </w:tc>
        <w:tc>
          <w:tcPr>
            <w:tcW w:type="dxa" w:w="2160"/>
            <w:shd w:fill="FFFFFF"/>
            <w:tcMar>
              <w:top w:w="80" w:type="dxa"/>
              <w:bottom w:w="80" w:type="dxa"/>
              <w:left w:w="100" w:type="dxa"/>
              <w:right w:w="100" w:type="dxa"/>
            </w:tcMar>
          </w:tcPr>
          <w:p>
            <w:pPr>
              <w:jc w:val="center"/>
            </w:pPr>
            <w:r>
              <w:rPr>
                <w:rFonts w:ascii="Arial" w:hAnsi="Arial"/>
                <w:b/>
                <w:color w:val="10B981"/>
                <w:sz w:val="18"/>
              </w:rPr>
              <w:t>Native Smoothness</w:t>
            </w:r>
          </w:p>
        </w:tc>
      </w:tr>
    </w:tbl>
    <w:p>
      <w:pPr>
        <w:spacing w:after="240"/>
      </w:pPr>
    </w:p>
    <w:p>
      <w:pPr>
        <w:keepNext/>
        <w:spacing w:before="360" w:after="120"/>
      </w:pPr>
      <w:r>
        <w:rPr>
          <w:rFonts w:ascii="Arial" w:hAnsi="Arial"/>
          <w:b/>
          <w:color w:val="0E7490"/>
          <w:sz w:val="32"/>
        </w:rPr>
        <w:t>8. Release &amp; Deployment Status</w:t>
      </w:r>
    </w:p>
    <w:p>
      <w:pPr>
        <w:keepNext/>
        <w:spacing w:before="240" w:after="80"/>
      </w:pPr>
      <w:r>
        <w:rPr>
          <w:rFonts w:ascii="Arial" w:hAnsi="Arial"/>
          <w:b/>
          <w:color w:val="1E293B"/>
          <w:sz w:val="26"/>
        </w:rPr>
        <w:t>8.1 Code Repositories &amp; Pull Requests</w:t>
      </w:r>
    </w:p>
    <w:p>
      <w:pPr>
        <w:pStyle w:val="ListBullet"/>
        <w:spacing w:after="60" w:line="276" w:lineRule="auto"/>
      </w:pPr>
      <w:r>
        <w:rPr>
          <w:rFonts w:ascii="Arial" w:hAnsi="Arial"/>
          <w:b/>
          <w:color w:val="1E293B"/>
          <w:sz w:val="21"/>
        </w:rPr>
        <w:t xml:space="preserve">Web &amp; API PR: </w:t>
      </w:r>
      <w:r>
        <w:rPr>
          <w:rFonts w:ascii="Arial" w:hAnsi="Arial"/>
          <w:color w:val="334155"/>
          <w:sz w:val="21"/>
        </w:rPr>
        <w:t xml:space="preserve"> insell (Web &amp; Backend): Branch feat/ai-valuation-mobile-and-serper-scraper raised against origin/main. Contains full Serper scraper, valuation intent fix, 375x667 mobile badge modals, and 30 passing test files (292 tests).</w:t>
      </w:r>
    </w:p>
    <w:p>
      <w:pPr>
        <w:pStyle w:val="ListBullet"/>
        <w:spacing w:after="60" w:line="276" w:lineRule="auto"/>
      </w:pPr>
      <w:r>
        <w:rPr>
          <w:rFonts w:ascii="Arial" w:hAnsi="Arial"/>
          <w:b/>
          <w:color w:val="1E293B"/>
          <w:sz w:val="21"/>
        </w:rPr>
        <w:t xml:space="preserve">Mobile App PR: </w:t>
      </w:r>
      <w:r>
        <w:rPr>
          <w:rFonts w:ascii="Arial" w:hAnsi="Arial"/>
          <w:color w:val="334155"/>
          <w:sz w:val="21"/>
        </w:rPr>
        <w:t xml:space="preserve"> insell-app (React Native Mobile): Branch feat/ai-valuation-badge-modal-and-rental-fix raised against origin/main. Contains React Native AiValuationCard, NeighborhoodVibeCard modals, TypeScript updates, and 39 passing Jest suites (307 tests).</w:t>
      </w:r>
    </w:p>
    <w:p>
      <w:pPr>
        <w:keepNext/>
        <w:spacing w:before="240" w:after="80"/>
      </w:pPr>
      <w:r>
        <w:rPr>
          <w:rFonts w:ascii="Arial" w:hAnsi="Arial"/>
          <w:b/>
          <w:color w:val="1E293B"/>
          <w:sz w:val="26"/>
        </w:rPr>
        <w:t>8.2 Mobile Android APK Build</w:t>
      </w:r>
    </w:p>
    <w:p>
      <w:pPr>
        <w:pStyle w:val="ListBullet"/>
        <w:spacing w:after="60" w:line="276" w:lineRule="auto"/>
      </w:pPr>
      <w:r>
        <w:rPr>
          <w:rFonts w:ascii="Arial" w:hAnsi="Arial"/>
          <w:b/>
          <w:color w:val="1E293B"/>
          <w:sz w:val="21"/>
        </w:rPr>
        <w:t xml:space="preserve">EAS Build Profile: </w:t>
      </w:r>
      <w:r>
        <w:rPr>
          <w:rFonts w:ascii="Arial" w:hAnsi="Arial"/>
          <w:color w:val="334155"/>
          <w:sz w:val="21"/>
        </w:rPr>
        <w:t xml:space="preserve"> Profile: preview (Standalone installable .apk)</w:t>
      </w:r>
    </w:p>
    <w:p>
      <w:pPr>
        <w:pStyle w:val="ListBullet"/>
        <w:spacing w:after="60" w:line="276" w:lineRule="auto"/>
      </w:pPr>
      <w:r>
        <w:rPr>
          <w:rFonts w:ascii="Arial" w:hAnsi="Arial"/>
          <w:b/>
          <w:color w:val="1E293B"/>
          <w:sz w:val="21"/>
        </w:rPr>
        <w:t xml:space="preserve">Application Version: </w:t>
      </w:r>
      <w:r>
        <w:rPr>
          <w:rFonts w:ascii="Arial" w:hAnsi="Arial"/>
          <w:color w:val="334155"/>
          <w:sz w:val="21"/>
        </w:rPr>
        <w:t xml:space="preserve"> Version: 1.0.0 (Version Code 19)</w:t>
      </w:r>
    </w:p>
    <w:p>
      <w:pPr>
        <w:pStyle w:val="ListBullet"/>
        <w:spacing w:after="60" w:line="276" w:lineRule="auto"/>
      </w:pPr>
      <w:r>
        <w:rPr>
          <w:rFonts w:ascii="Arial" w:hAnsi="Arial"/>
          <w:b/>
          <w:color w:val="1E293B"/>
          <w:sz w:val="21"/>
        </w:rPr>
        <w:t xml:space="preserve">Download Dashboard: </w:t>
      </w:r>
      <w:r>
        <w:rPr>
          <w:rFonts w:ascii="Arial" w:hAnsi="Arial"/>
          <w:color w:val="334155"/>
          <w:sz w:val="21"/>
        </w:rPr>
        <w:t xml:space="preserve"> Build Artifact URL: https://expo.dev/accounts/insell-test/projects/insell-app/builds/045cb3c6-3de7-4456-8a82-3c3cb6c62d0f</w:t>
      </w:r>
    </w:p>
    <w:p>
      <w:pPr>
        <w:keepNext/>
        <w:spacing w:before="240" w:after="80"/>
      </w:pPr>
      <w:r>
        <w:rPr>
          <w:rFonts w:ascii="Arial" w:hAnsi="Arial"/>
          <w:b/>
          <w:color w:val="1E293B"/>
          <w:sz w:val="26"/>
        </w:rPr>
        <w:t>8.3 Security &amp; Secret Remediation</w:t>
      </w:r>
    </w:p>
    <w:p>
      <w:pPr>
        <w:spacing w:after="120" w:line="276" w:lineRule="auto"/>
      </w:pPr>
      <w:r>
        <w:rPr>
          <w:rFonts w:ascii="Arial" w:hAnsi="Arial"/>
          <w:i w:val="0"/>
          <w:color w:val="334155"/>
          <w:sz w:val="21"/>
        </w:rPr>
        <w:t>The temporary migration script branch containing hardcoded production database strings was completely deleted from the remote GitHub repository. The script server/scripts/migrateProdCloudinary.js and its 270KB backup report are preserved safely on your local disk with all connection parameters abstracted to environment variables.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