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handbook</w:t>
      </w:r>
    </w:p>
    <w:p>
      <w:r>
        <w:t>This handbook explains how Harbor Lane Mutual handles a claim from first call to payment.</w:t>
      </w:r>
    </w:p>
    <w:p>
      <w:pPr>
        <w:pStyle w:val="Heading2"/>
      </w:pPr>
      <w:r>
        <w:t>Reporting a loss</w:t>
      </w:r>
    </w:p>
    <w:p>
      <w:r>
        <w:t>Report a loss within 30 days of discovering it. Have your policy number and the date of loss ready.</w:t>
      </w:r>
    </w:p>
    <w:p>
      <w:pPr>
        <w:pStyle w:val="Heading3"/>
      </w:pPr>
      <w:r>
        <w:t>Water damage</w:t>
      </w:r>
    </w:p>
    <w:p>
      <w:r>
        <w:t>Sudden bursts of a pipe are covered under the HO-3 line. Gradual seepage over weeks is not covered.</w:t>
      </w:r>
    </w:p>
    <w:p>
      <w:pPr>
        <w:pStyle w:val="Heading2"/>
      </w:pPr>
      <w:r>
        <w:t>Payments</w:t>
      </w:r>
    </w:p>
    <w:p>
      <w:r>
        <w:t>Approved claims are paid by bank transfer within ten business days. A cheque takes longer.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Claims handbook</dc:title>
  <dc:subject/>
  <dc:creator>Harbor Lane Mutual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