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00" w:before="0"/>
        <w:jc w:val="center"/>
      </w:pPr>
      <w:r>
        <w:rPr>
          <w:rFonts w:ascii="Arial" w:cs="Arial" w:eastAsia="Arial" w:hAnsi="Arial"/>
          <w:sz w:val="96"/>
          <w:szCs w:val="96"/>
        </w:rPr>
        <w:t xml:space="preserve">☁️</w:t>
      </w:r>
    </w:p>
    <w:p>
      <w:pPr>
        <w:spacing w:after="120" w:before="0"/>
      </w:pPr>
      <w:r>
        <w:t xml:space="preserve"/>
      </w:r>
    </w:p>
    <w:p>
      <w:pPr>
        <w:spacing w:after="200" w:before="0"/>
        <w:jc w:val="center"/>
      </w:pPr>
      <w:r>
        <w:rPr>
          <w:rFonts w:ascii="Arial" w:cs="Arial" w:eastAsia="Arial" w:hAnsi="Arial"/>
          <w:b/>
          <w:bCs/>
          <w:color w:val="FF9900"/>
          <w:sz w:val="28"/>
          <w:szCs w:val="28"/>
        </w:rPr>
        <w:t xml:space="preserve">THE RISE OF</w:t>
      </w:r>
    </w:p>
    <w:p>
      <w:pPr>
        <w:spacing w:after="300" w:before="0"/>
        <w:jc w:val="center"/>
      </w:pPr>
      <w:r>
        <w:rPr>
          <w:rFonts w:ascii="Arial" w:cs="Arial" w:eastAsia="Arial" w:hAnsi="Arial"/>
          <w:b/>
          <w:bCs/>
          <w:color w:val="232F3E"/>
          <w:sz w:val="72"/>
          <w:szCs w:val="72"/>
        </w:rPr>
        <w:t xml:space="preserve">AWS BEDROCK</w:t>
      </w:r>
    </w:p>
    <w:p>
      <w:pPr>
        <w:spacing w:after="500" w:before="0"/>
        <w:jc w:val="center"/>
      </w:pPr>
      <w:r>
        <w:rPr>
          <w:rFonts w:ascii="Arial" w:cs="Arial" w:eastAsia="Arial" w:hAnsi="Arial"/>
          <w:color w:val="444444"/>
          <w:sz w:val="28"/>
          <w:szCs w:val="28"/>
        </w:rPr>
        <w:t xml:space="preserve">How Amazon is Making Generative AI Accessible
to Every Developer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single" w:color="FF9900" w:sz="2"/>
              <w:left w:val="single" w:color="FF9900" w:sz="2"/>
              <w:bottom w:val="single" w:color="FF9900" w:sz="2"/>
              <w:right w:val="single" w:color="FF9900" w:sz="2"/>
            </w:tcBorders>
            <w:shd w:fill="232F3E" w:val="clear"/>
            <w:tcMar>
              <w:top w:type="dxa" w:w="160"/>
              <w:left w:type="dxa" w:w="240"/>
              <w:bottom w:type="dxa" w:w="160"/>
              <w:right w:type="dxa" w:w="240"/>
            </w:tcMar>
          </w:tcPr>
          <w:p/>
        </w:tc>
      </w:tr>
    </w:tbl>
    <w:p>
      <w:pPr>
        <w:spacing w:after="240" w:before="0"/>
      </w:pPr>
      <w:r>
        <w:t xml:space="preserve"/>
      </w:r>
    </w:p>
    <w:p>
      <w:r>
        <w:br w:type="page"/>
      </w:r>
    </w:p>
    <w:p>
      <w:pPr>
        <w:pStyle w:val="Heading1"/>
        <w:spacing w:after="200" w:before="400"/>
      </w:pPr>
      <w:r>
        <w:rPr>
          <w:rFonts w:ascii="Arial" w:cs="Arial" w:eastAsia="Arial" w:hAnsi="Arial"/>
          <w:b/>
          <w:bCs/>
          <w:color w:val="232F3E"/>
          <w:sz w:val="36"/>
          <w:szCs w:val="36"/>
        </w:rPr>
        <w:t xml:space="preserve">Introduction: The Generative AI Gold Rush</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Artificial intelligence is no longer a luxury reserved for tech giants with billion-dollar research budgets. In 2026, generative AI has become as fundamental to business operations as cloud storage itself. At the epicenter of this transformation is Amazon Web Services, and its flagship offering — Amazon Bedrock — is rapidly emerging as the definitive platform for enterprises seeking to embed large language models (LLMs) and multimodal AI directly into their products, workflows, and customer experiences.</w:t>
      </w:r>
    </w:p>
    <w:p>
      <w:pPr>
        <w:spacing w:after="120" w:before="0"/>
      </w:pPr>
      <w:r>
        <w:t xml:space="preserve"/>
      </w:r>
    </w:p>
    <w:p>
      <w:pPr>
        <w:spacing w:after="120" w:before="80"/>
        <w:jc w:val="both"/>
      </w:pPr>
      <w:r>
        <w:rPr>
          <w:rFonts w:ascii="Arial" w:cs="Arial" w:eastAsia="Arial" w:hAnsi="Arial"/>
          <w:color w:val="444444"/>
          <w:sz w:val="22"/>
          <w:szCs w:val="22"/>
        </w:rPr>
        <w:t xml:space="preserve">Amazon Bedrock, launched in general availability in late 2023 and dramatically expanded through 2024 and 2025, is a fully managed service that gives developers and data scientists access to a curated library of foundation models (FMs) from Amazon and leading AI companies — all through a single, unified API. No infrastructure to manage, no GPU clusters to provision, no model weights to host. Just intelligence, on demand.</w:t>
      </w:r>
    </w:p>
    <w:p>
      <w:pPr>
        <w:spacing w:after="120" w:before="0"/>
      </w:pPr>
      <w:r>
        <w:t xml:space="preserve"/>
      </w:r>
    </w:p>
    <w:p>
      <w:pPr>
        <w:spacing w:after="120" w:before="80"/>
        <w:jc w:val="both"/>
      </w:pPr>
      <w:r>
        <w:rPr>
          <w:rFonts w:ascii="Arial" w:cs="Arial" w:eastAsia="Arial" w:hAnsi="Arial"/>
          <w:color w:val="444444"/>
          <w:sz w:val="22"/>
          <w:szCs w:val="22"/>
        </w:rPr>
        <w:t xml:space="preserve">This blog takes a deep technical and strategic look at what AWS Bedrock actually offers, why it matters, how it compares to alternatives, and what real-world architectures built on top of it look like. Whether you are a developer, a CTO, or simply an enthusiast trying to understand where AI infrastructure is heading, this is your comprehensive guide.</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What Exactly Is Amazon Bedrock?</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Amazon Bedrock is best understood as an AI model marketplace and orchestration platform rolled into one. It abstracts away all the undifferentiated heavy lifting of working with foundation models — hardware, deployment, scaling, versioning — and lets you focus entirely on building applications.</w:t>
      </w:r>
    </w:p>
    <w:p>
      <w:pPr>
        <w:spacing w:after="120" w:before="0"/>
      </w:pPr>
      <w:r>
        <w:t xml:space="preserve"/>
      </w:r>
    </w:p>
    <w:p>
      <w:pPr>
        <w:pStyle w:val="Heading2"/>
        <w:spacing w:after="150" w:before="300"/>
      </w:pPr>
      <w:r>
        <w:rPr>
          <w:rFonts w:ascii="Arial" w:cs="Arial" w:eastAsia="Arial" w:hAnsi="Arial"/>
          <w:b/>
          <w:bCs/>
          <w:color w:val="1B4F72"/>
          <w:sz w:val="28"/>
          <w:szCs w:val="28"/>
        </w:rPr>
        <w:t xml:space="preserve">The Core Value Proposition</w:t>
      </w:r>
    </w:p>
    <w:p>
      <w:pPr>
        <w:spacing w:after="120" w:before="80"/>
        <w:jc w:val="both"/>
      </w:pPr>
      <w:r>
        <w:rPr>
          <w:rFonts w:ascii="Arial" w:cs="Arial" w:eastAsia="Arial" w:hAnsi="Arial"/>
          <w:color w:val="444444"/>
          <w:sz w:val="22"/>
          <w:szCs w:val="22"/>
        </w:rPr>
        <w:t xml:space="preserve">At its heart, Bedrock answers a simple but critical question: how do you take a powerful AI model and make it production-ready, enterprise-safe, and cost-effective at the same time? The answer is a platform that provides:</w:t>
      </w:r>
    </w:p>
    <w:p>
      <w:pPr>
        <w:spacing w:after="120" w:before="0"/>
      </w:pPr>
      <w:r>
        <w:t xml:space="preserve"/>
      </w:r>
    </w:p>
    <w:p>
      <w:pPr>
        <w:pStyle w:val="ListParagraph"/>
        <w:numPr>
          <w:ilvl w:val="0"/>
          <w:numId w:val="2"/>
        </w:numPr>
        <w:spacing w:after="60" w:before="60"/>
      </w:pPr>
      <w:r>
        <w:rPr>
          <w:rFonts w:ascii="Arial" w:cs="Arial" w:eastAsia="Arial" w:hAnsi="Arial"/>
          <w:b/>
          <w:bCs/>
          <w:color w:val="232F3E"/>
          <w:sz w:val="22"/>
          <w:szCs w:val="22"/>
        </w:rPr>
        <w:t xml:space="preserve">Model Choice: </w:t>
      </w:r>
      <w:r>
        <w:rPr>
          <w:rFonts w:ascii="Arial" w:cs="Arial" w:eastAsia="Arial" w:hAnsi="Arial"/>
          <w:color w:val="444444"/>
          <w:sz w:val="22"/>
          <w:szCs w:val="22"/>
        </w:rPr>
        <w:t xml:space="preserve">Access to 25+ foundation models including Anthropic's Claude series, Amazon's own Titan and Nova families, Meta's Llama 3, Mistral AI, Stability AI, and Cohere — all under one API contract.</w:t>
      </w:r>
    </w:p>
    <w:p>
      <w:pPr>
        <w:pStyle w:val="ListParagraph"/>
        <w:numPr>
          <w:ilvl w:val="0"/>
          <w:numId w:val="2"/>
        </w:numPr>
        <w:spacing w:after="60" w:before="60"/>
      </w:pPr>
      <w:r>
        <w:rPr>
          <w:rFonts w:ascii="Arial" w:cs="Arial" w:eastAsia="Arial" w:hAnsi="Arial"/>
          <w:b/>
          <w:bCs/>
          <w:color w:val="232F3E"/>
          <w:sz w:val="22"/>
          <w:szCs w:val="22"/>
        </w:rPr>
        <w:t xml:space="preserve">Enterprise Security: </w:t>
      </w:r>
      <w:r>
        <w:rPr>
          <w:rFonts w:ascii="Arial" w:cs="Arial" w:eastAsia="Arial" w:hAnsi="Arial"/>
          <w:color w:val="444444"/>
          <w:sz w:val="22"/>
          <w:szCs w:val="22"/>
        </w:rPr>
        <w:t xml:space="preserve">Every model invocation runs inside your own AWS account's VPC. No data is ever shared with model providers for training. This is a non-negotiable requirement for regulated industries.</w:t>
      </w:r>
    </w:p>
    <w:p>
      <w:pPr>
        <w:pStyle w:val="ListParagraph"/>
        <w:numPr>
          <w:ilvl w:val="0"/>
          <w:numId w:val="2"/>
        </w:numPr>
        <w:spacing w:after="60" w:before="60"/>
      </w:pPr>
      <w:r>
        <w:rPr>
          <w:rFonts w:ascii="Arial" w:cs="Arial" w:eastAsia="Arial" w:hAnsi="Arial"/>
          <w:b/>
          <w:bCs/>
          <w:color w:val="232F3E"/>
          <w:sz w:val="22"/>
          <w:szCs w:val="22"/>
        </w:rPr>
        <w:t xml:space="preserve">Managed Scaling: </w:t>
      </w:r>
      <w:r>
        <w:rPr>
          <w:rFonts w:ascii="Arial" w:cs="Arial" w:eastAsia="Arial" w:hAnsi="Arial"/>
          <w:color w:val="444444"/>
          <w:sz w:val="22"/>
          <w:szCs w:val="22"/>
        </w:rPr>
        <w:t xml:space="preserve">Bedrock auto-scales to handle anything from a handful of test requests to millions of production inferences per day, with built-in load balancing across regions.</w:t>
      </w:r>
    </w:p>
    <w:p>
      <w:pPr>
        <w:pStyle w:val="ListParagraph"/>
        <w:numPr>
          <w:ilvl w:val="0"/>
          <w:numId w:val="2"/>
        </w:numPr>
        <w:spacing w:after="60" w:before="60"/>
      </w:pPr>
      <w:r>
        <w:rPr>
          <w:rFonts w:ascii="Arial" w:cs="Arial" w:eastAsia="Arial" w:hAnsi="Arial"/>
          <w:b/>
          <w:bCs/>
          <w:color w:val="232F3E"/>
          <w:sz w:val="22"/>
          <w:szCs w:val="22"/>
        </w:rPr>
        <w:t xml:space="preserve">Native AWS Integration: </w:t>
      </w:r>
      <w:r>
        <w:rPr>
          <w:rFonts w:ascii="Arial" w:cs="Arial" w:eastAsia="Arial" w:hAnsi="Arial"/>
          <w:color w:val="444444"/>
          <w:sz w:val="22"/>
          <w:szCs w:val="22"/>
        </w:rPr>
        <w:t xml:space="preserve">Bedrock connects natively with S3 for documents, OpenSearch for vector search, Lambda for serverless orchestration, CloudWatch for observability, and IAM for fine-grained access control.</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The Bedrock Architecture: How It All Connects</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Understanding Bedrock requires visualizing how its components interact. The diagram below illustrates a complete Bedrock-powered application stack — from the end user all the way down to the underlying foundation models and supporting services: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800"/>
        <w:gridCol w:w="2200"/>
        <w:gridCol w:w="1160"/>
      </w:tblGrid>
      <w:tr>
        <w:tc>
          <w:tcPr>
            <w:tcBorders>
              <w:top w:val="single" w:color="AAAAAA" w:sz="1"/>
              <w:left w:val="single" w:color="AAAAAA" w:sz="1"/>
              <w:bottom w:val="single" w:color="AAAAAA" w:sz="1"/>
              <w:right w:val="single" w:color="AAAAAA" w:sz="1"/>
            </w:tcBorders>
            <w:shd w:fill="E8F4FD" w:val="clear"/>
            <w:tcMar>
              <w:top w:type="dxa" w:w="100"/>
              <w:left w:type="dxa" w:w="120"/>
              <w:bottom w:type="dxa" w:w="100"/>
              <w:right w:type="dxa" w:w="120"/>
            </w:tcMar>
            <w:vAlign w:val="center"/>
          </w:tcPr>
          <w:p>
            <w:pPr>
              <w:jc w:val="center"/>
            </w:pPr>
            <w:r>
              <w:rPr>
                <w:rFonts w:ascii="Arial" w:cs="Arial" w:eastAsia="Arial" w:hAnsi="Arial"/>
                <w:b/>
                <w:bCs/>
                <w:color w:val="1B4F72"/>
                <w:sz w:val="18"/>
                <w:szCs w:val="18"/>
              </w:rPr>
              <w:t xml:space="preserve">👤 User / Application</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r>
      <w:tr>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r>
      <w:tr>
        <w:tc>
          <w:tcPr>
            <w:tcBorders>
              <w:top w:val="single" w:color="AAAAAA" w:sz="1"/>
              <w:left w:val="single" w:color="AAAAAA" w:sz="1"/>
              <w:bottom w:val="single" w:color="AAAAAA" w:sz="1"/>
              <w:right w:val="single" w:color="AAAAAA" w:sz="1"/>
            </w:tcBorders>
            <w:shd w:fill="FF99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Amazon Bedrock API</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tcPr>
          <w:p>
            <w:r>
              <w:t xml:space="preserve"/>
            </w:r>
          </w:p>
        </w:tc>
      </w:tr>
      <w:tr>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w:t>
            </w:r>
          </w:p>
        </w:tc>
        <w:tc>
          <w:tcPr>
            <w:tcBorders>
              <w:top w:val="none"/>
              <w:left w:val="none"/>
              <w:bottom w:val="none"/>
              <w:right w:val="none"/>
            </w:tcBorders>
            <w:shd w:fill="FFFFFF" w:val="clear"/>
            <w:tcMar>
              <w:top w:type="dxa" w:w="60"/>
              <w:left w:type="dxa" w:w="60"/>
              <w:bottom w:type="dxa" w:w="60"/>
              <w:right w:type="dxa" w:w="60"/>
            </w:tcMar>
          </w:tcPr>
          <w:p>
            <w:r>
              <w:t xml:space="preserve"/>
            </w:r>
          </w:p>
        </w:tc>
      </w:tr>
      <w:tr>
        <w:tc>
          <w:tcPr>
            <w:tcBorders>
              <w:top w:val="single" w:color="AAAAAA" w:sz="1"/>
              <w:left w:val="single" w:color="AAAAAA" w:sz="1"/>
              <w:bottom w:val="single" w:color="AAAAAA" w:sz="1"/>
              <w:right w:val="single" w:color="AAAAAA" w:sz="1"/>
            </w:tcBorders>
            <w:shd w:fill="EAF2FF" w:val="clear"/>
            <w:tcMar>
              <w:top w:type="dxa" w:w="100"/>
              <w:left w:type="dxa" w:w="120"/>
              <w:bottom w:type="dxa" w:w="100"/>
              <w:right w:type="dxa" w:w="120"/>
            </w:tcMar>
            <w:vAlign w:val="center"/>
          </w:tcPr>
          <w:p>
            <w:pPr>
              <w:jc w:val="center"/>
            </w:pPr>
            <w:r>
              <w:rPr>
                <w:rFonts w:ascii="Arial" w:cs="Arial" w:eastAsia="Arial" w:hAnsi="Arial"/>
                <w:b/>
                <w:bCs/>
                <w:color w:val="232F3E"/>
                <w:sz w:val="18"/>
                <w:szCs w:val="18"/>
              </w:rPr>
              <w:t xml:space="preserve">Claude 3.5
(Anthropic)</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single" w:color="AAAAAA" w:sz="1"/>
              <w:left w:val="single" w:color="AAAAAA" w:sz="1"/>
              <w:bottom w:val="single" w:color="AAAAAA" w:sz="1"/>
              <w:right w:val="single" w:color="AAAAAA" w:sz="1"/>
            </w:tcBorders>
            <w:shd w:fill="EAF2FF" w:val="clear"/>
            <w:tcMar>
              <w:top w:type="dxa" w:w="100"/>
              <w:left w:type="dxa" w:w="120"/>
              <w:bottom w:type="dxa" w:w="100"/>
              <w:right w:type="dxa" w:w="120"/>
            </w:tcMar>
            <w:vAlign w:val="center"/>
          </w:tcPr>
          <w:p>
            <w:pPr>
              <w:jc w:val="center"/>
            </w:pPr>
            <w:r>
              <w:rPr>
                <w:rFonts w:ascii="Arial" w:cs="Arial" w:eastAsia="Arial" w:hAnsi="Arial"/>
                <w:b/>
                <w:bCs/>
                <w:color w:val="232F3E"/>
                <w:sz w:val="18"/>
                <w:szCs w:val="18"/>
              </w:rPr>
              <w:t xml:space="preserve">Titan / Nova
(Amazon)</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single" w:color="AAAAAA" w:sz="1"/>
              <w:left w:val="single" w:color="AAAAAA" w:sz="1"/>
              <w:bottom w:val="single" w:color="AAAAAA" w:sz="1"/>
              <w:right w:val="single" w:color="AAAAAA" w:sz="1"/>
            </w:tcBorders>
            <w:shd w:fill="EAF2FF" w:val="clear"/>
            <w:tcMar>
              <w:top w:type="dxa" w:w="100"/>
              <w:left w:type="dxa" w:w="120"/>
              <w:bottom w:type="dxa" w:w="100"/>
              <w:right w:type="dxa" w:w="120"/>
            </w:tcMar>
            <w:vAlign w:val="center"/>
          </w:tcPr>
          <w:p>
            <w:pPr>
              <w:jc w:val="center"/>
            </w:pPr>
            <w:r>
              <w:rPr>
                <w:rFonts w:ascii="Arial" w:cs="Arial" w:eastAsia="Arial" w:hAnsi="Arial"/>
                <w:b/>
                <w:bCs/>
                <w:color w:val="232F3E"/>
                <w:sz w:val="18"/>
                <w:szCs w:val="18"/>
              </w:rPr>
              <w:t xml:space="preserve">Llama 3 / Mistral
(Open Source)</w:t>
            </w:r>
          </w:p>
        </w:tc>
        <w:tc>
          <w:tcPr>
            <w:tcBorders>
              <w:top w:val="none"/>
              <w:left w:val="none"/>
              <w:bottom w:val="none"/>
              <w:right w:val="none"/>
            </w:tcBorders>
            <w:shd w:fill="FFFFFF" w:val="clear"/>
            <w:tcMar>
              <w:top w:type="dxa" w:w="60"/>
              <w:left w:type="dxa" w:w="60"/>
              <w:bottom w:type="dxa" w:w="60"/>
              <w:right w:type="dxa" w:w="60"/>
            </w:tcMar>
          </w:tcPr>
          <w:p>
            <w:r>
              <w:t xml:space="preserve"/>
            </w:r>
          </w:p>
        </w:tc>
      </w:tr>
      <w:tr>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 ▼</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 ▼</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none"/>
              <w:left w:val="none"/>
              <w:bottom w:val="none"/>
              <w:right w:val="none"/>
            </w:tcBorders>
            <w:shd w:fill="FFFFFF" w:val="clear"/>
            <w:tcMar>
              <w:top w:type="dxa" w:w="60"/>
              <w:left w:type="dxa" w:w="60"/>
              <w:bottom w:type="dxa" w:w="60"/>
              <w:right w:type="dxa" w:w="60"/>
            </w:tcMar>
            <w:vAlign w:val="center"/>
          </w:tcPr>
          <w:p>
            <w:pPr>
              <w:jc w:val="center"/>
            </w:pPr>
            <w:r>
              <w:rPr>
                <w:rFonts w:ascii="Arial" w:cs="Arial" w:eastAsia="Arial" w:hAnsi="Arial"/>
                <w:color w:val="FF9900"/>
                <w:sz w:val="20"/>
                <w:szCs w:val="20"/>
              </w:rPr>
              <w:t xml:space="preserve">▲ ▼</w:t>
            </w:r>
          </w:p>
        </w:tc>
        <w:tc>
          <w:tcPr>
            <w:tcBorders>
              <w:top w:val="none"/>
              <w:left w:val="none"/>
              <w:bottom w:val="none"/>
              <w:right w:val="none"/>
            </w:tcBorders>
            <w:shd w:fill="FFFFFF" w:val="clear"/>
            <w:tcMar>
              <w:top w:type="dxa" w:w="60"/>
              <w:left w:type="dxa" w:w="60"/>
              <w:bottom w:type="dxa" w:w="60"/>
              <w:right w:type="dxa" w:w="60"/>
            </w:tcMar>
          </w:tcPr>
          <w:p>
            <w:r>
              <w:t xml:space="preserve"/>
            </w:r>
          </w:p>
        </w:tc>
      </w:tr>
      <w:tr>
        <w:tc>
          <w:tcPr>
            <w:tcBorders>
              <w:top w:val="single" w:color="AAAAAA" w:sz="1"/>
              <w:left w:val="single" w:color="AAAAAA" w:sz="1"/>
              <w:bottom w:val="single" w:color="AAAAAA" w:sz="1"/>
              <w:right w:val="single" w:color="AAAAAA" w:sz="1"/>
            </w:tcBorders>
            <w:shd w:fill="F0FFF4" w:val="clear"/>
            <w:tcMar>
              <w:top w:type="dxa" w:w="100"/>
              <w:left w:type="dxa" w:w="120"/>
              <w:bottom w:type="dxa" w:w="100"/>
              <w:right w:type="dxa" w:w="120"/>
            </w:tcMar>
            <w:vAlign w:val="center"/>
          </w:tcPr>
          <w:p>
            <w:pPr>
              <w:jc w:val="center"/>
            </w:pPr>
            <w:r>
              <w:rPr>
                <w:rFonts w:ascii="Arial" w:cs="Arial" w:eastAsia="Arial" w:hAnsi="Arial"/>
                <w:b/>
                <w:bCs/>
                <w:color w:val="1B6B3A"/>
                <w:sz w:val="18"/>
                <w:szCs w:val="18"/>
              </w:rPr>
              <w:t xml:space="preserve">Agents for
Bedrock</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single" w:color="AAAAAA" w:sz="1"/>
              <w:left w:val="single" w:color="AAAAAA" w:sz="1"/>
              <w:bottom w:val="single" w:color="AAAAAA" w:sz="1"/>
              <w:right w:val="single" w:color="AAAAAA" w:sz="1"/>
            </w:tcBorders>
            <w:shd w:fill="F0FFF4" w:val="clear"/>
            <w:tcMar>
              <w:top w:type="dxa" w:w="100"/>
              <w:left w:type="dxa" w:w="120"/>
              <w:bottom w:type="dxa" w:w="100"/>
              <w:right w:type="dxa" w:w="120"/>
            </w:tcMar>
            <w:vAlign w:val="center"/>
          </w:tcPr>
          <w:p>
            <w:pPr>
              <w:jc w:val="center"/>
            </w:pPr>
            <w:r>
              <w:rPr>
                <w:rFonts w:ascii="Arial" w:cs="Arial" w:eastAsia="Arial" w:hAnsi="Arial"/>
                <w:b/>
                <w:bCs/>
                <w:color w:val="1B6B3A"/>
                <w:sz w:val="18"/>
                <w:szCs w:val="18"/>
              </w:rPr>
              <w:t xml:space="preserve">Knowledge
Bases (RAG)</w:t>
            </w:r>
          </w:p>
        </w:tc>
        <w:tc>
          <w:tcPr>
            <w:tcBorders>
              <w:top w:val="none"/>
              <w:left w:val="none"/>
              <w:bottom w:val="none"/>
              <w:right w:val="none"/>
            </w:tcBorders>
            <w:shd w:fill="FFFFFF" w:val="clear"/>
            <w:tcMar>
              <w:top w:type="dxa" w:w="60"/>
              <w:left w:type="dxa" w:w="60"/>
              <w:bottom w:type="dxa" w:w="60"/>
              <w:right w:type="dxa" w:w="60"/>
            </w:tcMar>
          </w:tcPr>
          <w:p>
            <w:r>
              <w:t xml:space="preserve"/>
            </w:r>
          </w:p>
        </w:tc>
        <w:tc>
          <w:tcPr>
            <w:tcBorders>
              <w:top w:val="single" w:color="AAAAAA" w:sz="1"/>
              <w:left w:val="single" w:color="AAAAAA" w:sz="1"/>
              <w:bottom w:val="single" w:color="AAAAAA" w:sz="1"/>
              <w:right w:val="single" w:color="AAAAAA" w:sz="1"/>
            </w:tcBorders>
            <w:shd w:fill="F0FFF4" w:val="clear"/>
            <w:tcMar>
              <w:top w:type="dxa" w:w="100"/>
              <w:left w:type="dxa" w:w="120"/>
              <w:bottom w:type="dxa" w:w="100"/>
              <w:right w:type="dxa" w:w="120"/>
            </w:tcMar>
            <w:vAlign w:val="center"/>
          </w:tcPr>
          <w:p>
            <w:pPr>
              <w:jc w:val="center"/>
            </w:pPr>
            <w:r>
              <w:rPr>
                <w:rFonts w:ascii="Arial" w:cs="Arial" w:eastAsia="Arial" w:hAnsi="Arial"/>
                <w:b/>
                <w:bCs/>
                <w:color w:val="1B6B3A"/>
                <w:sz w:val="18"/>
                <w:szCs w:val="18"/>
              </w:rPr>
              <w:t xml:space="preserve">Guardrails &amp;
Model Eval</w:t>
            </w:r>
          </w:p>
        </w:tc>
        <w:tc>
          <w:tcPr>
            <w:tcBorders>
              <w:top w:val="none"/>
              <w:left w:val="none"/>
              <w:bottom w:val="none"/>
              <w:right w:val="none"/>
            </w:tcBorders>
            <w:shd w:fill="FFFFFF" w:val="clear"/>
            <w:tcMar>
              <w:top w:type="dxa" w:w="60"/>
              <w:left w:type="dxa" w:w="60"/>
              <w:bottom w:type="dxa" w:w="60"/>
              <w:right w:type="dxa" w:w="60"/>
            </w:tcMar>
          </w:tcPr>
          <w:p>
            <w:r>
              <w:t xml:space="preserve"/>
            </w:r>
          </w:p>
        </w:tc>
      </w:tr>
    </w:tbl>
    <w:p>
      <w:pPr>
        <w:spacing w:after="120" w:before="0"/>
      </w:pPr>
      <w:r>
        <w:t xml:space="preserve"/>
      </w:r>
    </w:p>
    <w:p>
      <w:pPr>
        <w:spacing w:after="120" w:before="80"/>
        <w:jc w:val="both"/>
      </w:pPr>
      <w:r>
        <w:rPr>
          <w:rFonts w:ascii="Arial" w:cs="Arial" w:eastAsia="Arial" w:hAnsi="Arial"/>
          <w:color w:val="444444"/>
          <w:sz w:val="22"/>
          <w:szCs w:val="22"/>
        </w:rPr>
        <w:t xml:space="preserve">At the top sits your application — whether a web app, mobile client, or internal tool. It communicates exclusively with the Bedrock API using standard AWS SDK calls and IAM credentials. Bedrock then routes requests intelligently across foundation models based on your configuration. Below the model layer, specialized services like Agents, Knowledge Bases, and Guardrails add the intelligence layer that transforms raw model output into reliable, enterprise-grade AI behavior.</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Key Capabilities That Set Bedrock Apart</w:t>
      </w:r>
    </w:p>
    <w:p>
      <w:pPr>
        <w:pBdr>
          <w:bottom w:val="single" w:color="FF9900" w:sz="6" w:space="1"/>
        </w:pBdr>
        <w:spacing w:after="200" w:before="200"/>
      </w:pPr>
      <w:r>
        <w:t xml:space="preserve"/>
      </w:r>
    </w:p>
    <w:p>
      <w:pPr>
        <w:pStyle w:val="Heading2"/>
        <w:spacing w:after="150" w:before="300"/>
      </w:pPr>
      <w:r>
        <w:rPr>
          <w:rFonts w:ascii="Arial" w:cs="Arial" w:eastAsia="Arial" w:hAnsi="Arial"/>
          <w:b/>
          <w:bCs/>
          <w:color w:val="1B4F72"/>
          <w:sz w:val="28"/>
          <w:szCs w:val="28"/>
        </w:rPr>
        <w:t xml:space="preserve">1. Agents for Amazon Bedrock</w:t>
      </w:r>
    </w:p>
    <w:p>
      <w:pPr>
        <w:spacing w:after="120" w:before="80"/>
        <w:jc w:val="both"/>
      </w:pPr>
      <w:r>
        <w:rPr>
          <w:rFonts w:ascii="Arial" w:cs="Arial" w:eastAsia="Arial" w:hAnsi="Arial"/>
          <w:color w:val="444444"/>
          <w:sz w:val="22"/>
          <w:szCs w:val="22"/>
        </w:rPr>
        <w:t xml:space="preserve">Agents are the single most powerful feature in the Bedrock ecosystem. A Bedrock Agent is an AI orchestrator that can autonomously break down a complex multi-step task, call external APIs and AWS services, retrieve information from knowledge bases, and synthesize a final response — all without you writing any of the control-flow logic yourself.</w:t>
      </w:r>
    </w:p>
    <w:p>
      <w:pPr>
        <w:spacing w:after="120" w:before="0"/>
      </w:pPr>
      <w:r>
        <w:t xml:space="preserve"/>
      </w:r>
    </w:p>
    <w:p>
      <w:pPr>
        <w:spacing w:after="120" w:before="80"/>
        <w:jc w:val="both"/>
      </w:pPr>
      <w:r>
        <w:rPr>
          <w:rFonts w:ascii="Arial" w:cs="Arial" w:eastAsia="Arial" w:hAnsi="Arial"/>
          <w:color w:val="444444"/>
          <w:sz w:val="22"/>
          <w:szCs w:val="22"/>
        </w:rPr>
        <w:t xml:space="preserve">Imagine asking a customer service agent: 'What was my last order, and can you apply my discount code to a new order of the same items?' A Bedrock Agent would automatically call your order management API, retrieve order history, check the discount code's validity, and create the new order — in a single conversational turn.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2"/>
              <w:left w:val="single" w:color="FF9900" w:sz="2"/>
              <w:bottom w:val="single" w:color="FF9900" w:sz="2"/>
              <w:right w:val="single" w:color="FF9900" w:sz="2"/>
            </w:tcBorders>
            <w:shd w:fill="FFF8EE" w:val="clear"/>
            <w:tcMar>
              <w:top w:type="dxa" w:w="120"/>
              <w:left w:type="dxa" w:w="180"/>
              <w:bottom w:type="dxa" w:w="60"/>
              <w:right w:type="dxa" w:w="180"/>
            </w:tcMar>
          </w:tcPr>
          <w:p>
            <w:r>
              <w:rPr>
                <w:rFonts w:ascii="Arial" w:cs="Arial" w:eastAsia="Arial" w:hAnsi="Arial"/>
                <w:b/>
                <w:bCs/>
                <w:color w:val="FF9900"/>
                <w:sz w:val="22"/>
                <w:szCs w:val="22"/>
              </w:rPr>
              <w:t xml:space="preserve">💡 Real-World Example: Automated DevOps Agent</w:t>
            </w:r>
          </w:p>
        </w:tc>
      </w:tr>
      <w:tr>
        <w:tc>
          <w:tcPr>
            <w:tcW w:type="dxa" w:w="9360"/>
            <w:tcBorders>
              <w:top w:val="single" w:color="FF9900" w:sz="2"/>
              <w:left w:val="single" w:color="FF9900" w:sz="2"/>
              <w:bottom w:val="single" w:color="FF9900" w:sz="2"/>
              <w:right w:val="single" w:color="FF9900" w:sz="2"/>
            </w:tcBorders>
            <w:shd w:fill="FFF8EE" w:val="clear"/>
            <w:tcMar>
              <w:top w:type="dxa" w:w="60"/>
              <w:left w:type="dxa" w:w="180"/>
              <w:bottom w:type="dxa" w:w="60"/>
              <w:right w:type="dxa" w:w="180"/>
            </w:tcMar>
          </w:tcPr>
          <w:p>
            <w:r>
              <w:rPr>
                <w:rFonts w:ascii="Arial" w:cs="Arial" w:eastAsia="Arial" w:hAnsi="Arial"/>
                <w:color w:val="444444"/>
                <w:sz w:val="21"/>
                <w:szCs w:val="21"/>
              </w:rPr>
              <w:t xml:space="preserve">A financial services company built a DevOps agent on Bedrock that monitors CloudWatch alarms,</w:t>
            </w:r>
          </w:p>
        </w:tc>
      </w:tr>
      <w:tr>
        <w:tc>
          <w:tcPr>
            <w:tcW w:type="dxa" w:w="9360"/>
            <w:tcBorders>
              <w:top w:val="single" w:color="FF9900" w:sz="2"/>
              <w:left w:val="single" w:color="FF9900" w:sz="2"/>
              <w:bottom w:val="single" w:color="FF9900" w:sz="2"/>
              <w:right w:val="single" w:color="FF9900" w:sz="2"/>
            </w:tcBorders>
            <w:shd w:fill="FFF8EE" w:val="clear"/>
            <w:tcMar>
              <w:top w:type="dxa" w:w="60"/>
              <w:left w:type="dxa" w:w="180"/>
              <w:bottom w:type="dxa" w:w="60"/>
              <w:right w:type="dxa" w:w="180"/>
            </w:tcMar>
          </w:tcPr>
          <w:p>
            <w:r>
              <w:rPr>
                <w:rFonts w:ascii="Arial" w:cs="Arial" w:eastAsia="Arial" w:hAnsi="Arial"/>
                <w:color w:val="444444"/>
                <w:sz w:val="21"/>
                <w:szCs w:val="21"/>
              </w:rPr>
              <w:t xml:space="preserve">diagnoses root causes by querying logs, and automatically creates Jira tickets with suggested fixes.</w:t>
            </w:r>
          </w:p>
        </w:tc>
      </w:tr>
      <w:tr>
        <w:tc>
          <w:tcPr>
            <w:tcW w:type="dxa" w:w="9360"/>
            <w:tcBorders>
              <w:top w:val="single" w:color="FF9900" w:sz="2"/>
              <w:left w:val="single" w:color="FF9900" w:sz="2"/>
              <w:bottom w:val="single" w:color="FF9900" w:sz="2"/>
              <w:right w:val="single" w:color="FF9900" w:sz="2"/>
            </w:tcBorders>
            <w:shd w:fill="FFF8EE" w:val="clear"/>
            <w:tcMar>
              <w:top w:type="dxa" w:w="60"/>
              <w:left w:type="dxa" w:w="180"/>
              <w:bottom w:type="dxa" w:w="60"/>
              <w:right w:type="dxa" w:w="180"/>
            </w:tcMar>
          </w:tcPr>
          <w:p>
            <w:r>
              <w:rPr>
                <w:rFonts w:ascii="Arial" w:cs="Arial" w:eastAsia="Arial" w:hAnsi="Arial"/>
                <w:color w:val="444444"/>
                <w:sz w:val="21"/>
                <w:szCs w:val="21"/>
              </w:rPr>
              <w:t xml:space="preserve">The agent reduced mean-time-to-resolution (MTTR) from 45 minutes to under 8 minutes.</w:t>
            </w:r>
          </w:p>
        </w:tc>
      </w:tr>
    </w:tbl>
    <w:p>
      <w:pPr>
        <w:spacing w:after="120" w:before="0"/>
      </w:pPr>
      <w:r>
        <w:t xml:space="preserve"/>
      </w:r>
    </w:p>
    <w:p>
      <w:pPr>
        <w:pStyle w:val="Heading2"/>
        <w:spacing w:after="150" w:before="300"/>
      </w:pPr>
      <w:r>
        <w:rPr>
          <w:rFonts w:ascii="Arial" w:cs="Arial" w:eastAsia="Arial" w:hAnsi="Arial"/>
          <w:b/>
          <w:bCs/>
          <w:color w:val="1B4F72"/>
          <w:sz w:val="28"/>
          <w:szCs w:val="28"/>
        </w:rPr>
        <w:t xml:space="preserve">2. Knowledge Bases (Retrieval-Augmented Generation)</w:t>
      </w:r>
    </w:p>
    <w:p>
      <w:pPr>
        <w:spacing w:after="120" w:before="80"/>
        <w:jc w:val="both"/>
      </w:pPr>
      <w:r>
        <w:rPr>
          <w:rFonts w:ascii="Arial" w:cs="Arial" w:eastAsia="Arial" w:hAnsi="Arial"/>
          <w:color w:val="444444"/>
          <w:sz w:val="22"/>
          <w:szCs w:val="22"/>
        </w:rPr>
        <w:t xml:space="preserve">RAG — Retrieval-Augmented Generation — is the technique that allows an LLM to answer questions about documents it was never trained on. Bedrock's Knowledge Bases feature makes RAG implementation remarkably straightforward. You point it at an S3 bucket full of PDFs, Word documents, or web pages, and Bedrock automatically chunks, embeds, and indexes them into a managed vector store (powered by Amazon OpenSearch Serverless or Aurora PostgreSQL pgvector).</w:t>
      </w:r>
    </w:p>
    <w:p>
      <w:pPr>
        <w:spacing w:after="120" w:before="0"/>
      </w:pPr>
      <w:r>
        <w:t xml:space="preserve"/>
      </w:r>
    </w:p>
    <w:p>
      <w:pPr>
        <w:spacing w:after="120" w:before="80"/>
        <w:jc w:val="both"/>
      </w:pPr>
      <w:r>
        <w:rPr>
          <w:rFonts w:ascii="Arial" w:cs="Arial" w:eastAsia="Arial" w:hAnsi="Arial"/>
          <w:color w:val="444444"/>
          <w:sz w:val="22"/>
          <w:szCs w:val="22"/>
        </w:rPr>
        <w:t xml:space="preserve">During inference, when a user asks a question, Bedrock retrieves semantically relevant chunks from your knowledge base and passes them as context to the model. The result is an LLM that can accurately answer questions about your internal documentation, product manuals, compliance policies, or proprietary research — with citations.</w:t>
      </w:r>
    </w:p>
    <w:p>
      <w:pPr>
        <w:spacing w:after="120" w:before="0"/>
      </w:pPr>
      <w:r>
        <w:t xml:space="preserve"/>
      </w:r>
    </w:p>
    <w:p>
      <w:pPr>
        <w:pStyle w:val="Heading2"/>
        <w:spacing w:after="150" w:before="300"/>
      </w:pPr>
      <w:r>
        <w:rPr>
          <w:rFonts w:ascii="Arial" w:cs="Arial" w:eastAsia="Arial" w:hAnsi="Arial"/>
          <w:b/>
          <w:bCs/>
          <w:color w:val="1B4F72"/>
          <w:sz w:val="28"/>
          <w:szCs w:val="28"/>
        </w:rPr>
        <w:t xml:space="preserve">3. Guardrails: Safety at Scale</w:t>
      </w:r>
    </w:p>
    <w:p>
      <w:pPr>
        <w:spacing w:after="120" w:before="80"/>
        <w:jc w:val="both"/>
      </w:pPr>
      <w:r>
        <w:rPr>
          <w:rFonts w:ascii="Arial" w:cs="Arial" w:eastAsia="Arial" w:hAnsi="Arial"/>
          <w:color w:val="444444"/>
          <w:sz w:val="22"/>
          <w:szCs w:val="22"/>
        </w:rPr>
        <w:t xml:space="preserve">One of the biggest barriers to enterprise AI adoption has been safety and compliance. Bedrock Guardrails is AWS's answer. It allows you to configure a set of content filters, topic denylists, PII redaction rules, and grounding checks that apply automatically to every model invocation — regardless of which model you're using.</w:t>
      </w:r>
    </w:p>
    <w:p>
      <w:pPr>
        <w:spacing w:after="120" w:before="0"/>
      </w:pPr>
      <w:r>
        <w:t xml:space="preserve"/>
      </w:r>
    </w:p>
    <w:p>
      <w:pPr>
        <w:pStyle w:val="ListParagraph"/>
        <w:numPr>
          <w:ilvl w:val="0"/>
          <w:numId w:val="2"/>
        </w:numPr>
        <w:spacing w:after="60" w:before="60"/>
      </w:pPr>
      <w:r>
        <w:rPr>
          <w:rFonts w:ascii="Arial" w:cs="Arial" w:eastAsia="Arial" w:hAnsi="Arial"/>
          <w:b/>
          <w:bCs/>
          <w:color w:val="232F3E"/>
          <w:sz w:val="22"/>
          <w:szCs w:val="22"/>
        </w:rPr>
        <w:t xml:space="preserve">Content Filters: </w:t>
      </w:r>
      <w:r>
        <w:rPr>
          <w:rFonts w:ascii="Arial" w:cs="Arial" w:eastAsia="Arial" w:hAnsi="Arial"/>
          <w:color w:val="444444"/>
          <w:sz w:val="22"/>
          <w:szCs w:val="22"/>
        </w:rPr>
        <w:t xml:space="preserve">Block harmful, violent, or inappropriate content with configurable thresholds.</w:t>
      </w:r>
    </w:p>
    <w:p>
      <w:pPr>
        <w:pStyle w:val="ListParagraph"/>
        <w:numPr>
          <w:ilvl w:val="0"/>
          <w:numId w:val="2"/>
        </w:numPr>
        <w:spacing w:after="60" w:before="60"/>
      </w:pPr>
      <w:r>
        <w:rPr>
          <w:rFonts w:ascii="Arial" w:cs="Arial" w:eastAsia="Arial" w:hAnsi="Arial"/>
          <w:b/>
          <w:bCs/>
          <w:color w:val="232F3E"/>
          <w:sz w:val="22"/>
          <w:szCs w:val="22"/>
        </w:rPr>
        <w:t xml:space="preserve">Topic Denial: </w:t>
      </w:r>
      <w:r>
        <w:rPr>
          <w:rFonts w:ascii="Arial" w:cs="Arial" w:eastAsia="Arial" w:hAnsi="Arial"/>
          <w:color w:val="444444"/>
          <w:sz w:val="22"/>
          <w:szCs w:val="22"/>
        </w:rPr>
        <w:t xml:space="preserve">Prevent the model from discussing competitors, legal matters, or topics outside its designated scope.</w:t>
      </w:r>
    </w:p>
    <w:p>
      <w:pPr>
        <w:pStyle w:val="ListParagraph"/>
        <w:numPr>
          <w:ilvl w:val="0"/>
          <w:numId w:val="2"/>
        </w:numPr>
        <w:spacing w:after="60" w:before="60"/>
      </w:pPr>
      <w:r>
        <w:rPr>
          <w:rFonts w:ascii="Arial" w:cs="Arial" w:eastAsia="Arial" w:hAnsi="Arial"/>
          <w:b/>
          <w:bCs/>
          <w:color w:val="232F3E"/>
          <w:sz w:val="22"/>
          <w:szCs w:val="22"/>
        </w:rPr>
        <w:t xml:space="preserve">PII Redaction: </w:t>
      </w:r>
      <w:r>
        <w:rPr>
          <w:rFonts w:ascii="Arial" w:cs="Arial" w:eastAsia="Arial" w:hAnsi="Arial"/>
          <w:color w:val="444444"/>
          <w:sz w:val="22"/>
          <w:szCs w:val="22"/>
        </w:rPr>
        <w:t xml:space="preserve">Automatically detect and mask names, phone numbers, SSNs, credit cards, and other PII in both inputs and outputs.</w:t>
      </w:r>
    </w:p>
    <w:p>
      <w:pPr>
        <w:pStyle w:val="ListParagraph"/>
        <w:numPr>
          <w:ilvl w:val="0"/>
          <w:numId w:val="2"/>
        </w:numPr>
        <w:spacing w:after="60" w:before="60"/>
      </w:pPr>
      <w:r>
        <w:rPr>
          <w:rFonts w:ascii="Arial" w:cs="Arial" w:eastAsia="Arial" w:hAnsi="Arial"/>
          <w:b/>
          <w:bCs/>
          <w:color w:val="232F3E"/>
          <w:sz w:val="22"/>
          <w:szCs w:val="22"/>
        </w:rPr>
        <w:t xml:space="preserve">Grounding Checks: </w:t>
      </w:r>
      <w:r>
        <w:rPr>
          <w:rFonts w:ascii="Arial" w:cs="Arial" w:eastAsia="Arial" w:hAnsi="Arial"/>
          <w:color w:val="444444"/>
          <w:sz w:val="22"/>
          <w:szCs w:val="22"/>
        </w:rPr>
        <w:t xml:space="preserve">Detect and flag hallucinations by verifying model responses against a provided source document.</w:t>
      </w:r>
    </w:p>
    <w:p>
      <w:pPr>
        <w:spacing w:after="120" w:before="0"/>
      </w:pPr>
      <w:r>
        <w:t xml:space="preserve"/>
      </w:r>
    </w:p>
    <w:p>
      <w:pPr>
        <w:pStyle w:val="Heading2"/>
        <w:spacing w:after="150" w:before="300"/>
      </w:pPr>
      <w:r>
        <w:rPr>
          <w:rFonts w:ascii="Arial" w:cs="Arial" w:eastAsia="Arial" w:hAnsi="Arial"/>
          <w:b/>
          <w:bCs/>
          <w:color w:val="1B4F72"/>
          <w:sz w:val="28"/>
          <w:szCs w:val="28"/>
        </w:rPr>
        <w:t xml:space="preserve">4. Model Evaluation</w:t>
      </w:r>
    </w:p>
    <w:p>
      <w:pPr>
        <w:spacing w:after="120" w:before="80"/>
        <w:jc w:val="both"/>
      </w:pPr>
      <w:r>
        <w:rPr>
          <w:rFonts w:ascii="Arial" w:cs="Arial" w:eastAsia="Arial" w:hAnsi="Arial"/>
          <w:color w:val="444444"/>
          <w:sz w:val="22"/>
          <w:szCs w:val="22"/>
        </w:rPr>
        <w:t xml:space="preserve">Choosing the right model for your task is not a one-time decision. Bedrock's Model Evaluation feature lets you run automated benchmarks across multiple models using your own dataset and custom criteria. You define the prompts, the expected responses, and the evaluation dimensions (accuracy, toxicity, coherence), and Bedrock runs the evaluation at scale and presents comparative results in a dashboard.</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AWS Bedrock vs. The Competition</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How does Bedrock stack up against Azure OpenAI Service, Google Vertex AI, and self-hosted open-source alternatives? The table below provides an honest, side-by-side comparison: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200"/>
        <w:gridCol w:w="1600"/>
        <w:gridCol w:w="1760"/>
      </w:tblGrid>
      <w:tr>
        <w:tc>
          <w:tcPr>
            <w:tcW w:type="dxa" w:w="16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Platform</w:t>
            </w:r>
          </w:p>
        </w:tc>
        <w:tc>
          <w:tcPr>
            <w:tcW w:type="dxa" w:w="16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Available Models</w:t>
            </w:r>
          </w:p>
        </w:tc>
        <w:tc>
          <w:tcPr>
            <w:tcW w:type="dxa" w:w="16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RAG Support</w:t>
            </w:r>
          </w:p>
        </w:tc>
        <w:tc>
          <w:tcPr>
            <w:tcW w:type="dxa" w:w="12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Agents</w:t>
            </w:r>
          </w:p>
        </w:tc>
        <w:tc>
          <w:tcPr>
            <w:tcW w:type="dxa" w:w="16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Guardrails</w:t>
            </w:r>
          </w:p>
        </w:tc>
        <w:tc>
          <w:tcPr>
            <w:tcW w:type="dxa" w:w="176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HIPAA Compliant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AWS Bedrock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25+ FMs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Native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Built-in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Advanced</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Yes</w:t>
            </w:r>
          </w:p>
        </w:tc>
      </w:tr>
      <w:tr>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Azure OpenAI</w:t>
            </w:r>
          </w:p>
        </w:tc>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OpenAI only</w:t>
            </w:r>
          </w:p>
        </w:tc>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Azure AI</w:t>
            </w:r>
          </w:p>
        </w:tc>
        <w:tc>
          <w:tcPr>
            <w:tcW w:type="dxa" w:w="12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Copilot</w:t>
            </w:r>
          </w:p>
        </w:tc>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Basic</w:t>
            </w:r>
          </w:p>
        </w:tc>
        <w:tc>
          <w:tcPr>
            <w:tcW w:type="dxa" w:w="17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Yes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Google Vertex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Google FMs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Native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Agents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Basic</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 Yes</w:t>
            </w:r>
          </w:p>
        </w:tc>
      </w:tr>
      <w:tr>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Self-hosted</w:t>
            </w:r>
          </w:p>
        </w:tc>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Any open</w:t>
            </w:r>
          </w:p>
        </w:tc>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Custom</w:t>
            </w:r>
          </w:p>
        </w:tc>
        <w:tc>
          <w:tcPr>
            <w:tcW w:type="dxa" w:w="12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Manual</w:t>
            </w:r>
          </w:p>
        </w:tc>
        <w:tc>
          <w:tcPr>
            <w:tcW w:type="dxa" w:w="16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None</w:t>
            </w:r>
          </w:p>
        </w:tc>
        <w:tc>
          <w:tcPr>
            <w:tcW w:type="dxa" w:w="17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 DIY</w:t>
            </w:r>
          </w:p>
        </w:tc>
      </w:tr>
    </w:tbl>
    <w:p>
      <w:pPr>
        <w:spacing w:after="120" w:before="0"/>
      </w:pPr>
      <w:r>
        <w:t xml:space="preserve"/>
      </w:r>
    </w:p>
    <w:p>
      <w:pPr>
        <w:spacing w:after="120" w:before="80"/>
        <w:jc w:val="both"/>
      </w:pPr>
      <w:r>
        <w:rPr>
          <w:rFonts w:ascii="Arial" w:cs="Arial" w:eastAsia="Arial" w:hAnsi="Arial"/>
          <w:color w:val="444444"/>
          <w:sz w:val="22"/>
          <w:szCs w:val="22"/>
        </w:rPr>
        <w:t xml:space="preserve">The takeaway is nuanced. If your organization is already deeply invested in the AWS ecosystem, Bedrock's native integrations, enterprise security model, and breadth of model choices give it a decisive edge. Azure OpenAI makes more sense if you live in Microsoft 365, and Vertex AI shines when Google's proprietary models like Gemini are central to your strategy. Self-hosting remains viable for teams with the technical capacity and a need for absolute model customization.</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Real-World Use Cases Across Industries</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Bedrock is not a one-size-fits-all solution — its power comes from how flexibly it can be configured for radically different industries and problems. Here are four compelling real-world use cases that demonstrate the breadth of what's possible: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Industry</w:t>
            </w:r>
          </w:p>
        </w:tc>
        <w:tc>
          <w:tcPr>
            <w:tcW w:type="dxa" w:w="24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 Case</w:t>
            </w:r>
          </w:p>
        </w:tc>
        <w:tc>
          <w:tcPr>
            <w:tcW w:type="dxa" w:w="24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Bedrock Service Used</w:t>
            </w:r>
          </w:p>
        </w:tc>
        <w:tc>
          <w:tcPr>
            <w:tcW w:type="dxa" w:w="276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Healthcare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Medical record summarization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Claude + Knowledge Bases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70% time saved</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Finance</w:t>
            </w:r>
          </w:p>
        </w:tc>
        <w:tc>
          <w:tcPr>
            <w:tcW w:type="dxa" w:w="24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Fraud pattern detection</w:t>
            </w:r>
          </w:p>
        </w:tc>
        <w:tc>
          <w:tcPr>
            <w:tcW w:type="dxa" w:w="24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Titan + Agents</w:t>
            </w:r>
          </w:p>
        </w:tc>
        <w:tc>
          <w:tcPr>
            <w:tcW w:type="dxa" w:w="27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45% fewer false positives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E-Commerce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Personalized product copy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Llama 3 + Bedrock API</w:t>
            </w:r>
          </w:p>
        </w:tc>
        <w:tc>
          <w:tcPr>
            <w:tcW w:type="dxa" w:w="2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3x faster content creation</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Legal</w:t>
            </w:r>
          </w:p>
        </w:tc>
        <w:tc>
          <w:tcPr>
            <w:tcW w:type="dxa" w:w="24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Contract clause extraction</w:t>
            </w:r>
          </w:p>
        </w:tc>
        <w:tc>
          <w:tcPr>
            <w:tcW w:type="dxa" w:w="24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Claude + Guardrails</w:t>
            </w:r>
          </w:p>
        </w:tc>
        <w:tc>
          <w:tcPr>
            <w:tcW w:type="dxa" w:w="27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99.2% accuracy</w:t>
            </w:r>
          </w:p>
        </w:tc>
      </w:tr>
    </w:tbl>
    <w:p>
      <w:pPr>
        <w:spacing w:after="120" w:before="0"/>
      </w:pPr>
      <w:r>
        <w:t xml:space="preserve"/>
      </w:r>
    </w:p>
    <w:p>
      <w:pPr>
        <w:spacing w:after="120" w:before="80"/>
        <w:jc w:val="both"/>
      </w:pPr>
      <w:r>
        <w:rPr>
          <w:rFonts w:ascii="Arial" w:cs="Arial" w:eastAsia="Arial" w:hAnsi="Arial"/>
          <w:color w:val="444444"/>
          <w:sz w:val="22"/>
          <w:szCs w:val="22"/>
        </w:rPr>
        <w:t xml:space="preserve">Each of these implementations leverages a different combination of Bedrock's capabilities. The healthcare use case relies on Knowledge Bases and Claude's exceptional document comprehension. The finance example uses Agents to orchestrate complex multi-step investigations. The e-commerce solution demonstrates Bedrock's creative writing capabilities with Llama 3. And the legal use case showcases Guardrails ensuring outputs remain within safe, verifiable bounds.</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Getting Started: Your First Bedrock Application</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The barrier to entry for Bedrock is remarkably low. Here is a conceptual walkthrough of the steps required to go from zero to a working RAG-powered Q&amp;A bot in a single afternoon:</w:t>
      </w:r>
    </w:p>
    <w:p>
      <w:pPr>
        <w:spacing w:after="120" w:before="0"/>
      </w:pPr>
      <w:r>
        <w:t xml:space="preserve"/>
      </w:r>
    </w:p>
    <w:p>
      <w:pPr>
        <w:spacing w:after="100" w:before="200"/>
      </w:pPr>
      <w:r>
        <w:rPr>
          <w:rFonts w:ascii="Arial" w:cs="Arial" w:eastAsia="Arial" w:hAnsi="Arial"/>
          <w:b/>
          <w:bCs/>
          <w:color w:val="FF9900"/>
          <w:sz w:val="24"/>
          <w:szCs w:val="24"/>
        </w:rPr>
        <w:t xml:space="preserve">Step 1: Enable Bedrock Model Access</w:t>
      </w:r>
    </w:p>
    <w:p>
      <w:pPr>
        <w:spacing w:after="120" w:before="80"/>
        <w:jc w:val="both"/>
      </w:pPr>
      <w:r>
        <w:rPr>
          <w:rFonts w:ascii="Arial" w:cs="Arial" w:eastAsia="Arial" w:hAnsi="Arial"/>
          <w:color w:val="444444"/>
          <w:sz w:val="22"/>
          <w:szCs w:val="22"/>
        </w:rPr>
        <w:t xml:space="preserve">In the AWS Console, navigate to Amazon Bedrock and request access to the models you intend to use. Approval is typically instant for most models and free — you only pay for tokens consumed during inference.</w:t>
      </w:r>
    </w:p>
    <w:p>
      <w:pPr>
        <w:spacing w:after="120" w:before="0"/>
      </w:pPr>
      <w:r>
        <w:t xml:space="preserve"/>
      </w:r>
    </w:p>
    <w:p>
      <w:pPr>
        <w:spacing w:after="100" w:before="200"/>
      </w:pPr>
      <w:r>
        <w:rPr>
          <w:rFonts w:ascii="Arial" w:cs="Arial" w:eastAsia="Arial" w:hAnsi="Arial"/>
          <w:b/>
          <w:bCs/>
          <w:color w:val="FF9900"/>
          <w:sz w:val="24"/>
          <w:szCs w:val="24"/>
        </w:rPr>
        <w:t xml:space="preserve">Step 2: Create a Knowledge Base</w:t>
      </w:r>
    </w:p>
    <w:p>
      <w:pPr>
        <w:spacing w:after="120" w:before="80"/>
        <w:jc w:val="both"/>
      </w:pPr>
      <w:r>
        <w:rPr>
          <w:rFonts w:ascii="Arial" w:cs="Arial" w:eastAsia="Arial" w:hAnsi="Arial"/>
          <w:color w:val="444444"/>
          <w:sz w:val="22"/>
          <w:szCs w:val="22"/>
        </w:rPr>
        <w:t xml:space="preserve">Upload your documents to an S3 bucket, then create a Knowledge Base in Bedrock pointing to that bucket. Choose your embedding model (Amazon Titan Embeddings v2 is recommended for English content) and your vector store. Bedrock handles the rest automatically, including incremental syncing when you add new documents.</w:t>
      </w:r>
    </w:p>
    <w:p>
      <w:pPr>
        <w:spacing w:after="120" w:before="0"/>
      </w:pPr>
      <w:r>
        <w:t xml:space="preserve"/>
      </w:r>
    </w:p>
    <w:p>
      <w:pPr>
        <w:spacing w:after="100" w:before="200"/>
      </w:pPr>
      <w:r>
        <w:rPr>
          <w:rFonts w:ascii="Arial" w:cs="Arial" w:eastAsia="Arial" w:hAnsi="Arial"/>
          <w:b/>
          <w:bCs/>
          <w:color w:val="FF9900"/>
          <w:sz w:val="24"/>
          <w:szCs w:val="24"/>
        </w:rPr>
        <w:t xml:space="preserve">Step 3: Configure Guardrails</w:t>
      </w:r>
    </w:p>
    <w:p>
      <w:pPr>
        <w:spacing w:after="120" w:before="80"/>
        <w:jc w:val="both"/>
      </w:pPr>
      <w:r>
        <w:rPr>
          <w:rFonts w:ascii="Arial" w:cs="Arial" w:eastAsia="Arial" w:hAnsi="Arial"/>
          <w:color w:val="444444"/>
          <w:sz w:val="22"/>
          <w:szCs w:val="22"/>
        </w:rPr>
        <w:t xml:space="preserve">Create a Guardrail with appropriate content filters for your use case. For a customer-facing bot, you might enable all content filters at medium sensitivity and add PII masking for phone numbers and emails. Attach the Guardrail ID to your inference calls.</w:t>
      </w:r>
    </w:p>
    <w:p>
      <w:pPr>
        <w:spacing w:after="120" w:before="0"/>
      </w:pPr>
      <w:r>
        <w:t xml:space="preserve"/>
      </w:r>
    </w:p>
    <w:p>
      <w:pPr>
        <w:spacing w:after="100" w:before="200"/>
      </w:pPr>
      <w:r>
        <w:rPr>
          <w:rFonts w:ascii="Arial" w:cs="Arial" w:eastAsia="Arial" w:hAnsi="Arial"/>
          <w:b/>
          <w:bCs/>
          <w:color w:val="FF9900"/>
          <w:sz w:val="24"/>
          <w:szCs w:val="24"/>
        </w:rPr>
        <w:t xml:space="preserve">Step 4: Make Your First API Call</w:t>
      </w:r>
    </w:p>
    <w:p>
      <w:pPr>
        <w:spacing w:after="120" w:before="80"/>
        <w:jc w:val="both"/>
      </w:pPr>
      <w:r>
        <w:rPr>
          <w:rFonts w:ascii="Arial" w:cs="Arial" w:eastAsia="Arial" w:hAnsi="Arial"/>
          <w:color w:val="444444"/>
          <w:sz w:val="22"/>
          <w:szCs w:val="22"/>
        </w:rPr>
        <w:t xml:space="preserve">Using the AWS SDK for Python (boto3), invoke the Bedrock Runtime endpoint with your chosen model ID, the user's prompt, and your Knowledge Base and Guardrail IDs. The API response will contain the model's answer, the source chunks it retrieved from your knowledge base, and any Guardrail actions that were triggered.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2"/>
              <w:left w:val="single" w:color="FF9900" w:sz="2"/>
              <w:bottom w:val="single" w:color="FF9900" w:sz="2"/>
              <w:right w:val="single" w:color="FF9900" w:sz="2"/>
            </w:tcBorders>
            <w:shd w:fill="FFF8EE" w:val="clear"/>
            <w:tcMar>
              <w:top w:type="dxa" w:w="120"/>
              <w:left w:type="dxa" w:w="180"/>
              <w:bottom w:type="dxa" w:w="60"/>
              <w:right w:type="dxa" w:w="180"/>
            </w:tcMar>
          </w:tcPr>
          <w:p>
            <w:r>
              <w:rPr>
                <w:rFonts w:ascii="Arial" w:cs="Arial" w:eastAsia="Arial" w:hAnsi="Arial"/>
                <w:b/>
                <w:bCs/>
                <w:color w:val="FF9900"/>
                <w:sz w:val="22"/>
                <w:szCs w:val="22"/>
              </w:rPr>
              <w:t xml:space="preserve">💡 Cost Tip: Optimize Before You Scale</w:t>
            </w:r>
          </w:p>
        </w:tc>
      </w:tr>
      <w:tr>
        <w:tc>
          <w:tcPr>
            <w:tcW w:type="dxa" w:w="9360"/>
            <w:tcBorders>
              <w:top w:val="single" w:color="FF9900" w:sz="2"/>
              <w:left w:val="single" w:color="FF9900" w:sz="2"/>
              <w:bottom w:val="single" w:color="FF9900" w:sz="2"/>
              <w:right w:val="single" w:color="FF9900" w:sz="2"/>
            </w:tcBorders>
            <w:shd w:fill="FFF8EE" w:val="clear"/>
            <w:tcMar>
              <w:top w:type="dxa" w:w="60"/>
              <w:left w:type="dxa" w:w="180"/>
              <w:bottom w:type="dxa" w:w="60"/>
              <w:right w:type="dxa" w:w="180"/>
            </w:tcMar>
          </w:tcPr>
          <w:p>
            <w:r>
              <w:rPr>
                <w:rFonts w:ascii="Arial" w:cs="Arial" w:eastAsia="Arial" w:hAnsi="Arial"/>
                <w:color w:val="444444"/>
                <w:sz w:val="21"/>
                <w:szCs w:val="21"/>
              </w:rPr>
              <w:t xml:space="preserve">Use Bedrock's on-demand pricing for development and testing (pay per token).</w:t>
            </w:r>
          </w:p>
        </w:tc>
      </w:tr>
      <w:tr>
        <w:tc>
          <w:tcPr>
            <w:tcW w:type="dxa" w:w="9360"/>
            <w:tcBorders>
              <w:top w:val="single" w:color="FF9900" w:sz="2"/>
              <w:left w:val="single" w:color="FF9900" w:sz="2"/>
              <w:bottom w:val="single" w:color="FF9900" w:sz="2"/>
              <w:right w:val="single" w:color="FF9900" w:sz="2"/>
            </w:tcBorders>
            <w:shd w:fill="FFF8EE" w:val="clear"/>
            <w:tcMar>
              <w:top w:type="dxa" w:w="60"/>
              <w:left w:type="dxa" w:w="180"/>
              <w:bottom w:type="dxa" w:w="60"/>
              <w:right w:type="dxa" w:w="180"/>
            </w:tcMar>
          </w:tcPr>
          <w:p>
            <w:r>
              <w:rPr>
                <w:rFonts w:ascii="Arial" w:cs="Arial" w:eastAsia="Arial" w:hAnsi="Arial"/>
                <w:color w:val="444444"/>
                <w:sz w:val="21"/>
                <w:szCs w:val="21"/>
              </w:rPr>
              <w:t xml:space="preserve">Once your usage is predictable, switch to Provisioned Throughput for up to 60% cost savings.</w:t>
            </w:r>
          </w:p>
        </w:tc>
      </w:tr>
      <w:tr>
        <w:tc>
          <w:tcPr>
            <w:tcW w:type="dxa" w:w="9360"/>
            <w:tcBorders>
              <w:top w:val="single" w:color="FF9900" w:sz="2"/>
              <w:left w:val="single" w:color="FF9900" w:sz="2"/>
              <w:bottom w:val="single" w:color="FF9900" w:sz="2"/>
              <w:right w:val="single" w:color="FF9900" w:sz="2"/>
            </w:tcBorders>
            <w:shd w:fill="FFF8EE" w:val="clear"/>
            <w:tcMar>
              <w:top w:type="dxa" w:w="60"/>
              <w:left w:type="dxa" w:w="180"/>
              <w:bottom w:type="dxa" w:w="60"/>
              <w:right w:type="dxa" w:w="180"/>
            </w:tcMar>
          </w:tcPr>
          <w:p>
            <w:r>
              <w:rPr>
                <w:rFonts w:ascii="Arial" w:cs="Arial" w:eastAsia="Arial" w:hAnsi="Arial"/>
                <w:color w:val="444444"/>
                <w:sz w:val="21"/>
                <w:szCs w:val="21"/>
              </w:rPr>
              <w:t xml:space="preserve">Enable prompt caching for Knowledge Base queries to reduce repeated embedding costs by 90%.</w:t>
            </w:r>
          </w:p>
        </w:tc>
      </w:tr>
    </w:tbl>
    <w:p>
      <w:pPr>
        <w:spacing w:after="240" w:before="0"/>
      </w:pPr>
      <w:r>
        <w:t xml:space="preserve"/>
      </w:r>
    </w:p>
    <w:p>
      <w:pPr>
        <w:pStyle w:val="Heading1"/>
        <w:spacing w:after="200" w:before="400"/>
      </w:pPr>
      <w:r>
        <w:rPr>
          <w:rFonts w:ascii="Arial" w:cs="Arial" w:eastAsia="Arial" w:hAnsi="Arial"/>
          <w:b/>
          <w:bCs/>
          <w:color w:val="232F3E"/>
          <w:sz w:val="36"/>
          <w:szCs w:val="36"/>
        </w:rPr>
        <w:t xml:space="preserve">Understanding Bedrock Pricing</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Bedrock follows a consumption-based pricing model with no upfront costs and no minimum commitments. You pay only for what you use, billed by the number of input and output tokens processed. Pricing varies by model — Anthropic Claude 3.5 Sonnet, for example, is priced differently from Amazon Titan Text Lite.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Pricing Tier</w:t>
            </w:r>
          </w:p>
        </w:tc>
        <w:tc>
          <w:tcPr>
            <w:tcW w:type="dxa" w:w="25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For</w:t>
            </w:r>
          </w:p>
        </w:tc>
        <w:tc>
          <w:tcPr>
            <w:tcW w:type="dxa" w:w="250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Cost Structure</w:t>
            </w:r>
          </w:p>
        </w:tc>
        <w:tc>
          <w:tcPr>
            <w:tcW w:type="dxa" w:w="2360"/>
            <w:tcBorders>
              <w:top w:val="single" w:color="BBBBBB" w:sz="1"/>
              <w:left w:val="single" w:color="BBBBBB" w:sz="1"/>
              <w:bottom w:val="single" w:color="BBBBBB" w:sz="1"/>
              <w:right w:val="single" w:color="BBBBBB" w:sz="1"/>
            </w:tcBorders>
            <w:shd w:fill="232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Savings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On-Demand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Development &amp; Testing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Pay per input/output token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Baseline</w:t>
            </w:r>
          </w:p>
        </w:tc>
      </w:tr>
      <w:tr>
        <w:tc>
          <w:tcPr>
            <w:tcW w:type="dxa" w:w="20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Provisioned Throughput</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Consistent Production Load</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Reserved Model Units/hour</w:t>
            </w:r>
          </w:p>
        </w:tc>
        <w:tc>
          <w:tcPr>
            <w:tcW w:type="dxa" w:w="23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Up to 60%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Batch Inference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Large Offline Workloads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50% discount vs on-demand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center"/>
            </w:pPr>
            <w:r>
              <w:rPr>
                <w:rFonts w:ascii="Arial" w:cs="Arial" w:eastAsia="Arial" w:hAnsi="Arial"/>
                <w:color w:val="444444"/>
                <w:sz w:val="20"/>
                <w:szCs w:val="20"/>
              </w:rPr>
              <w:t xml:space="preserve">50%</w:t>
            </w:r>
          </w:p>
        </w:tc>
      </w:tr>
      <w:tr>
        <w:tc>
          <w:tcPr>
            <w:tcW w:type="dxa" w:w="20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Prompt Caching</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Repetitive Long Contexts</w:t>
            </w:r>
          </w:p>
        </w:tc>
        <w:tc>
          <w:tcPr>
            <w:tcW w:type="dxa" w:w="250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Cache hit costs 90% less</w:t>
            </w:r>
          </w:p>
        </w:tc>
        <w:tc>
          <w:tcPr>
            <w:tcW w:type="dxa" w:w="2360"/>
            <w:tcBorders>
              <w:top w:val="single" w:color="BBBBBB" w:sz="1"/>
              <w:left w:val="single" w:color="BBBBBB" w:sz="1"/>
              <w:bottom w:val="single" w:color="BBBBBB" w:sz="1"/>
              <w:right w:val="single" w:color="BBBBBB" w:sz="1"/>
            </w:tcBorders>
            <w:shd w:fill="F4F6F8" w:val="clear"/>
            <w:tcMar>
              <w:top w:type="dxa" w:w="80"/>
              <w:left w:type="dxa" w:w="150"/>
              <w:bottom w:type="dxa" w:w="80"/>
              <w:right w:type="dxa" w:w="150"/>
            </w:tcMar>
          </w:tcPr>
          <w:p>
            <w:pPr>
              <w:jc w:val="center"/>
            </w:pPr>
            <w:r>
              <w:rPr>
                <w:rFonts w:ascii="Arial" w:cs="Arial" w:eastAsia="Arial" w:hAnsi="Arial"/>
                <w:color w:val="444444"/>
                <w:sz w:val="20"/>
                <w:szCs w:val="20"/>
              </w:rPr>
              <w:t xml:space="preserve">Up to 90%</w:t>
            </w:r>
          </w:p>
        </w:tc>
      </w:tr>
    </w:tbl>
    <w:p>
      <w:pPr>
        <w:spacing w:after="240" w:before="0"/>
      </w:pPr>
      <w:r>
        <w:t xml:space="preserve"/>
      </w:r>
    </w:p>
    <w:p>
      <w:pPr>
        <w:pStyle w:val="Heading1"/>
        <w:spacing w:after="200" w:before="400"/>
      </w:pPr>
      <w:r>
        <w:rPr>
          <w:rFonts w:ascii="Arial" w:cs="Arial" w:eastAsia="Arial" w:hAnsi="Arial"/>
          <w:b/>
          <w:bCs/>
          <w:color w:val="232F3E"/>
          <w:sz w:val="36"/>
          <w:szCs w:val="36"/>
        </w:rPr>
        <w:t xml:space="preserve">The Road Ahead: Bedrock in 2026 and Beyond</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Amazon is investing aggressively in Bedrock's roadmap. Several trends and upcoming capabilities are worth watching closely as the platform continues to evolve at a breathtaking pace.</w:t>
      </w:r>
    </w:p>
    <w:p>
      <w:pPr>
        <w:spacing w:after="120" w:before="0"/>
      </w:pPr>
      <w:r>
        <w:t xml:space="preserve"/>
      </w:r>
    </w:p>
    <w:p>
      <w:pPr>
        <w:pStyle w:val="ListParagraph"/>
        <w:numPr>
          <w:ilvl w:val="0"/>
          <w:numId w:val="2"/>
        </w:numPr>
        <w:spacing w:after="60" w:before="60"/>
      </w:pPr>
      <w:r>
        <w:rPr>
          <w:rFonts w:ascii="Arial" w:cs="Arial" w:eastAsia="Arial" w:hAnsi="Arial"/>
          <w:b/>
          <w:bCs/>
          <w:color w:val="232F3E"/>
          <w:sz w:val="22"/>
          <w:szCs w:val="22"/>
        </w:rPr>
        <w:t xml:space="preserve">Multimodal Agents: </w:t>
      </w:r>
      <w:r>
        <w:rPr>
          <w:rFonts w:ascii="Arial" w:cs="Arial" w:eastAsia="Arial" w:hAnsi="Arial"/>
          <w:color w:val="444444"/>
          <w:sz w:val="22"/>
          <w:szCs w:val="22"/>
        </w:rPr>
        <w:t xml:space="preserve">Bedrock Agents are expanding to handle not just text but images, audio, and video — enabling use cases like visual quality inspection in manufacturing and audio transcription pipelines.</w:t>
      </w:r>
    </w:p>
    <w:p>
      <w:pPr>
        <w:pStyle w:val="ListParagraph"/>
        <w:numPr>
          <w:ilvl w:val="0"/>
          <w:numId w:val="2"/>
        </w:numPr>
        <w:spacing w:after="60" w:before="60"/>
      </w:pPr>
      <w:r>
        <w:rPr>
          <w:rFonts w:ascii="Arial" w:cs="Arial" w:eastAsia="Arial" w:hAnsi="Arial"/>
          <w:b/>
          <w:bCs/>
          <w:color w:val="232F3E"/>
          <w:sz w:val="22"/>
          <w:szCs w:val="22"/>
        </w:rPr>
        <w:t xml:space="preserve">Model Distillation: </w:t>
      </w:r>
      <w:r>
        <w:rPr>
          <w:rFonts w:ascii="Arial" w:cs="Arial" w:eastAsia="Arial" w:hAnsi="Arial"/>
          <w:color w:val="444444"/>
          <w:sz w:val="22"/>
          <w:szCs w:val="22"/>
        </w:rPr>
        <w:t xml:space="preserve">A new feature allowing you to take a large, expensive model and distill its expertise into a smaller, cheaper custom model fine-tuned on your own data — dramatically reducing inference costs for specialized tasks.</w:t>
      </w:r>
    </w:p>
    <w:p>
      <w:pPr>
        <w:pStyle w:val="ListParagraph"/>
        <w:numPr>
          <w:ilvl w:val="0"/>
          <w:numId w:val="2"/>
        </w:numPr>
        <w:spacing w:after="60" w:before="60"/>
      </w:pPr>
      <w:r>
        <w:rPr>
          <w:rFonts w:ascii="Arial" w:cs="Arial" w:eastAsia="Arial" w:hAnsi="Arial"/>
          <w:b/>
          <w:bCs/>
          <w:color w:val="232F3E"/>
          <w:sz w:val="22"/>
          <w:szCs w:val="22"/>
        </w:rPr>
        <w:t xml:space="preserve">Cross-Region Inference: </w:t>
      </w:r>
      <w:r>
        <w:rPr>
          <w:rFonts w:ascii="Arial" w:cs="Arial" w:eastAsia="Arial" w:hAnsi="Arial"/>
          <w:color w:val="444444"/>
          <w:sz w:val="22"/>
          <w:szCs w:val="22"/>
        </w:rPr>
        <w:t xml:space="preserve">Automatic failover and load balancing across AWS regions means near-zero latency disruption and higher throughput for global applications.</w:t>
      </w:r>
    </w:p>
    <w:p>
      <w:pPr>
        <w:pStyle w:val="ListParagraph"/>
        <w:numPr>
          <w:ilvl w:val="0"/>
          <w:numId w:val="2"/>
        </w:numPr>
        <w:spacing w:after="60" w:before="60"/>
      </w:pPr>
      <w:r>
        <w:rPr>
          <w:rFonts w:ascii="Arial" w:cs="Arial" w:eastAsia="Arial" w:hAnsi="Arial"/>
          <w:b/>
          <w:bCs/>
          <w:color w:val="232F3E"/>
          <w:sz w:val="22"/>
          <w:szCs w:val="22"/>
        </w:rPr>
        <w:t xml:space="preserve">Inline Agents: </w:t>
      </w:r>
      <w:r>
        <w:rPr>
          <w:rFonts w:ascii="Arial" w:cs="Arial" w:eastAsia="Arial" w:hAnsi="Arial"/>
          <w:color w:val="444444"/>
          <w:sz w:val="22"/>
          <w:szCs w:val="22"/>
        </w:rPr>
        <w:t xml:space="preserve">Embedding agent-like capabilities directly into application code without needing a persistent agent session, reducing cold-start latency for latency-sensitive applications.</w:t>
      </w:r>
    </w:p>
    <w:p>
      <w:pPr>
        <w:spacing w:after="120" w:before="0"/>
      </w:pPr>
      <w:r>
        <w:t xml:space="preserve"/>
      </w:r>
    </w:p>
    <w:p>
      <w:pPr>
        <w:spacing w:after="120" w:before="80"/>
        <w:jc w:val="both"/>
      </w:pPr>
      <w:r>
        <w:rPr>
          <w:rFonts w:ascii="Arial" w:cs="Arial" w:eastAsia="Arial" w:hAnsi="Arial"/>
          <w:color w:val="444444"/>
          <w:sz w:val="22"/>
          <w:szCs w:val="22"/>
        </w:rPr>
        <w:t xml:space="preserve">Perhaps most significantly, AWS is positioning Bedrock as the backbone of its broader AI strategy, tightly integrating it with Amazon Q (the enterprise AI assistant), SageMaker (the ML platform), and AWS Supply Chain — creating a coherent enterprise AI fabric rather than a collection of isolated services.</w:t>
      </w:r>
    </w:p>
    <w:p>
      <w:pPr>
        <w:spacing w:after="240" w:before="0"/>
      </w:pPr>
      <w:r>
        <w:t xml:space="preserve"/>
      </w:r>
    </w:p>
    <w:p>
      <w:pPr>
        <w:pStyle w:val="Heading1"/>
        <w:spacing w:after="200" w:before="400"/>
      </w:pPr>
      <w:r>
        <w:rPr>
          <w:rFonts w:ascii="Arial" w:cs="Arial" w:eastAsia="Arial" w:hAnsi="Arial"/>
          <w:b/>
          <w:bCs/>
          <w:color w:val="232F3E"/>
          <w:sz w:val="36"/>
          <w:szCs w:val="36"/>
        </w:rPr>
        <w:t xml:space="preserve">Conclusion: AI Infrastructure Is the New Competitive Moat</w:t>
      </w:r>
    </w:p>
    <w:p>
      <w:pPr>
        <w:pBdr>
          <w:bottom w:val="single" w:color="FF9900" w:sz="6" w:space="1"/>
        </w:pBdr>
        <w:spacing w:after="200" w:before="200"/>
      </w:pPr>
      <w:r>
        <w:t xml:space="preserve"/>
      </w:r>
    </w:p>
    <w:p>
      <w:pPr>
        <w:spacing w:after="120" w:before="80"/>
        <w:jc w:val="both"/>
      </w:pPr>
      <w:r>
        <w:rPr>
          <w:rFonts w:ascii="Arial" w:cs="Arial" w:eastAsia="Arial" w:hAnsi="Arial"/>
          <w:color w:val="444444"/>
          <w:sz w:val="22"/>
          <w:szCs w:val="22"/>
        </w:rPr>
        <w:t xml:space="preserve">The organizations that will win the next decade are not necessarily those with the best AI models — those models are increasingly commoditized. The winners will be those who build the best AI infrastructure: the pipelines, guardrails, agents, and knowledge systems that take a raw model and transform it into a reliable, scalable, enterprise-grade capability.</w:t>
      </w:r>
    </w:p>
    <w:p>
      <w:pPr>
        <w:spacing w:after="120" w:before="0"/>
      </w:pPr>
      <w:r>
        <w:t xml:space="preserve"/>
      </w:r>
    </w:p>
    <w:p>
      <w:pPr>
        <w:spacing w:after="120" w:before="80"/>
        <w:jc w:val="both"/>
      </w:pPr>
      <w:r>
        <w:rPr>
          <w:rFonts w:ascii="Arial" w:cs="Arial" w:eastAsia="Arial" w:hAnsi="Arial"/>
          <w:color w:val="444444"/>
          <w:sz w:val="22"/>
          <w:szCs w:val="22"/>
        </w:rPr>
        <w:t xml:space="preserve">Amazon Bedrock is a serious bet on that thesis. By abstracting away the complexity of foundation model deployment while providing best-in-class enterprise controls, it democratizes access to powerful AI in a way that is genuinely accessible — to startups building their first chatbot, to Fortune 500 enterprises automating complex workflows, and to every developer in between.</w:t>
      </w:r>
    </w:p>
    <w:p>
      <w:pPr>
        <w:spacing w:after="120" w:before="0"/>
      </w:pPr>
      <w:r>
        <w:t xml:space="preserve"/>
      </w:r>
    </w:p>
    <w:p>
      <w:pPr>
        <w:spacing w:after="120" w:before="80"/>
        <w:jc w:val="both"/>
      </w:pPr>
      <w:r>
        <w:rPr>
          <w:rFonts w:ascii="Arial" w:cs="Arial" w:eastAsia="Arial" w:hAnsi="Arial"/>
          <w:color w:val="444444"/>
          <w:sz w:val="22"/>
          <w:szCs w:val="22"/>
        </w:rPr>
        <w:t xml:space="preserve">The rise of AWS Bedrock is not just a product story. It is a signal of how the industry is maturing: from the era of model experimentation to the era of AI infrastructure. And in that era, the cloud providers who can offer the most complete, secure, and integrated AI platform will define the technological landscape for years to come.</w:t>
      </w:r>
    </w:p>
    <w:p>
      <w:pPr>
        <w:spacing w:after="240" w:before="0"/>
      </w:pPr>
      <w:r>
        <w:t xml:space="preserve"/>
      </w:r>
    </w:p>
    <w:p>
      <w:pPr>
        <w:pBdr>
          <w:bottom w:val="single" w:color="FF9900" w:sz="6" w:space="1"/>
        </w:pBdr>
        <w:spacing w:after="200" w:before="200"/>
      </w:pPr>
      <w:r>
        <w:t xml:space="preserve"/>
      </w:r>
    </w:p>
    <w:p>
      <w:pPr>
        <w:spacing w:after="120" w:before="0"/>
      </w:pPr>
      <w:r>
        <w:t xml:space="preserve"/>
      </w:r>
    </w:p>
    <w:p>
      <w:pPr>
        <w:spacing w:after="80" w:before="0"/>
      </w:pPr>
      <w:r>
        <w:rPr>
          <w:rFonts w:ascii="Arial" w:cs="Arial" w:eastAsia="Arial" w:hAnsi="Arial"/>
          <w:b/>
          <w:bCs/>
          <w:color w:val="232F3E"/>
          <w:sz w:val="26"/>
          <w:szCs w:val="26"/>
        </w:rPr>
        <w:t xml:space="preserve">About the Author</w:t>
      </w:r>
    </w:p>
    <w:p>
      <w:pPr>
        <w:spacing w:after="60" w:before="0"/>
      </w:pPr>
      <w:r>
        <w:rPr>
          <w:rFonts w:ascii="Arial" w:cs="Arial" w:eastAsia="Arial" w:hAnsi="Arial"/>
          <w:b/>
          <w:bCs/>
          <w:color w:val="444444"/>
          <w:sz w:val="24"/>
          <w:szCs w:val="24"/>
        </w:rPr>
        <w:t xml:space="preserve">Aesha Singh</w:t>
      </w:r>
    </w:p>
    <w:p>
      <w:pPr>
        <w:spacing w:after="60" w:before="0"/>
      </w:pPr>
      <w:r>
        <w:rPr>
          <w:rFonts w:ascii="Arial" w:cs="Arial" w:eastAsia="Arial" w:hAnsi="Arial"/>
          <w:color w:val="444444"/>
          <w:sz w:val="22"/>
          <w:szCs w:val="22"/>
        </w:rPr>
        <w:t xml:space="preserve">Registration No: 24BCT0156</w:t>
      </w:r>
    </w:p>
    <w:p>
      <w:pPr>
        <w:spacing w:after="0" w:before="0"/>
      </w:pPr>
      <w:r>
        <w:rPr>
          <w:rFonts w:ascii="Arial" w:cs="Arial" w:eastAsia="Arial" w:hAnsi="Arial"/>
          <w:color w:val="444444"/>
          <w:sz w:val="22"/>
          <w:szCs w:val="22"/>
        </w:rPr>
        <w:t xml:space="preserve">VIT Vellore</w:t>
      </w:r>
    </w:p>
    <w:p>
      <w:pPr>
        <w:spacing w:after="12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9900" w:sz="4" w:space="1"/>
      </w:pBdr>
      <w:spacing w:before="100"/>
      <w:jc w:val="center"/>
    </w:pPr>
    <w:r>
      <w:rPr>
        <w:rFonts w:ascii="Arial" w:cs="Arial" w:eastAsia="Arial" w:hAnsi="Arial"/>
        <w:color w:val="444444"/>
        <w:sz w:val="18"/>
        <w:szCs w:val="18"/>
      </w:rPr>
      <w:t xml:space="preserve">Page </w:t>
    </w:r>
    <w:r>
      <w:rPr>
        <w:rFonts w:ascii="Arial" w:cs="Arial" w:eastAsia="Arial" w:hAnsi="Arial"/>
        <w:color w:val="FF99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32F3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2026-05-20T08:56:13.266Z</dcterms:created>
  <dcterms:modified xsi:type="dcterms:W3CDTF">2026-05-20T08:56:13.266Z</dcterms:modified>
</cp:coreProperties>
</file>

<file path=docProps/custom.xml><?xml version="1.0" encoding="utf-8"?>
<Properties xmlns="http://schemas.openxmlformats.org/officeDocument/2006/custom-properties" xmlns:vt="http://schemas.openxmlformats.org/officeDocument/2006/docPropsVTypes"/>
</file>