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600"/>
        <w:jc w:val="center"/>
      </w:pPr>
      <w:r>
        <w:rPr>
          <w:rFonts w:ascii="Times New Roman" w:cs="Times New Roman" w:eastAsia="Times New Roman" w:hAnsi="Times New Roman"/>
          <w:b/>
          <w:bCs/>
          <w:sz w:val="36"/>
          <w:szCs w:val="36"/>
        </w:rPr>
        <w:t xml:space="preserve">VIT Phishing Message Awareness and Detection Prototype</w:t>
      </w:r>
    </w:p>
    <w:p>
      <w:pPr>
        <w:spacing w:after="240"/>
        <w:jc w:val="center"/>
      </w:pPr>
      <w:r>
        <w:rPr>
          <w:rFonts w:ascii="Times New Roman" w:cs="Times New Roman" w:eastAsia="Times New Roman" w:hAnsi="Times New Roman"/>
          <w:i/>
          <w:iCs/>
          <w:sz w:val="24"/>
          <w:szCs w:val="24"/>
        </w:rPr>
        <w:t xml:space="preserve">Explainable AI for Academic Cybersecurity: Detection, Heuristic Signal Attribution, and Mitigation of Targeted University Phishing Attacks</w:t>
      </w:r>
    </w:p>
    <w:p>
      <w:pPr>
        <w:spacing w:after="60"/>
        <w:jc w:val="center"/>
      </w:pPr>
      <w:r>
        <w:rPr>
          <w:rFonts w:ascii="Times New Roman" w:cs="Times New Roman" w:eastAsia="Times New Roman" w:hAnsi="Times New Roman"/>
          <w:b/>
          <w:bCs/>
          <w:sz w:val="22"/>
          <w:szCs w:val="22"/>
        </w:rPr>
        <w:t xml:space="preserve">Technical Report</w:t>
      </w:r>
    </w:p>
    <w:p>
      <w:pPr>
        <w:spacing w:after="60"/>
        <w:jc w:val="center"/>
      </w:pPr>
      <w:r>
        <w:rPr>
          <w:rFonts w:ascii="Times New Roman" w:cs="Times New Roman" w:eastAsia="Times New Roman" w:hAnsi="Times New Roman"/>
          <w:sz w:val="22"/>
          <w:szCs w:val="22"/>
        </w:rPr>
        <w:t xml:space="preserve">Incident Scenario: 16 October 2026 Academic Impersonation Attack</w:t>
      </w:r>
    </w:p>
    <w:p>
      <w:pPr>
        <w:spacing w:after="60"/>
        <w:jc w:val="center"/>
      </w:pPr>
      <w:r>
        <w:rPr>
          <w:rFonts w:ascii="Times New Roman" w:cs="Times New Roman" w:eastAsia="Times New Roman" w:hAnsi="Times New Roman"/>
          <w:sz w:val="22"/>
          <w:szCs w:val="22"/>
        </w:rPr>
        <w:t xml:space="preserve">Primary Corpora: Kaggle Benchmark Dataset (82,486 emails) and Handcrafted Held-Out VIT Test Suite (120 messages)</w:t>
      </w:r>
    </w:p>
    <w:p>
      <w:pPr>
        <w:spacing w:after="360"/>
        <w:jc w:val="center"/>
      </w:pPr>
      <w:r>
        <w:rPr>
          <w:rFonts w:ascii="Times New Roman" w:cs="Times New Roman" w:eastAsia="Times New Roman" w:hAnsi="Times New Roman"/>
          <w:sz w:val="22"/>
          <w:szCs w:val="22"/>
        </w:rPr>
        <w:t xml:space="preserve">Architecture: Sublinear TF-IDF, Heuristic Rule Signal Layer, Balanced Logistic Regression, and URL Defanging</w:t>
      </w:r>
    </w:p>
    <w:p>
      <w:pPr>
        <w:spacing w:after="240"/>
        <w:jc w:val="center"/>
      </w:pPr>
      <w:r>
        <w:rPr>
          <w:rFonts w:ascii="Times New Roman" w:cs="Times New Roman" w:eastAsia="Times New Roman" w:hAnsi="Times New Roman"/>
          <w:i/>
          <w:iCs/>
          <w:sz w:val="20"/>
          <w:szCs w:val="20"/>
        </w:rPr>
        <w:t xml:space="preserve">Confidential Academic Research and Implementation Document</w:t>
      </w:r>
    </w:p>
    <w:p>
      <w:pPr>
        <w:pStyle w:val="Heading1"/>
        <w:keepNext/>
        <w:spacing w:after="120" w:before="300"/>
      </w:pPr>
      <w:r>
        <w:rPr>
          <w:rFonts w:ascii="Times New Roman" w:cs="Times New Roman" w:eastAsia="Times New Roman" w:hAnsi="Times New Roman"/>
          <w:b/>
          <w:bCs/>
          <w:sz w:val="28"/>
          <w:szCs w:val="28"/>
        </w:rPr>
        <w:t xml:space="preserve">Executive Summary</w:t>
      </w:r>
    </w:p>
    <w:p>
      <w:pPr>
        <w:spacing w:after="120" w:line="276"/>
        <w:jc w:val="both"/>
      </w:pPr>
      <w:r>
        <w:rPr>
          <w:rFonts w:ascii="Times New Roman" w:cs="Times New Roman" w:eastAsia="Times New Roman" w:hAnsi="Times New Roman"/>
          <w:sz w:val="22"/>
          <w:szCs w:val="22"/>
        </w:rPr>
        <w:t xml:space="preserve">On 16 October 2026, students and faculty members across the Vellore Institute of Technology (VIT) received coordinated, high-urgency phishing communications claiming impending VTOP account suspension, FAT hall-ticket deactivation, and unpaid tuition fee arrears.</w:t>
      </w:r>
    </w:p>
    <w:p>
      <w:pPr>
        <w:spacing w:after="120" w:line="276"/>
        <w:jc w:val="both"/>
      </w:pPr>
      <w:r>
        <w:rPr>
          <w:rFonts w:ascii="Times New Roman" w:cs="Times New Roman" w:eastAsia="Times New Roman" w:hAnsi="Times New Roman"/>
          <w:sz w:val="22"/>
          <w:szCs w:val="22"/>
        </w:rPr>
        <w:t xml:space="preserve">Traditional spam filters often fail in academic settings due to domain shift: legitimate university communications routinely feature urgent language (for example, "Deadline tonight", "Fee clearance required", "Hall ticket blocked"), while public spam corpora are contaminated with corporate artifacts such as the 2001 Enron collapse. Furthermore, black-box deep learning models do not explain their rationale, leaving students unable to identify the underlying social engineering tactics.</w:t>
      </w:r>
    </w:p>
    <w:p>
      <w:pPr>
        <w:spacing w:after="120" w:line="276"/>
        <w:jc w:val="both"/>
      </w:pPr>
      <w:r>
        <w:rPr>
          <w:rFonts w:ascii="Times New Roman" w:cs="Times New Roman" w:eastAsia="Times New Roman" w:hAnsi="Times New Roman"/>
          <w:sz w:val="22"/>
          <w:szCs w:val="22"/>
        </w:rPr>
        <w:t xml:space="preserve">To address these vulnerabilities, we developed an interpretable, dual-engine cybersecurity prototype combining:</w:t>
      </w:r>
    </w:p>
    <w:p>
      <w:pPr>
        <w:pStyle w:val="ListParagraph"/>
        <w:numPr>
          <w:ilvl w:val="0"/>
          <w:numId w:val="2"/>
        </w:numPr>
        <w:spacing w:after="80" w:line="276"/>
      </w:pPr>
      <w:r>
        <w:rPr>
          <w:rFonts w:ascii="Times New Roman" w:cs="Times New Roman" w:eastAsia="Times New Roman" w:hAnsi="Times New Roman"/>
          <w:b/>
          <w:bCs/>
          <w:sz w:val="22"/>
          <w:szCs w:val="22"/>
        </w:rPr>
        <w:t xml:space="preserve">Statistical NLP: </w:t>
      </w:r>
      <w:r>
        <w:rPr>
          <w:rFonts w:ascii="Times New Roman" w:cs="Times New Roman" w:eastAsia="Times New Roman" w:hAnsi="Times New Roman"/>
          <w:sz w:val="22"/>
          <w:szCs w:val="22"/>
        </w:rPr>
        <w:t xml:space="preserve">High-dimensional sublinear TF-IDF modeling (50,000 n-gram features) paired with an L2-regularized, class-balanced Logistic Regression classifier.</w:t>
      </w:r>
    </w:p>
    <w:p>
      <w:pPr>
        <w:pStyle w:val="ListParagraph"/>
        <w:numPr>
          <w:ilvl w:val="0"/>
          <w:numId w:val="2"/>
        </w:numPr>
        <w:spacing w:after="80" w:line="276"/>
      </w:pPr>
      <w:r>
        <w:rPr>
          <w:rFonts w:ascii="Times New Roman" w:cs="Times New Roman" w:eastAsia="Times New Roman" w:hAnsi="Times New Roman"/>
          <w:b/>
          <w:bCs/>
          <w:sz w:val="22"/>
          <w:szCs w:val="22"/>
        </w:rPr>
        <w:t xml:space="preserve">Domain-Informed Heuristic Signals: </w:t>
      </w:r>
      <w:r>
        <w:rPr>
          <w:rFonts w:ascii="Times New Roman" w:cs="Times New Roman" w:eastAsia="Times New Roman" w:hAnsi="Times New Roman"/>
          <w:sz w:val="22"/>
          <w:szCs w:val="22"/>
        </w:rPr>
        <w:t xml:space="preserve">Rules targeting psychological urgency, credential harvesting, sender domain mismatches, lookalike domains (for example, vtop-login-secure.example), and stylometric anomalies.</w:t>
      </w:r>
    </w:p>
    <w:p>
      <w:pPr>
        <w:pStyle w:val="ListParagraph"/>
        <w:numPr>
          <w:ilvl w:val="0"/>
          <w:numId w:val="2"/>
        </w:numPr>
        <w:spacing w:after="80" w:line="276"/>
      </w:pPr>
      <w:r>
        <w:rPr>
          <w:rFonts w:ascii="Times New Roman" w:cs="Times New Roman" w:eastAsia="Times New Roman" w:hAnsi="Times New Roman"/>
          <w:b/>
          <w:bCs/>
          <w:sz w:val="22"/>
          <w:szCs w:val="22"/>
        </w:rPr>
        <w:t xml:space="preserve">Passive Security: </w:t>
      </w:r>
      <w:r>
        <w:rPr>
          <w:rFonts w:ascii="Times New Roman" w:cs="Times New Roman" w:eastAsia="Times New Roman" w:hAnsi="Times New Roman"/>
          <w:sz w:val="22"/>
          <w:szCs w:val="22"/>
        </w:rPr>
        <w:t xml:space="preserve">Strict URL defanging (rewriting protocols to hxxp:// and bracketing domain dots), which removes link execution hazards with zero external network queries.</w:t>
      </w:r>
    </w:p>
    <w:p>
      <w:pPr>
        <w:pStyle w:val="ListParagraph"/>
        <w:numPr>
          <w:ilvl w:val="0"/>
          <w:numId w:val="2"/>
        </w:numPr>
        <w:spacing w:after="80" w:line="276"/>
      </w:pPr>
      <w:r>
        <w:rPr>
          <w:rFonts w:ascii="Times New Roman" w:cs="Times New Roman" w:eastAsia="Times New Roman" w:hAnsi="Times New Roman"/>
          <w:b/>
          <w:bCs/>
          <w:sz w:val="22"/>
          <w:szCs w:val="22"/>
        </w:rPr>
        <w:t xml:space="preserve">Transparent Explainability: </w:t>
      </w:r>
      <w:r>
        <w:rPr>
          <w:rFonts w:ascii="Times New Roman" w:cs="Times New Roman" w:eastAsia="Times New Roman" w:hAnsi="Times New Roman"/>
          <w:sz w:val="22"/>
          <w:szCs w:val="22"/>
        </w:rPr>
        <w:t xml:space="preserve">Translation of decision coefficients into plain-English justifications and calibrated risk tiers (Low, Medium, High).</w:t>
      </w:r>
    </w:p>
    <w:p>
      <w:pPr>
        <w:spacing w:after="120" w:line="276"/>
        <w:jc w:val="both"/>
      </w:pPr>
      <w:r>
        <w:rPr>
          <w:rFonts w:ascii="Times New Roman" w:cs="Times New Roman" w:eastAsia="Times New Roman" w:hAnsi="Times New Roman"/>
          <w:sz w:val="22"/>
          <w:szCs w:val="22"/>
        </w:rPr>
        <w:t xml:space="preserve">The resulting system achieves 98.60% accuracy, 98.48% precision, 98.87% recall, 98.67% F1-score, and 99.87% ROC-AUC on public benchmarks, along with a 98.82% (±0.07%) 5-fold cross-validation F1-score. On the specialized held-out VIT scenario test set, it achieves 75.83% accuracy and 77.19% precision, demonstrating resistance to severe domain shift.</w:t>
      </w:r>
    </w:p>
    <w:p>
      <w:pPr>
        <w:pStyle w:val="Heading1"/>
        <w:keepNext/>
        <w:spacing w:after="120" w:before="300"/>
      </w:pPr>
      <w:r>
        <w:rPr>
          <w:rFonts w:ascii="Times New Roman" w:cs="Times New Roman" w:eastAsia="Times New Roman" w:hAnsi="Times New Roman"/>
          <w:b/>
          <w:bCs/>
          <w:sz w:val="28"/>
          <w:szCs w:val="28"/>
        </w:rPr>
        <w:t xml:space="preserve">1. System Architecture</w:t>
      </w:r>
    </w:p>
    <w:p>
      <w:pPr>
        <w:spacing w:after="120" w:line="276"/>
        <w:jc w:val="both"/>
      </w:pPr>
      <w:r>
        <w:rPr>
          <w:rFonts w:ascii="Times New Roman" w:cs="Times New Roman" w:eastAsia="Times New Roman" w:hAnsi="Times New Roman"/>
          <w:sz w:val="22"/>
          <w:szCs w:val="22"/>
        </w:rPr>
        <w:t xml:space="preserve">The system operates strictly as a passive, privacy-preserving pipeline. It accepts raw message bodies, headers, and sender details, runs parallel NLP and heuristic analyses, defangs all extracted links, and provides an explainable risk evaluation.</w:t>
      </w:r>
    </w:p>
    <w:p>
      <w:pPr>
        <w:pStyle w:val="Heading2"/>
        <w:keepNext/>
        <w:spacing w:after="100" w:before="200"/>
      </w:pPr>
      <w:r>
        <w:rPr>
          <w:rFonts w:ascii="Times New Roman" w:cs="Times New Roman" w:eastAsia="Times New Roman" w:hAnsi="Times New Roman"/>
          <w:b/>
          <w:bCs/>
          <w:sz w:val="24"/>
          <w:szCs w:val="24"/>
        </w:rPr>
        <w:t xml:space="preserve">1.1 Architecture Workflow</w:t>
      </w:r>
    </w:p>
    <w:p>
      <w:pPr>
        <w:spacing w:after="120" w:line="276"/>
        <w:jc w:val="both"/>
      </w:pPr>
      <w:r>
        <w:rPr>
          <w:rFonts w:ascii="Times New Roman" w:cs="Times New Roman" w:eastAsia="Times New Roman" w:hAnsi="Times New Roman"/>
          <w:sz w:val="22"/>
          <w:szCs w:val="22"/>
        </w:rPr>
        <w:t xml:space="preserve">The end-to-end processing pipeline integrates passive parsing, sublinear n-gram extraction, heuristic signal scoring, dual-engine classification, URL defanging, and dashboard reporting, as illustrated in Figure 1.</w:t>
      </w:r>
    </w:p>
    <w:p>
      <w:pPr>
        <w:keepNext/>
        <w:spacing w:after="60" w:before="120"/>
        <w:jc w:val="center"/>
      </w:pPr>
      <w:r>
        <w:drawing>
          <wp:inline distT="0" distB="0" distL="0" distR="0">
            <wp:extent cx="5334000" cy="2667000"/>
            <wp:effectExtent t="0" r="0" b="0" l="0"/>
            <wp:docPr id="1" name="fig1.png" descr="Figure 1: Email Phishing Detection Pipeline Workflow" title="Figure 1: Email Phishing Detection Pipeline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1: Email Phishing Detection Pipeline Workflow</w:t>
      </w:r>
    </w:p>
    <w:p>
      <w:pPr>
        <w:pStyle w:val="Heading2"/>
        <w:keepNext/>
        <w:spacing w:after="100" w:before="200"/>
      </w:pPr>
      <w:r>
        <w:rPr>
          <w:rFonts w:ascii="Times New Roman" w:cs="Times New Roman" w:eastAsia="Times New Roman" w:hAnsi="Times New Roman"/>
          <w:b/>
          <w:bCs/>
          <w:sz w:val="24"/>
          <w:szCs w:val="24"/>
        </w:rPr>
        <w:t xml:space="preserve">1.2 Pipeline Components</w:t>
      </w:r>
    </w:p>
    <w:p>
      <w:pPr>
        <w:pStyle w:val="ListParagraph"/>
        <w:numPr>
          <w:ilvl w:val="0"/>
          <w:numId w:val="3"/>
        </w:numPr>
        <w:spacing w:after="80" w:line="276"/>
      </w:pPr>
      <w:r>
        <w:rPr>
          <w:rFonts w:ascii="Times New Roman" w:cs="Times New Roman" w:eastAsia="Times New Roman" w:hAnsi="Times New Roman"/>
          <w:b/>
          <w:bCs/>
          <w:sz w:val="22"/>
          <w:szCs w:val="22"/>
        </w:rPr>
        <w:t xml:space="preserve">Ingestion and Sanitization (clean_text): </w:t>
      </w:r>
      <w:r>
        <w:rPr>
          <w:rFonts w:ascii="Times New Roman" w:cs="Times New Roman" w:eastAsia="Times New Roman" w:hAnsi="Times New Roman"/>
          <w:sz w:val="22"/>
          <w:szCs w:val="22"/>
        </w:rPr>
        <w:t xml:space="preserve">Strips raw HTML tags and unescapes entities safely without browser rendering. Replaces URLs with the canonical token "urltoken" and email addresses with "emailtoken" to prevent overfitting while preserving syntactic structure.</w:t>
      </w:r>
    </w:p>
    <w:p>
      <w:pPr>
        <w:pStyle w:val="ListParagraph"/>
        <w:numPr>
          <w:ilvl w:val="0"/>
          <w:numId w:val="3"/>
        </w:numPr>
        <w:spacing w:after="80" w:line="276"/>
      </w:pPr>
      <w:r>
        <w:rPr>
          <w:rFonts w:ascii="Times New Roman" w:cs="Times New Roman" w:eastAsia="Times New Roman" w:hAnsi="Times New Roman"/>
          <w:b/>
          <w:bCs/>
          <w:sz w:val="22"/>
          <w:szCs w:val="22"/>
        </w:rPr>
        <w:t xml:space="preserve">Statistical NLP Subsystem: </w:t>
      </w:r>
      <w:r>
        <w:rPr>
          <w:rFonts w:ascii="Times New Roman" w:cs="Times New Roman" w:eastAsia="Times New Roman" w:hAnsi="Times New Roman"/>
          <w:sz w:val="22"/>
          <w:szCs w:val="22"/>
        </w:rPr>
        <w:t xml:space="preserve">Employs sublinear term frequency scaling (1 + log(TF)) to penalize repeated common tokens. Extracts unigram and bigram word features (n in [1, 2]) up to a maximum vocabulary of 50,000 features.</w:t>
      </w:r>
    </w:p>
    <w:p>
      <w:pPr>
        <w:pStyle w:val="ListParagraph"/>
        <w:numPr>
          <w:ilvl w:val="0"/>
          <w:numId w:val="3"/>
        </w:numPr>
        <w:spacing w:after="80" w:line="276"/>
      </w:pPr>
      <w:r>
        <w:rPr>
          <w:rFonts w:ascii="Times New Roman" w:cs="Times New Roman" w:eastAsia="Times New Roman" w:hAnsi="Times New Roman"/>
          <w:b/>
          <w:bCs/>
          <w:sz w:val="22"/>
          <w:szCs w:val="22"/>
        </w:rPr>
        <w:t xml:space="preserve">Heuristic Rule Signal Layer: </w:t>
      </w:r>
      <w:r>
        <w:rPr>
          <w:rFonts w:ascii="Times New Roman" w:cs="Times New Roman" w:eastAsia="Times New Roman" w:hAnsi="Times New Roman"/>
          <w:sz w:val="22"/>
          <w:szCs w:val="22"/>
        </w:rPr>
        <w:t xml:space="preserve">Extracts deterministic security rules across five domain vectors: Urgency Detection ("within 24 hours", "immediate"); Credential Theft ("verify password", "enter OTP"); Suspicious Link Structures (raw IPs, shorteners, depth of 4 or more, anchor text mismatches); University Lookalike Domains (spoofed "vit" or "vtop" strings not ending in vit.ac.in); and Sender Authenticity (claims of VIT leadership sent from free public mail such as gmail.com).</w:t>
      </w:r>
    </w:p>
    <w:p>
      <w:pPr>
        <w:pStyle w:val="ListParagraph"/>
        <w:numPr>
          <w:ilvl w:val="0"/>
          <w:numId w:val="3"/>
        </w:numPr>
        <w:spacing w:after="80" w:line="276"/>
      </w:pPr>
      <w:r>
        <w:rPr>
          <w:rFonts w:ascii="Times New Roman" w:cs="Times New Roman" w:eastAsia="Times New Roman" w:hAnsi="Times New Roman"/>
          <w:b/>
          <w:bCs/>
          <w:sz w:val="22"/>
          <w:szCs w:val="22"/>
        </w:rPr>
        <w:t xml:space="preserve">Dual-Engine Fusion Classifier: </w:t>
      </w:r>
      <w:r>
        <w:rPr>
          <w:rFonts w:ascii="Times New Roman" w:cs="Times New Roman" w:eastAsia="Times New Roman" w:hAnsi="Times New Roman"/>
          <w:sz w:val="22"/>
          <w:szCs w:val="22"/>
        </w:rPr>
        <w:t xml:space="preserve">Combines sparse TF-IDF vectors with standardized numerical signal features via sparse horizontal stacking (scipy.sparse.hstack). Uses an L2-regularized Logistic Regression model with balanced class weighting to prevent bias.</w:t>
      </w:r>
    </w:p>
    <w:p>
      <w:pPr>
        <w:pStyle w:val="ListParagraph"/>
        <w:numPr>
          <w:ilvl w:val="0"/>
          <w:numId w:val="3"/>
        </w:numPr>
        <w:spacing w:after="80" w:line="276"/>
      </w:pPr>
      <w:r>
        <w:rPr>
          <w:rFonts w:ascii="Times New Roman" w:cs="Times New Roman" w:eastAsia="Times New Roman" w:hAnsi="Times New Roman"/>
          <w:b/>
          <w:bCs/>
          <w:sz w:val="22"/>
          <w:szCs w:val="22"/>
        </w:rPr>
        <w:t xml:space="preserve">Passive Safety and URL Defanging: </w:t>
      </w:r>
      <w:r>
        <w:rPr>
          <w:rFonts w:ascii="Times New Roman" w:cs="Times New Roman" w:eastAsia="Times New Roman" w:hAnsi="Times New Roman"/>
          <w:sz w:val="22"/>
          <w:szCs w:val="22"/>
        </w:rPr>
        <w:t xml:space="preserve">Rewrites protocols (http:// to hxxp://, https:// to hxxps://) and encloses host dots in brackets ("." to "[.]"). This eliminates link clickability in client interfaces.</w:t>
      </w:r>
    </w:p>
    <w:p>
      <w:pPr>
        <w:pStyle w:val="Heading1"/>
        <w:keepNext/>
        <w:spacing w:after="120" w:before="300"/>
      </w:pPr>
      <w:r>
        <w:rPr>
          <w:rFonts w:ascii="Times New Roman" w:cs="Times New Roman" w:eastAsia="Times New Roman" w:hAnsi="Times New Roman"/>
          <w:b/>
          <w:bCs/>
          <w:sz w:val="28"/>
          <w:szCs w:val="28"/>
        </w:rPr>
        <w:t xml:space="preserve">2. Approach to Solve the Problem</w:t>
      </w:r>
    </w:p>
    <w:p>
      <w:pPr>
        <w:pStyle w:val="Heading2"/>
        <w:keepNext/>
        <w:spacing w:after="100" w:before="200"/>
      </w:pPr>
      <w:r>
        <w:rPr>
          <w:rFonts w:ascii="Times New Roman" w:cs="Times New Roman" w:eastAsia="Times New Roman" w:hAnsi="Times New Roman"/>
          <w:b/>
          <w:bCs/>
          <w:sz w:val="24"/>
          <w:szCs w:val="24"/>
        </w:rPr>
        <w:t xml:space="preserve">2.1 Limitations of Off-the-Shelf Approaches</w:t>
      </w:r>
    </w:p>
    <w:p>
      <w:pPr>
        <w:pStyle w:val="ListParagraph"/>
        <w:numPr>
          <w:ilvl w:val="0"/>
          <w:numId w:val="3"/>
        </w:numPr>
        <w:spacing w:after="80" w:line="276"/>
      </w:pPr>
      <w:r>
        <w:rPr>
          <w:rFonts w:ascii="Times New Roman" w:cs="Times New Roman" w:eastAsia="Times New Roman" w:hAnsi="Times New Roman"/>
          <w:b/>
          <w:bCs/>
          <w:sz w:val="22"/>
          <w:szCs w:val="22"/>
        </w:rPr>
        <w:t xml:space="preserve">The Corpus Artifact Problem: </w:t>
      </w:r>
      <w:r>
        <w:rPr>
          <w:rFonts w:ascii="Times New Roman" w:cs="Times New Roman" w:eastAsia="Times New Roman" w:hAnsi="Times New Roman"/>
          <w:sz w:val="22"/>
          <w:szCs w:val="22"/>
        </w:rPr>
        <w:t xml:space="preserve">Historical corpora such as Enron teach models that terms like "enron" or "houston" indicate legitimate emails, while terms like "account" or "payment" indicate fraud. In a university context, students constantly receive official billing and registration notices containing those exact financial and administrative terms.</w:t>
      </w:r>
    </w:p>
    <w:p>
      <w:pPr>
        <w:pStyle w:val="ListParagraph"/>
        <w:numPr>
          <w:ilvl w:val="0"/>
          <w:numId w:val="3"/>
        </w:numPr>
        <w:spacing w:after="80" w:line="276"/>
      </w:pPr>
      <w:r>
        <w:rPr>
          <w:rFonts w:ascii="Times New Roman" w:cs="Times New Roman" w:eastAsia="Times New Roman" w:hAnsi="Times New Roman"/>
          <w:b/>
          <w:bCs/>
          <w:sz w:val="22"/>
          <w:szCs w:val="22"/>
        </w:rPr>
        <w:t xml:space="preserve">Vulnerability of Active Probing: </w:t>
      </w:r>
      <w:r>
        <w:rPr>
          <w:rFonts w:ascii="Times New Roman" w:cs="Times New Roman" w:eastAsia="Times New Roman" w:hAnsi="Times New Roman"/>
          <w:sz w:val="22"/>
          <w:szCs w:val="22"/>
        </w:rPr>
        <w:t xml:space="preserve">Conventional security gateways often fetch target web pages to inspect DOM trees or take screenshots. In targeted spear-phishing, opening a custom link confirms email delivery to attackers, burns single-use authentication tokens, or triggers client-side drive-by downloads. Our approach strictly adheres to zero network egress.</w:t>
      </w:r>
    </w:p>
    <w:p>
      <w:pPr>
        <w:pStyle w:val="ListParagraph"/>
        <w:numPr>
          <w:ilvl w:val="0"/>
          <w:numId w:val="3"/>
        </w:numPr>
        <w:spacing w:after="80" w:line="276"/>
      </w:pPr>
      <w:r>
        <w:rPr>
          <w:rFonts w:ascii="Times New Roman" w:cs="Times New Roman" w:eastAsia="Times New Roman" w:hAnsi="Times New Roman"/>
          <w:b/>
          <w:bCs/>
          <w:sz w:val="22"/>
          <w:szCs w:val="22"/>
        </w:rPr>
        <w:t xml:space="preserve">Opaque Black-Box AI: </w:t>
      </w:r>
      <w:r>
        <w:rPr>
          <w:rFonts w:ascii="Times New Roman" w:cs="Times New Roman" w:eastAsia="Times New Roman" w:hAnsi="Times New Roman"/>
          <w:sz w:val="22"/>
          <w:szCs w:val="22"/>
        </w:rPr>
        <w:t xml:space="preserve">Deep neural classifiers output probability numbers without actionable rationale. When a student cannot see why an alert was triggered, they are likely to dismiss the warning as a false alarm.</w:t>
      </w:r>
    </w:p>
    <w:p>
      <w:pPr>
        <w:pStyle w:val="Heading2"/>
        <w:keepNext/>
        <w:spacing w:after="100" w:before="200"/>
      </w:pPr>
      <w:r>
        <w:rPr>
          <w:rFonts w:ascii="Times New Roman" w:cs="Times New Roman" w:eastAsia="Times New Roman" w:hAnsi="Times New Roman"/>
          <w:b/>
          <w:bCs/>
          <w:sz w:val="24"/>
          <w:szCs w:val="24"/>
        </w:rPr>
        <w:t xml:space="preserve">2.2 The Hybrid Solution Strategy</w:t>
      </w:r>
    </w:p>
    <w:p>
      <w:pPr>
        <w:spacing w:after="120" w:line="276"/>
        <w:jc w:val="both"/>
      </w:pPr>
      <w:r>
        <w:rPr>
          <w:rFonts w:ascii="Times New Roman" w:cs="Times New Roman" w:eastAsia="Times New Roman" w:hAnsi="Times New Roman"/>
          <w:sz w:val="22"/>
          <w:szCs w:val="22"/>
        </w:rPr>
        <w:t xml:space="preserve">Our prototype uses a dual-engine architecture that balances broad statistical coverage with targeted, high-confidence domain rules:</w:t>
      </w:r>
    </w:p>
    <w:p>
      <w:pPr>
        <w:pStyle w:val="ListParagraph"/>
        <w:numPr>
          <w:ilvl w:val="0"/>
          <w:numId w:val="3"/>
        </w:numPr>
        <w:spacing w:after="80" w:line="276"/>
      </w:pPr>
      <w:r>
        <w:rPr>
          <w:rFonts w:ascii="Times New Roman" w:cs="Times New Roman" w:eastAsia="Times New Roman" w:hAnsi="Times New Roman"/>
          <w:b/>
          <w:bCs/>
          <w:sz w:val="22"/>
          <w:szCs w:val="22"/>
        </w:rPr>
        <w:t xml:space="preserve">Broad Coverage via Sublinear TF-IDF: </w:t>
      </w:r>
      <w:r>
        <w:rPr>
          <w:rFonts w:ascii="Times New Roman" w:cs="Times New Roman" w:eastAsia="Times New Roman" w:hAnsi="Times New Roman"/>
          <w:sz w:val="22"/>
          <w:szCs w:val="22"/>
        </w:rPr>
        <w:t xml:space="preserve">Covers diverse spam vocabulary across more than 82,000 public emails.</w:t>
      </w:r>
    </w:p>
    <w:p>
      <w:pPr>
        <w:pStyle w:val="ListParagraph"/>
        <w:numPr>
          <w:ilvl w:val="0"/>
          <w:numId w:val="3"/>
        </w:numPr>
        <w:spacing w:after="80" w:line="276"/>
      </w:pPr>
      <w:r>
        <w:rPr>
          <w:rFonts w:ascii="Times New Roman" w:cs="Times New Roman" w:eastAsia="Times New Roman" w:hAnsi="Times New Roman"/>
          <w:b/>
          <w:bCs/>
          <w:sz w:val="22"/>
          <w:szCs w:val="22"/>
        </w:rPr>
        <w:t xml:space="preserve">Precision Grounding via Rule Signals: </w:t>
      </w:r>
      <w:r>
        <w:rPr>
          <w:rFonts w:ascii="Times New Roman" w:cs="Times New Roman" w:eastAsia="Times New Roman" w:hAnsi="Times New Roman"/>
          <w:sz w:val="22"/>
          <w:szCs w:val="22"/>
        </w:rPr>
        <w:t xml:space="preserve">Heuristic features override statistical biases, ensuring that lookalike domains (vit-account-verify.example) and sender mismatches (vtop-alerts@gmail.com) are flagged immediately regardless of natural-sounding wording.</w:t>
      </w:r>
    </w:p>
    <w:p>
      <w:pPr>
        <w:pStyle w:val="ListParagraph"/>
        <w:numPr>
          <w:ilvl w:val="0"/>
          <w:numId w:val="3"/>
        </w:numPr>
        <w:spacing w:after="80" w:line="276"/>
      </w:pPr>
      <w:r>
        <w:rPr>
          <w:rFonts w:ascii="Times New Roman" w:cs="Times New Roman" w:eastAsia="Times New Roman" w:hAnsi="Times New Roman"/>
          <w:b/>
          <w:bCs/>
          <w:sz w:val="22"/>
          <w:szCs w:val="22"/>
        </w:rPr>
        <w:t xml:space="preserve">Calibrated Three-Tier Risk Framework: </w:t>
      </w:r>
      <w:r>
        <w:rPr>
          <w:rFonts w:ascii="Times New Roman" w:cs="Times New Roman" w:eastAsia="Times New Roman" w:hAnsi="Times New Roman"/>
          <w:sz w:val="22"/>
          <w:szCs w:val="22"/>
        </w:rPr>
        <w:t xml:space="preserve">Low Risk (p &lt; 0.35) for benign circulars; Medium Risk (0.35 ≤ p ≤ 0.65) for ambiguous communications with moderate urgency; High Risk (p &gt; 0.65) for explicit credential harvesting, lookalike domains, or verified sender impersonation.</w:t>
      </w:r>
    </w:p>
    <w:p>
      <w:pPr>
        <w:pStyle w:val="Heading1"/>
        <w:keepNext/>
        <w:spacing w:after="120" w:before="300"/>
      </w:pPr>
      <w:r>
        <w:rPr>
          <w:rFonts w:ascii="Times New Roman" w:cs="Times New Roman" w:eastAsia="Times New Roman" w:hAnsi="Times New Roman"/>
          <w:b/>
          <w:bCs/>
          <w:sz w:val="28"/>
          <w:szCs w:val="28"/>
        </w:rPr>
        <w:t xml:space="preserve">3. Exploratory Data Analysis and Corpus Insights</w:t>
      </w:r>
    </w:p>
    <w:p>
      <w:pPr>
        <w:spacing w:after="120" w:line="276"/>
        <w:jc w:val="both"/>
      </w:pPr>
      <w:r>
        <w:rPr>
          <w:rFonts w:ascii="Times New Roman" w:cs="Times New Roman" w:eastAsia="Times New Roman" w:hAnsi="Times New Roman"/>
          <w:sz w:val="22"/>
          <w:szCs w:val="22"/>
        </w:rPr>
        <w:t xml:space="preserve">The primary training dataset is the Kaggle "Phishing Email Dataset" compiled by Naser Abdullah Alam (82,486 emails across six benchmark corpora: Enron, Ling-Spam, CEAS 2008, Nazario, Nigerian Fraud, and SpamAssassin).</w:t>
      </w:r>
    </w:p>
    <w:p>
      <w:pPr>
        <w:pStyle w:val="Heading2"/>
        <w:keepNext/>
        <w:spacing w:after="100" w:before="200"/>
      </w:pPr>
      <w:r>
        <w:rPr>
          <w:rFonts w:ascii="Times New Roman" w:cs="Times New Roman" w:eastAsia="Times New Roman" w:hAnsi="Times New Roman"/>
          <w:b/>
          <w:bCs/>
          <w:sz w:val="24"/>
          <w:szCs w:val="24"/>
        </w:rPr>
        <w:t xml:space="preserve">3.1 Class Distribution</w:t>
      </w:r>
    </w:p>
    <w:p>
      <w:pPr>
        <w:spacing w:after="120" w:line="276"/>
        <w:jc w:val="both"/>
      </w:pPr>
      <w:r>
        <w:rPr>
          <w:rFonts w:ascii="Times New Roman" w:cs="Times New Roman" w:eastAsia="Times New Roman" w:hAnsi="Times New Roman"/>
          <w:sz w:val="22"/>
          <w:szCs w:val="22"/>
        </w:rPr>
        <w:t xml:space="preserve">The dataset is well balanced across legitimate and phishing samples, preventing majority-class collapse (42,891 phishing emails, 52.0%, versus 39,595 legitimate emails, 48.0%). The training split contains 65,662 emails and the held-out test split contains 15,797 emails.</w:t>
      </w:r>
    </w:p>
    <w:p>
      <w:pPr>
        <w:keepNext/>
        <w:spacing w:after="60" w:before="120"/>
        <w:jc w:val="center"/>
      </w:pPr>
      <w:r>
        <w:drawing>
          <wp:inline distT="0" distB="0" distL="0" distR="0">
            <wp:extent cx="3619500" cy="2409825"/>
            <wp:effectExtent t="0" r="0" b="0" l="0"/>
            <wp:docPr id="2" name="fig2.png" descr="Figure 2: Distribution of Legitimate and Phishing Emails in the Training Split" title="Figure 2: Distribution of Legitimate and Phishing Emails in the Training Spl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619500" cy="240982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2: Distribution of Legitimate and Phishing Emails in the Training Split</w:t>
      </w:r>
    </w:p>
    <w:p>
      <w:pPr>
        <w:pStyle w:val="Heading2"/>
        <w:keepNext/>
        <w:spacing w:after="100" w:before="200"/>
      </w:pPr>
      <w:r>
        <w:rPr>
          <w:rFonts w:ascii="Times New Roman" w:cs="Times New Roman" w:eastAsia="Times New Roman" w:hAnsi="Times New Roman"/>
          <w:b/>
          <w:bCs/>
          <w:sz w:val="24"/>
          <w:szCs w:val="24"/>
        </w:rPr>
        <w:t xml:space="preserve">3.2 Text Length Distributions</w:t>
      </w:r>
    </w:p>
    <w:p>
      <w:pPr>
        <w:spacing w:after="120" w:line="276"/>
        <w:jc w:val="both"/>
      </w:pPr>
      <w:r>
        <w:rPr>
          <w:rFonts w:ascii="Times New Roman" w:cs="Times New Roman" w:eastAsia="Times New Roman" w:hAnsi="Times New Roman"/>
          <w:sz w:val="22"/>
          <w:szCs w:val="22"/>
        </w:rPr>
        <w:t xml:space="preserve">Analysis shows that legitimate corporate communications have a wide length distribution (including long technical memos and multi-reply chains), whereas phishing communications concentrate in shorter, high-pressure paragraphs designed for quick mobile reading.</w:t>
      </w:r>
    </w:p>
    <w:p>
      <w:pPr>
        <w:keepNext/>
        <w:spacing w:after="60" w:before="120"/>
        <w:jc w:val="center"/>
      </w:pPr>
      <w:r>
        <w:drawing>
          <wp:inline distT="0" distB="0" distL="0" distR="0">
            <wp:extent cx="5334000" cy="2047875"/>
            <wp:effectExtent t="0" r="0" b="0" l="0"/>
            <wp:docPr id="3" name="fig3.png" descr="Figure 3: Log-Scale Text Length Distribution (Character and Word Counts)" title="Figure 3: Log-Scale Text Length Distribution (Character and Word Cou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3: Log-Scale Text Length Distribution (Character and Word Counts)</w:t>
      </w:r>
    </w:p>
    <w:p>
      <w:pPr>
        <w:pStyle w:val="Heading2"/>
        <w:keepNext/>
        <w:spacing w:after="100" w:before="200"/>
      </w:pPr>
      <w:r>
        <w:rPr>
          <w:rFonts w:ascii="Times New Roman" w:cs="Times New Roman" w:eastAsia="Times New Roman" w:hAnsi="Times New Roman"/>
          <w:b/>
          <w:bCs/>
          <w:sz w:val="24"/>
          <w:szCs w:val="24"/>
        </w:rPr>
        <w:t xml:space="preserve">3.3 Keyword Frequencies and Corpus Bias</w:t>
      </w:r>
    </w:p>
    <w:p>
      <w:pPr>
        <w:spacing w:after="120" w:line="276"/>
        <w:jc w:val="both"/>
      </w:pPr>
      <w:r>
        <w:rPr>
          <w:rFonts w:ascii="Times New Roman" w:cs="Times New Roman" w:eastAsia="Times New Roman" w:hAnsi="Times New Roman"/>
          <w:sz w:val="22"/>
          <w:szCs w:val="22"/>
        </w:rPr>
        <w:t xml:space="preserve">Inspecting the top 15 words per class highlights the distinct vocabularies of phishing lures versus corporate archives (Figure 4).</w:t>
      </w:r>
    </w:p>
    <w:p>
      <w:pPr>
        <w:keepNext/>
        <w:spacing w:after="60" w:before="120"/>
        <w:jc w:val="center"/>
      </w:pPr>
      <w:r>
        <w:drawing>
          <wp:inline distT="0" distB="0" distL="0" distR="0">
            <wp:extent cx="5334000" cy="2667000"/>
            <wp:effectExtent t="0" r="0" b="0" l="0"/>
            <wp:docPr id="4" name="fig4.png" descr="Figure 4: Top 15 Keywords per Class in the Kaggle Benchmark Corpus" title="Figure 4: Top 15 Keywords per Class in the Kaggle Benchmark Corpu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2667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4: Top 15 Keywords per Class in the Kaggle Benchmark Corpus</w:t>
      </w:r>
    </w:p>
    <w:p>
      <w:pPr>
        <w:spacing w:after="120" w:line="276"/>
        <w:jc w:val="both"/>
      </w:pPr>
      <w:r>
        <w:rPr>
          <w:rFonts w:ascii="Times New Roman" w:cs="Times New Roman" w:eastAsia="Times New Roman" w:hAnsi="Times New Roman"/>
          <w:b/>
          <w:bCs/>
          <w:sz w:val="22"/>
          <w:szCs w:val="22"/>
        </w:rPr>
        <w:t xml:space="preserve">Corpus Bias Observation. </w:t>
      </w:r>
      <w:r>
        <w:rPr>
          <w:rFonts w:ascii="Times New Roman" w:cs="Times New Roman" w:eastAsia="Times New Roman" w:hAnsi="Times New Roman"/>
          <w:sz w:val="22"/>
          <w:szCs w:val="22"/>
        </w:rPr>
        <w:t xml:space="preserve">The strong presence of "enron", "vince", and "houston" in legitimate emails confirms the hypothesis that models trained solely on raw text learn historical, dataset-specific quirks. This reinforces the necessity of domain-informed heuristic signals.</w:t>
      </w:r>
    </w:p>
    <w:p>
      <w:pPr>
        <w:pStyle w:val="Heading2"/>
        <w:keepNext/>
        <w:spacing w:after="100" w:before="200"/>
      </w:pPr>
      <w:r>
        <w:rPr>
          <w:rFonts w:ascii="Times New Roman" w:cs="Times New Roman" w:eastAsia="Times New Roman" w:hAnsi="Times New Roman"/>
          <w:b/>
          <w:bCs/>
          <w:sz w:val="24"/>
          <w:szCs w:val="24"/>
        </w:rPr>
        <w:t xml:space="preserve">3.4 Heuristic Signal Trigger Rates</w:t>
      </w:r>
    </w:p>
    <w:p>
      <w:pPr>
        <w:spacing w:after="120" w:line="276"/>
        <w:jc w:val="both"/>
      </w:pPr>
      <w:r>
        <w:rPr>
          <w:rFonts w:ascii="Times New Roman" w:cs="Times New Roman" w:eastAsia="Times New Roman" w:hAnsi="Times New Roman"/>
          <w:sz w:val="22"/>
          <w:szCs w:val="22"/>
        </w:rPr>
        <w:t xml:space="preserve">Comparing heuristic signal trigger rates across legitimate and phishing emails shows that rule-based indicators distinguish between the classes (Figure 5).</w:t>
      </w:r>
    </w:p>
    <w:p>
      <w:pPr>
        <w:keepNext/>
        <w:spacing w:after="60" w:before="120"/>
        <w:jc w:val="center"/>
      </w:pPr>
      <w:r>
        <w:drawing>
          <wp:inline distT="0" distB="0" distL="0" distR="0">
            <wp:extent cx="4572000" cy="2286000"/>
            <wp:effectExtent t="0" r="0" b="0" l="0"/>
            <wp:docPr id="5" name="fig5.png" descr="Figure 5: Heuristic Signal Activation Rates Across Classes" title="Figure 5: Heuristic Signal Activation Rates Across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2860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5: Heuristic Signal Activation Rates Across Classes</w:t>
      </w:r>
    </w:p>
    <w:p>
      <w:pPr>
        <w:pStyle w:val="ListParagraph"/>
        <w:numPr>
          <w:ilvl w:val="0"/>
          <w:numId w:val="3"/>
        </w:numPr>
        <w:spacing w:after="80" w:line="276"/>
      </w:pPr>
      <w:r>
        <w:rPr>
          <w:rFonts w:ascii="Times New Roman" w:cs="Times New Roman" w:eastAsia="Times New Roman" w:hAnsi="Times New Roman"/>
          <w:b/>
          <w:bCs/>
          <w:sz w:val="22"/>
          <w:szCs w:val="22"/>
        </w:rPr>
        <w:t xml:space="preserve">Urgency Signals: </w:t>
      </w:r>
      <w:r>
        <w:rPr>
          <w:rFonts w:ascii="Times New Roman" w:cs="Times New Roman" w:eastAsia="Times New Roman" w:hAnsi="Times New Roman"/>
          <w:sz w:val="22"/>
          <w:szCs w:val="22"/>
        </w:rPr>
        <w:t xml:space="preserve">Triggered in 28.4% of phishing emails versus 4.1% of legitimate emails.</w:t>
      </w:r>
    </w:p>
    <w:p>
      <w:pPr>
        <w:pStyle w:val="ListParagraph"/>
        <w:numPr>
          <w:ilvl w:val="0"/>
          <w:numId w:val="3"/>
        </w:numPr>
        <w:spacing w:after="80" w:line="276"/>
      </w:pPr>
      <w:r>
        <w:rPr>
          <w:rFonts w:ascii="Times New Roman" w:cs="Times New Roman" w:eastAsia="Times New Roman" w:hAnsi="Times New Roman"/>
          <w:b/>
          <w:bCs/>
          <w:sz w:val="22"/>
          <w:szCs w:val="22"/>
        </w:rPr>
        <w:t xml:space="preserve">Suspicious Link Signals: </w:t>
      </w:r>
      <w:r>
        <w:rPr>
          <w:rFonts w:ascii="Times New Roman" w:cs="Times New Roman" w:eastAsia="Times New Roman" w:hAnsi="Times New Roman"/>
          <w:sz w:val="22"/>
          <w:szCs w:val="22"/>
        </w:rPr>
        <w:t xml:space="preserve">Triggered in 41.7% of phishing emails versus 6.8% of legitimate emails.</w:t>
      </w:r>
    </w:p>
    <w:p>
      <w:pPr>
        <w:pStyle w:val="ListParagraph"/>
        <w:numPr>
          <w:ilvl w:val="0"/>
          <w:numId w:val="3"/>
        </w:numPr>
        <w:spacing w:after="80" w:line="276"/>
      </w:pPr>
      <w:r>
        <w:rPr>
          <w:rFonts w:ascii="Times New Roman" w:cs="Times New Roman" w:eastAsia="Times New Roman" w:hAnsi="Times New Roman"/>
          <w:b/>
          <w:bCs/>
          <w:sz w:val="22"/>
          <w:szCs w:val="22"/>
        </w:rPr>
        <w:t xml:space="preserve">Credential Harvesting Signals: </w:t>
      </w:r>
      <w:r>
        <w:rPr>
          <w:rFonts w:ascii="Times New Roman" w:cs="Times New Roman" w:eastAsia="Times New Roman" w:hAnsi="Times New Roman"/>
          <w:sz w:val="22"/>
          <w:szCs w:val="22"/>
        </w:rPr>
        <w:t xml:space="preserve">Present almost exclusively in phishing lures (19.2% versus 0.8%).</w:t>
      </w:r>
    </w:p>
    <w:p>
      <w:pPr>
        <w:pStyle w:val="Heading1"/>
        <w:keepNext/>
        <w:spacing w:after="120" w:before="300"/>
      </w:pPr>
      <w:r>
        <w:rPr>
          <w:rFonts w:ascii="Times New Roman" w:cs="Times New Roman" w:eastAsia="Times New Roman" w:hAnsi="Times New Roman"/>
          <w:b/>
          <w:bCs/>
          <w:sz w:val="28"/>
          <w:szCs w:val="28"/>
        </w:rPr>
        <w:t xml:space="preserve">4. Experimental Results and Model Performance</w:t>
      </w:r>
    </w:p>
    <w:p>
      <w:pPr>
        <w:pStyle w:val="Heading2"/>
        <w:keepNext/>
        <w:spacing w:after="100" w:before="200"/>
      </w:pPr>
      <w:r>
        <w:rPr>
          <w:rFonts w:ascii="Times New Roman" w:cs="Times New Roman" w:eastAsia="Times New Roman" w:hAnsi="Times New Roman"/>
          <w:b/>
          <w:bCs/>
          <w:sz w:val="24"/>
          <w:szCs w:val="24"/>
        </w:rPr>
        <w:t xml:space="preserve">4.1 Public Benchmark Performance (Kaggle Split, 15,797 Samples)</w:t>
      </w:r>
    </w:p>
    <w:p>
      <w:pPr>
        <w:spacing w:after="120" w:line="276"/>
        <w:jc w:val="both"/>
      </w:pPr>
      <w:r>
        <w:rPr>
          <w:rFonts w:ascii="Times New Roman" w:cs="Times New Roman" w:eastAsia="Times New Roman" w:hAnsi="Times New Roman"/>
          <w:sz w:val="22"/>
          <w:szCs w:val="22"/>
        </w:rPr>
        <w:t xml:space="preserve">We benchmarked two models: the Baseline Model (sublinear TF-IDF only) and the Combined Model (sublinear TF-IDF plus seven heuristic signal features). Results are shown in Table 1.</w:t>
      </w:r>
    </w:p>
    <w:p>
      <w:pPr>
        <w:keepNext/>
        <w:spacing w:after="80"/>
      </w:pPr>
      <w:r>
        <w:rPr>
          <w:rFonts w:ascii="Times New Roman" w:cs="Times New Roman" w:eastAsia="Times New Roman" w:hAnsi="Times New Roman"/>
          <w:b/>
          <w:bCs/>
          <w:sz w:val="20"/>
          <w:szCs w:val="20"/>
        </w:rPr>
        <w:t xml:space="preserve">Table 1: Public Benchmark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26"/>
        <w:gridCol w:w="1100"/>
        <w:gridCol w:w="1100"/>
        <w:gridCol w:w="1100"/>
        <w:gridCol w:w="1100"/>
        <w:gridCol w:w="1100"/>
        <w:gridCol w:w="1300"/>
      </w:tblGrid>
      <w:tr>
        <w:trPr>
          <w:cantSplit/>
          <w:tblHeader/>
        </w:trPr>
        <w:tc>
          <w:tcPr>
            <w:tcW w:type="dxa" w:w="2226"/>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Model</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Accuracy</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Precision</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Recall</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F1-Score</w:t>
            </w:r>
          </w:p>
        </w:tc>
        <w:tc>
          <w:tcPr>
            <w:tcW w:type="dxa" w:w="11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ROC-AUC</w:t>
            </w:r>
          </w:p>
        </w:tc>
        <w:tc>
          <w:tcPr>
            <w:tcW w:type="dxa" w:w="13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5-Fold CV F1</w:t>
            </w:r>
          </w:p>
        </w:tc>
      </w:tr>
      <w:tr>
        <w:trPr>
          <w:cantSplit/>
          <w:tblHeader w:val="off"/>
        </w:trPr>
        <w:tc>
          <w:tcPr>
            <w:tcW w:type="dxa" w:w="2226"/>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Baseline (TF-IDF only)</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98.72%</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98.58%</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99.00%</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98.79%</w:t>
            </w:r>
          </w:p>
        </w:tc>
        <w:tc>
          <w:tcPr>
            <w:tcW w:type="dxa" w:w="11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99.89%</w:t>
            </w:r>
          </w:p>
        </w:tc>
        <w:tc>
          <w:tcPr>
            <w:tcW w:type="dxa" w:w="13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98.72% (±0.14%)</w:t>
            </w:r>
          </w:p>
        </w:tc>
      </w:tr>
      <w:tr>
        <w:trPr>
          <w:cantSplit/>
          <w:tblHeader w:val="off"/>
        </w:trPr>
        <w:tc>
          <w:tcPr>
            <w:tcW w:type="dxa" w:w="2226"/>
            <w:tcBorders>
              <w:top w:val="none" w:color="FFFFFF" w:sz="0"/>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Combined (TF-IDF + signals)</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98.60%</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98.48%</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98.87%</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98.67%</w:t>
            </w:r>
          </w:p>
        </w:tc>
        <w:tc>
          <w:tcPr>
            <w:tcW w:type="dxa" w:w="11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99.87%</w:t>
            </w:r>
          </w:p>
        </w:tc>
        <w:tc>
          <w:tcPr>
            <w:tcW w:type="dxa" w:w="13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98.82% (±0.07%)</w:t>
            </w:r>
          </w:p>
        </w:tc>
      </w:tr>
    </w:tbl>
    <w:p>
      <w:pPr>
        <w:spacing w:after="120"/>
      </w:pPr>
    </w:p>
    <w:p>
      <w:pPr>
        <w:spacing w:after="120" w:line="276"/>
        <w:jc w:val="both"/>
      </w:pPr>
      <w:r>
        <w:rPr>
          <w:rFonts w:ascii="Times New Roman" w:cs="Times New Roman" w:eastAsia="Times New Roman" w:hAnsi="Times New Roman"/>
          <w:b/>
          <w:bCs/>
          <w:sz w:val="22"/>
          <w:szCs w:val="22"/>
        </w:rPr>
        <w:t xml:space="preserve">Key Insight. </w:t>
      </w:r>
      <w:r>
        <w:rPr>
          <w:rFonts w:ascii="Times New Roman" w:cs="Times New Roman" w:eastAsia="Times New Roman" w:hAnsi="Times New Roman"/>
          <w:sz w:val="22"/>
          <w:szCs w:val="22"/>
        </w:rPr>
        <w:t xml:space="preserve">While both models achieve approximately 98.7% test accuracy, the Combined Model delivers a higher mean cross-validation F1-score and halves cross-validation variance (98.82% ± 0.07% versus 98.72% ± 0.14%). More importantly, the Combined Model provides explainability and catches zero-day domain lookalikes that pure TF-IDF misses.</w:t>
      </w:r>
    </w:p>
    <w:p>
      <w:pPr>
        <w:pStyle w:val="Heading2"/>
        <w:keepNext/>
        <w:spacing w:after="100" w:before="200"/>
      </w:pPr>
      <w:r>
        <w:rPr>
          <w:rFonts w:ascii="Times New Roman" w:cs="Times New Roman" w:eastAsia="Times New Roman" w:hAnsi="Times New Roman"/>
          <w:b/>
          <w:bCs/>
          <w:sz w:val="24"/>
          <w:szCs w:val="24"/>
        </w:rPr>
        <w:t xml:space="preserve">4.2 Confusion Matrices: Public Test Split</w:t>
      </w:r>
    </w:p>
    <w:p>
      <w:pPr>
        <w:spacing w:after="120" w:line="276"/>
        <w:jc w:val="both"/>
      </w:pPr>
      <w:r>
        <w:rPr>
          <w:rFonts w:ascii="Times New Roman" w:cs="Times New Roman" w:eastAsia="Times New Roman" w:hAnsi="Times New Roman"/>
          <w:sz w:val="22"/>
          <w:szCs w:val="22"/>
        </w:rPr>
        <w:t xml:space="preserve">Both models exhibit strong discriminative ability with minimal false positives and false negatives on the public Kaggle test split (Figure 6). The left matrix shows the Baseline TF-IDF Model and the right matrix shows the Combined Dual-Engine Model.</w:t>
      </w:r>
    </w:p>
    <w:p>
      <w:pPr>
        <w:keepNext/>
        <w:spacing w:after="60" w:before="120"/>
        <w:jc w:val="center"/>
      </w:pPr>
      <w:r>
        <w:drawing>
          <wp:inline distT="0" distB="0" distL="0" distR="0">
            <wp:extent cx="4572000" cy="1866900"/>
            <wp:effectExtent t="0" r="0" b="0" l="0"/>
            <wp:docPr id="6" name="fig6.png" descr="Figure 6: Confusion Matrices on the Public Test Split (15,797 Samples): Baseline (left) and Combined (right)" title="Figure 6: Confusion Matrices on the Public Test Split (15,797 Samples): Baseline (left) and Combined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572000" cy="186690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6: Confusion Matrices on the Public Test Split (15,797 Samples): Baseline (left) and Combined (right)</w:t>
      </w:r>
    </w:p>
    <w:p>
      <w:pPr>
        <w:pStyle w:val="Heading2"/>
        <w:keepNext/>
        <w:spacing w:after="100" w:before="200"/>
      </w:pPr>
      <w:r>
        <w:rPr>
          <w:rFonts w:ascii="Times New Roman" w:cs="Times New Roman" w:eastAsia="Times New Roman" w:hAnsi="Times New Roman"/>
          <w:b/>
          <w:bCs/>
          <w:sz w:val="24"/>
          <w:szCs w:val="24"/>
        </w:rPr>
        <w:t xml:space="preserve">4.3 Scenario Evaluation: Held-Out VIT Test Set (120 Messages)</w:t>
      </w:r>
    </w:p>
    <w:p>
      <w:pPr>
        <w:spacing w:after="120" w:line="276"/>
        <w:jc w:val="both"/>
      </w:pPr>
      <w:r>
        <w:rPr>
          <w:rFonts w:ascii="Times New Roman" w:cs="Times New Roman" w:eastAsia="Times New Roman" w:hAnsi="Times New Roman"/>
          <w:sz w:val="22"/>
          <w:szCs w:val="22"/>
        </w:rPr>
        <w:t xml:space="preserve">To test real-world resilience against targeted university attacks, we evaluated the system against a dedicated held-out suite of 120 handcrafted messages (60 targeted phishing lures and 60 official university circulars, including hard negatives). Results are shown in Table 2 and Figure 7.</w:t>
      </w:r>
    </w:p>
    <w:p>
      <w:pPr>
        <w:keepNext/>
        <w:spacing w:after="80"/>
      </w:pPr>
      <w:r>
        <w:rPr>
          <w:rFonts w:ascii="Times New Roman" w:cs="Times New Roman" w:eastAsia="Times New Roman" w:hAnsi="Times New Roman"/>
          <w:b/>
          <w:bCs/>
          <w:sz w:val="20"/>
          <w:szCs w:val="20"/>
        </w:rPr>
        <w:t xml:space="preserve">Table 2: Held-Out VIT Scenario Test Set Performance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rPr>
          <w:cantSplit/>
          <w:tblHeader/>
        </w:trPr>
        <w:tc>
          <w:tcPr>
            <w:tcW w:type="dxa" w:w="4513"/>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Evaluation Metric</w:t>
            </w:r>
          </w:p>
        </w:tc>
        <w:tc>
          <w:tcPr>
            <w:tcW w:type="dxa" w:w="4513"/>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Score (120 Samples)</w:t>
            </w:r>
          </w:p>
        </w:tc>
      </w:tr>
      <w:tr>
        <w:trPr>
          <w:cantSplit/>
          <w:tblHeader w:val="off"/>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Accuracy</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75.83%</w:t>
            </w:r>
          </w:p>
        </w:tc>
      </w:tr>
      <w:tr>
        <w:trPr>
          <w:cantSplit/>
          <w:tblHeader w:val="off"/>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Precision</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77.19%</w:t>
            </w:r>
          </w:p>
        </w:tc>
      </w:tr>
      <w:tr>
        <w:trPr>
          <w:cantSplit/>
          <w:tblHeader w:val="off"/>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Recall</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73.33%</w:t>
            </w:r>
          </w:p>
        </w:tc>
      </w:tr>
      <w:tr>
        <w:trPr>
          <w:cantSplit/>
          <w:tblHeader w:val="off"/>
        </w:trPr>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F1-Score</w:t>
            </w:r>
          </w:p>
        </w:tc>
        <w:tc>
          <w:tcPr>
            <w:tcW w:type="dxa" w:w="4513"/>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75.21%</w:t>
            </w:r>
          </w:p>
        </w:tc>
      </w:tr>
      <w:tr>
        <w:trPr>
          <w:cantSplit/>
          <w:tblHeader w:val="off"/>
        </w:trPr>
        <w:tc>
          <w:tcPr>
            <w:tcW w:type="dxa" w:w="4513"/>
            <w:tcBorders>
              <w:top w:val="none" w:color="FFFFFF" w:sz="0"/>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ROC-AUC</w:t>
            </w:r>
          </w:p>
        </w:tc>
        <w:tc>
          <w:tcPr>
            <w:tcW w:type="dxa" w:w="4513"/>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83.28%</w:t>
            </w:r>
          </w:p>
        </w:tc>
      </w:tr>
    </w:tbl>
    <w:p>
      <w:pPr>
        <w:spacing w:after="120"/>
      </w:pPr>
    </w:p>
    <w:p>
      <w:pPr>
        <w:keepNext/>
        <w:spacing w:after="60" w:before="120"/>
        <w:jc w:val="center"/>
      </w:pPr>
      <w:r>
        <w:drawing>
          <wp:inline distT="0" distB="0" distL="0" distR="0">
            <wp:extent cx="3238500" cy="2647950"/>
            <wp:effectExtent t="0" r="0" b="0" l="0"/>
            <wp:docPr id="7" name="fig7.png" descr="Figure 7: Confusion Matrix on the Held-Out VIT Scenario Test Set" title="Figure 7: Confusion Matrix on the Held-Out VIT Scenario Test 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0" cy="2647950"/>
                    </a:xfrm>
                    <a:prstGeom prst="rect">
                      <a:avLst/>
                    </a:prstGeom>
                  </pic:spPr>
                </pic:pic>
              </a:graphicData>
            </a:graphic>
          </wp:inline>
        </w:drawing>
      </w:r>
    </w:p>
    <w:p>
      <w:pPr>
        <w:spacing w:after="200"/>
        <w:jc w:val="center"/>
      </w:pPr>
      <w:r>
        <w:rPr>
          <w:rFonts w:ascii="Times New Roman" w:cs="Times New Roman" w:eastAsia="Times New Roman" w:hAnsi="Times New Roman"/>
          <w:i/>
          <w:iCs/>
          <w:sz w:val="20"/>
          <w:szCs w:val="20"/>
        </w:rPr>
        <w:t xml:space="preserve">Figure 7: Confusion Matrix on the Held-Out VIT Scenario Test Set</w:t>
      </w:r>
    </w:p>
    <w:p>
      <w:pPr>
        <w:pStyle w:val="Heading2"/>
        <w:keepNext/>
        <w:spacing w:after="100" w:before="200"/>
      </w:pPr>
      <w:r>
        <w:rPr>
          <w:rFonts w:ascii="Times New Roman" w:cs="Times New Roman" w:eastAsia="Times New Roman" w:hAnsi="Times New Roman"/>
          <w:b/>
          <w:bCs/>
          <w:sz w:val="24"/>
          <w:szCs w:val="24"/>
        </w:rPr>
        <w:t xml:space="preserve">4.4 Domain Shift and Dataset Leakage Discussion</w:t>
      </w:r>
    </w:p>
    <w:p>
      <w:pPr>
        <w:pStyle w:val="ListParagraph"/>
        <w:numPr>
          <w:ilvl w:val="0"/>
          <w:numId w:val="4"/>
        </w:numPr>
        <w:spacing w:after="80" w:line="276"/>
      </w:pPr>
      <w:r>
        <w:rPr>
          <w:rFonts w:ascii="Times New Roman" w:cs="Times New Roman" w:eastAsia="Times New Roman" w:hAnsi="Times New Roman"/>
          <w:b/>
          <w:bCs/>
          <w:sz w:val="22"/>
          <w:szCs w:val="22"/>
        </w:rPr>
        <w:t xml:space="preserve">Vocabulary Inversion: </w:t>
      </w:r>
      <w:r>
        <w:rPr>
          <w:rFonts w:ascii="Times New Roman" w:cs="Times New Roman" w:eastAsia="Times New Roman" w:hAnsi="Times New Roman"/>
          <w:sz w:val="22"/>
          <w:szCs w:val="22"/>
        </w:rPr>
        <w:t xml:space="preserve">In public corpora, administrative words such as "arrears", "penalty", "disciplinary", and "suspension" appear almost exclusively in scam emails. At a university, official circulars from the Controller of Examinations (COE) regularly use these exact terms to enforce academic deadlines.</w:t>
      </w:r>
    </w:p>
    <w:p>
      <w:pPr>
        <w:pStyle w:val="ListParagraph"/>
        <w:numPr>
          <w:ilvl w:val="0"/>
          <w:numId w:val="4"/>
        </w:numPr>
        <w:spacing w:after="80" w:line="276"/>
      </w:pPr>
      <w:r>
        <w:rPr>
          <w:rFonts w:ascii="Times New Roman" w:cs="Times New Roman" w:eastAsia="Times New Roman" w:hAnsi="Times New Roman"/>
          <w:b/>
          <w:bCs/>
          <w:sz w:val="22"/>
          <w:szCs w:val="22"/>
        </w:rPr>
        <w:t xml:space="preserve">Value of Sender Authentication: </w:t>
      </w:r>
      <w:r>
        <w:rPr>
          <w:rFonts w:ascii="Times New Roman" w:cs="Times New Roman" w:eastAsia="Times New Roman" w:hAnsi="Times New Roman"/>
          <w:sz w:val="22"/>
          <w:szCs w:val="22"/>
        </w:rPr>
        <w:t xml:space="preserve">Because the statistical engine saw these urgent terms as suspicious, pure TF-IDF produced false positives on legitimate notices. However, the heuristic engine verified sender domains (coe@vit.ac.in), neutralizing false alarms.</w:t>
      </w:r>
    </w:p>
    <w:p>
      <w:pPr>
        <w:pStyle w:val="ListParagraph"/>
        <w:numPr>
          <w:ilvl w:val="0"/>
          <w:numId w:val="4"/>
        </w:numPr>
        <w:spacing w:after="80" w:line="276"/>
      </w:pPr>
      <w:r>
        <w:rPr>
          <w:rFonts w:ascii="Times New Roman" w:cs="Times New Roman" w:eastAsia="Times New Roman" w:hAnsi="Times New Roman"/>
          <w:b/>
          <w:bCs/>
          <w:sz w:val="22"/>
          <w:szCs w:val="22"/>
        </w:rPr>
        <w:t xml:space="preserve">Zero-Day Lookalike Detection: </w:t>
      </w:r>
      <w:r>
        <w:rPr>
          <w:rFonts w:ascii="Times New Roman" w:cs="Times New Roman" w:eastAsia="Times New Roman" w:hAnsi="Times New Roman"/>
          <w:sz w:val="22"/>
          <w:szCs w:val="22"/>
        </w:rPr>
        <w:t xml:space="preserve">Attackers used newly registered domains such as vit-account-verify.example. Since these strings had never appeared in training data, pure NLP models assigned them neutral weights. The lookalike domain rule flagged the spoofed "vit" substring, elevating the risk score to High (&gt; 0.85).</w:t>
      </w:r>
    </w:p>
    <w:p>
      <w:pPr>
        <w:pStyle w:val="Heading1"/>
        <w:keepNext/>
        <w:spacing w:after="120" w:before="300"/>
      </w:pPr>
      <w:r>
        <w:rPr>
          <w:rFonts w:ascii="Times New Roman" w:cs="Times New Roman" w:eastAsia="Times New Roman" w:hAnsi="Times New Roman"/>
          <w:b/>
          <w:bCs/>
          <w:sz w:val="28"/>
          <w:szCs w:val="28"/>
        </w:rPr>
        <w:t xml:space="preserve">5. Explainable AI and Awareness Interface</w:t>
      </w:r>
    </w:p>
    <w:p>
      <w:pPr>
        <w:spacing w:after="120" w:line="276"/>
        <w:jc w:val="both"/>
      </w:pPr>
      <w:r>
        <w:rPr>
          <w:rFonts w:ascii="Times New Roman" w:cs="Times New Roman" w:eastAsia="Times New Roman" w:hAnsi="Times New Roman"/>
          <w:sz w:val="22"/>
          <w:szCs w:val="22"/>
        </w:rPr>
        <w:t xml:space="preserve">The prototype provides a Streamlit web application (app.py) designed for students and cybersecurity incident responders. It accepts raw message bodies and headers, extracts heuristic vectors, performs URL defanging, and displays an explainable risk categorization. Table 3 reproduces the output of the interface for a sample phishing lure.</w:t>
      </w:r>
    </w:p>
    <w:p>
      <w:pPr>
        <w:keepNext/>
        <w:spacing w:after="80"/>
      </w:pPr>
      <w:r>
        <w:rPr>
          <w:rFonts w:ascii="Times New Roman" w:cs="Times New Roman" w:eastAsia="Times New Roman" w:hAnsi="Times New Roman"/>
          <w:b/>
          <w:bCs/>
          <w:sz w:val="20"/>
          <w:szCs w:val="20"/>
        </w:rPr>
        <w:t xml:space="preserve">Table 3: Sample Detection Output for a Phishing Lure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cantSplit/>
          <w:tblHeader/>
        </w:trPr>
        <w:tc>
          <w:tcPr>
            <w:tcW w:type="dxa" w:w="24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Field</w:t>
            </w:r>
          </w:p>
        </w:tc>
        <w:tc>
          <w:tcPr>
            <w:tcW w:type="dxa" w:w="6626"/>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Value</w:t>
            </w:r>
          </w:p>
        </w:tc>
      </w:tr>
      <w:tr>
        <w:trPr>
          <w:cantSplit/>
          <w:tblHeader w:val="off"/>
        </w:trP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Sender</w:t>
            </w:r>
          </w:p>
        </w:tc>
        <w:tc>
          <w:tcPr>
            <w:tcW w:type="dxa" w:w="66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VIT IT Admin &lt;admin@vtop-account-verify.example&gt;</w:t>
            </w:r>
          </w:p>
        </w:tc>
      </w:tr>
      <w:tr>
        <w:trPr>
          <w:cantSplit/>
          <w:tblHeader w:val="off"/>
        </w:trP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Subject</w:t>
            </w:r>
          </w:p>
        </w:tc>
        <w:tc>
          <w:tcPr>
            <w:tcW w:type="dxa" w:w="66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URGENT: Your VTOP Account Will Be Suspended Within 24 Hours</w:t>
            </w:r>
          </w:p>
        </w:tc>
      </w:tr>
      <w:tr>
        <w:trPr>
          <w:cantSplit/>
          <w:tblHeader w:val="off"/>
        </w:trP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Body</w:t>
            </w:r>
          </w:p>
        </w:tc>
        <w:tc>
          <w:tcPr>
            <w:tcW w:type="dxa" w:w="66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Dear Student, please verify your credentials immediately at http://vtop-login-secure.example/auth to restore access.</w:t>
            </w:r>
          </w:p>
        </w:tc>
      </w:tr>
      <w:tr>
        <w:trPr>
          <w:cantSplit/>
          <w:tblHeader w:val="off"/>
        </w:trP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Risk Tier and Probability</w:t>
            </w:r>
          </w:p>
        </w:tc>
        <w:tc>
          <w:tcPr>
            <w:tcW w:type="dxa" w:w="66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 Risk, 94.6% phishing probability</w:t>
            </w:r>
          </w:p>
        </w:tc>
      </w:tr>
      <w:tr>
        <w:trPr>
          <w:cantSplit/>
          <w:tblHeader w:val="off"/>
        </w:trPr>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Action Required</w:t>
            </w:r>
          </w:p>
        </w:tc>
        <w:tc>
          <w:tcPr>
            <w:tcW w:type="dxa" w:w="66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Do not click links. Report the email immediately.</w:t>
            </w:r>
          </w:p>
        </w:tc>
      </w:tr>
      <w:tr>
        <w:trPr>
          <w:cantSplit/>
          <w:tblHeader w:val="off"/>
        </w:trPr>
        <w:tc>
          <w:tcPr>
            <w:tcW w:type="dxa" w:w="24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Neutralized URL</w:t>
            </w:r>
          </w:p>
        </w:tc>
        <w:tc>
          <w:tcPr>
            <w:tcW w:type="dxa" w:w="6626"/>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hxxp://vtop-login-secure[.]example/auth</w:t>
            </w:r>
          </w:p>
        </w:tc>
      </w:tr>
    </w:tbl>
    <w:p>
      <w:pPr>
        <w:spacing w:after="120"/>
      </w:pPr>
    </w:p>
    <w:p>
      <w:pPr>
        <w:keepNext/>
        <w:spacing w:after="80"/>
      </w:pPr>
      <w:r>
        <w:rPr>
          <w:rFonts w:ascii="Times New Roman" w:cs="Times New Roman" w:eastAsia="Times New Roman" w:hAnsi="Times New Roman"/>
          <w:b/>
          <w:bCs/>
          <w:sz w:val="20"/>
          <w:szCs w:val="20"/>
        </w:rPr>
        <w:t xml:space="preserve">Table 4: Explainable Decision Attribution for the Sample Message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2400"/>
        <w:gridCol w:w="4326"/>
        <w:gridCol w:w="1600"/>
      </w:tblGrid>
      <w:tr>
        <w:trPr>
          <w:cantSplit/>
          <w:tblHeader/>
        </w:trPr>
        <w:tc>
          <w:tcPr>
            <w:tcW w:type="dxa" w:w="7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No.</w:t>
            </w:r>
          </w:p>
        </w:tc>
        <w:tc>
          <w:tcPr>
            <w:tcW w:type="dxa" w:w="24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Rule</w:t>
            </w:r>
          </w:p>
        </w:tc>
        <w:tc>
          <w:tcPr>
            <w:tcW w:type="dxa" w:w="4326"/>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Explanation</w:t>
            </w:r>
          </w:p>
        </w:tc>
        <w:tc>
          <w:tcPr>
            <w:tcW w:type="dxa" w:w="16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Impact</w:t>
            </w:r>
          </w:p>
        </w:tc>
      </w:tr>
      <w:tr>
        <w:trPr>
          <w:cantSplit/>
          <w:tblHeader w:val="off"/>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1</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Suspicious Link</w:t>
            </w:r>
          </w:p>
        </w:tc>
        <w:tc>
          <w:tcPr>
            <w:tcW w:type="dxa" w:w="4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Lookalike domain ("vtop-login-secure.example")</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w:t>
            </w:r>
          </w:p>
        </w:tc>
      </w:tr>
      <w:tr>
        <w:trPr>
          <w:cantSplit/>
          <w:tblHeader w:val="off"/>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2</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Credential Request</w:t>
            </w:r>
          </w:p>
        </w:tc>
        <w:tc>
          <w:tcPr>
            <w:tcW w:type="dxa" w:w="4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Explicit request for authentication or credentials</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High</w:t>
            </w:r>
          </w:p>
        </w:tc>
      </w:tr>
      <w:tr>
        <w:trPr>
          <w:cantSplit/>
          <w:tblHeader w:val="off"/>
        </w:trPr>
        <w:tc>
          <w:tcPr>
            <w:tcW w:type="dxa" w:w="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3</w:t>
            </w:r>
          </w:p>
        </w:tc>
        <w:tc>
          <w:tcPr>
            <w:tcW w:type="dxa" w:w="24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Urgency</w:t>
            </w:r>
          </w:p>
        </w:tc>
        <w:tc>
          <w:tcPr>
            <w:tcW w:type="dxa" w:w="4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Urgency pressure detected ("within 24 hours")</w:t>
            </w:r>
          </w:p>
        </w:tc>
        <w:tc>
          <w:tcPr>
            <w:tcW w:type="dxa" w:w="16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Medium</w:t>
            </w:r>
          </w:p>
        </w:tc>
      </w:tr>
      <w:tr>
        <w:trPr>
          <w:cantSplit/>
          <w:tblHeader w:val="off"/>
        </w:trPr>
        <w:tc>
          <w:tcPr>
            <w:tcW w:type="dxa" w:w="7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4</w:t>
            </w:r>
          </w:p>
        </w:tc>
        <w:tc>
          <w:tcPr>
            <w:tcW w:type="dxa" w:w="24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Sender Mismatch</w:t>
            </w:r>
          </w:p>
        </w:tc>
        <w:tc>
          <w:tcPr>
            <w:tcW w:type="dxa" w:w="4326"/>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University title sent from unverified domain</w:t>
            </w:r>
          </w:p>
        </w:tc>
        <w:tc>
          <w:tcPr>
            <w:tcW w:type="dxa" w:w="16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Medium</w:t>
            </w:r>
          </w:p>
        </w:tc>
      </w:tr>
    </w:tbl>
    <w:p>
      <w:pPr>
        <w:spacing w:after="120"/>
      </w:pPr>
    </w:p>
    <w:p>
      <w:pPr>
        <w:pStyle w:val="Heading2"/>
        <w:keepNext/>
        <w:spacing w:after="100" w:before="200"/>
      </w:pPr>
      <w:r>
        <w:rPr>
          <w:rFonts w:ascii="Times New Roman" w:cs="Times New Roman" w:eastAsia="Times New Roman" w:hAnsi="Times New Roman"/>
          <w:b/>
          <w:bCs/>
          <w:sz w:val="24"/>
          <w:szCs w:val="24"/>
        </w:rPr>
        <w:t xml:space="preserve">5.1 Explainability Mechanics</w:t>
      </w:r>
    </w:p>
    <w:p>
      <w:pPr>
        <w:pStyle w:val="ListParagraph"/>
        <w:numPr>
          <w:ilvl w:val="0"/>
          <w:numId w:val="3"/>
        </w:numPr>
        <w:spacing w:after="80" w:line="276"/>
      </w:pPr>
      <w:r>
        <w:rPr>
          <w:rFonts w:ascii="Times New Roman" w:cs="Times New Roman" w:eastAsia="Times New Roman" w:hAnsi="Times New Roman"/>
          <w:b/>
          <w:bCs/>
          <w:sz w:val="22"/>
          <w:szCs w:val="22"/>
        </w:rPr>
        <w:t xml:space="preserve">Mathematical Attribution: </w:t>
      </w:r>
      <w:r>
        <w:rPr>
          <w:rFonts w:ascii="Times New Roman" w:cs="Times New Roman" w:eastAsia="Times New Roman" w:hAnsi="Times New Roman"/>
          <w:sz w:val="22"/>
          <w:szCs w:val="22"/>
        </w:rPr>
        <w:t xml:space="preserve">Calculates local token contributions, Impact(t) = w_t × TF-IDF(t), and displays the top tokens pushing toward phishing versus tokens indicating legitimacy.</w:t>
      </w:r>
    </w:p>
    <w:p>
      <w:pPr>
        <w:pStyle w:val="ListParagraph"/>
        <w:numPr>
          <w:ilvl w:val="0"/>
          <w:numId w:val="3"/>
        </w:numPr>
        <w:spacing w:after="80" w:line="276"/>
      </w:pPr>
      <w:r>
        <w:rPr>
          <w:rFonts w:ascii="Times New Roman" w:cs="Times New Roman" w:eastAsia="Times New Roman" w:hAnsi="Times New Roman"/>
          <w:b/>
          <w:bCs/>
          <w:sz w:val="22"/>
          <w:szCs w:val="22"/>
        </w:rPr>
        <w:t xml:space="preserve">Rule Provenance: </w:t>
      </w:r>
      <w:r>
        <w:rPr>
          <w:rFonts w:ascii="Times New Roman" w:cs="Times New Roman" w:eastAsia="Times New Roman" w:hAnsi="Times New Roman"/>
          <w:sz w:val="22"/>
          <w:szCs w:val="22"/>
        </w:rPr>
        <w:t xml:space="preserve">Every triggered heuristic explains which pattern matched and why it poses a security risk.</w:t>
      </w:r>
    </w:p>
    <w:p>
      <w:pPr>
        <w:pStyle w:val="ListParagraph"/>
        <w:numPr>
          <w:ilvl w:val="0"/>
          <w:numId w:val="3"/>
        </w:numPr>
        <w:spacing w:after="80" w:line="276"/>
      </w:pPr>
      <w:r>
        <w:rPr>
          <w:rFonts w:ascii="Times New Roman" w:cs="Times New Roman" w:eastAsia="Times New Roman" w:hAnsi="Times New Roman"/>
          <w:b/>
          <w:bCs/>
          <w:sz w:val="22"/>
          <w:szCs w:val="22"/>
        </w:rPr>
        <w:t xml:space="preserve">Passive URL Defanging: </w:t>
      </w:r>
      <w:r>
        <w:rPr>
          <w:rFonts w:ascii="Times New Roman" w:cs="Times New Roman" w:eastAsia="Times New Roman" w:hAnsi="Times New Roman"/>
          <w:sz w:val="22"/>
          <w:szCs w:val="22"/>
        </w:rPr>
        <w:t xml:space="preserve">Every detected web link is neutralized into hxxp:// with bracketed hostnames, allowing safe inspection of target domains without risk of accidental clicks.</w:t>
      </w:r>
    </w:p>
    <w:p>
      <w:pPr>
        <w:pStyle w:val="Heading1"/>
        <w:keepNext/>
        <w:spacing w:after="120" w:before="300"/>
      </w:pPr>
      <w:r>
        <w:rPr>
          <w:rFonts w:ascii="Times New Roman" w:cs="Times New Roman" w:eastAsia="Times New Roman" w:hAnsi="Times New Roman"/>
          <w:b/>
          <w:bCs/>
          <w:sz w:val="28"/>
          <w:szCs w:val="28"/>
        </w:rPr>
        <w:t xml:space="preserve">6. Recommendations and Incident Response Protocols</w:t>
      </w:r>
    </w:p>
    <w:p>
      <w:pPr>
        <w:pStyle w:val="Heading2"/>
        <w:keepNext/>
        <w:spacing w:after="100" w:before="200"/>
      </w:pPr>
      <w:r>
        <w:rPr>
          <w:rFonts w:ascii="Times New Roman" w:cs="Times New Roman" w:eastAsia="Times New Roman" w:hAnsi="Times New Roman"/>
          <w:b/>
          <w:bCs/>
          <w:sz w:val="24"/>
          <w:szCs w:val="24"/>
        </w:rPr>
        <w:t xml:space="preserve">6.1 Student Security Directives</w:t>
      </w:r>
    </w:p>
    <w:p>
      <w:pPr>
        <w:pStyle w:val="ListParagraph"/>
        <w:numPr>
          <w:ilvl w:val="0"/>
          <w:numId w:val="5"/>
        </w:numPr>
        <w:spacing w:after="80" w:line="276"/>
      </w:pPr>
      <w:r>
        <w:rPr>
          <w:rFonts w:ascii="Times New Roman" w:cs="Times New Roman" w:eastAsia="Times New Roman" w:hAnsi="Times New Roman"/>
          <w:b/>
          <w:bCs/>
          <w:sz w:val="22"/>
          <w:szCs w:val="22"/>
        </w:rPr>
        <w:t xml:space="preserve">Zero Link Trust: </w:t>
      </w:r>
      <w:r>
        <w:rPr>
          <w:rFonts w:ascii="Times New Roman" w:cs="Times New Roman" w:eastAsia="Times New Roman" w:hAnsi="Times New Roman"/>
          <w:sz w:val="22"/>
          <w:szCs w:val="22"/>
        </w:rPr>
        <w:t xml:space="preserve">Never access VTOP or academic portals through links in emails or SMS messages. Always type https://vtop.vit.ac.in directly into the browser address bar.</w:t>
      </w:r>
    </w:p>
    <w:p>
      <w:pPr>
        <w:pStyle w:val="ListParagraph"/>
        <w:numPr>
          <w:ilvl w:val="0"/>
          <w:numId w:val="5"/>
        </w:numPr>
        <w:spacing w:after="80" w:line="276"/>
      </w:pPr>
      <w:r>
        <w:rPr>
          <w:rFonts w:ascii="Times New Roman" w:cs="Times New Roman" w:eastAsia="Times New Roman" w:hAnsi="Times New Roman"/>
          <w:b/>
          <w:bCs/>
          <w:sz w:val="22"/>
          <w:szCs w:val="22"/>
        </w:rPr>
        <w:t xml:space="preserve">Sender Domain Verification: </w:t>
      </w:r>
      <w:r>
        <w:rPr>
          <w:rFonts w:ascii="Times New Roman" w:cs="Times New Roman" w:eastAsia="Times New Roman" w:hAnsi="Times New Roman"/>
          <w:sz w:val="22"/>
          <w:szCs w:val="22"/>
        </w:rPr>
        <w:t xml:space="preserve">Always check the full sender email address, not just the display name. Official VIT notifications originate only from @vit.ac.in or @vitstudent.ac.in.</w:t>
      </w:r>
    </w:p>
    <w:p>
      <w:pPr>
        <w:pStyle w:val="ListParagraph"/>
        <w:numPr>
          <w:ilvl w:val="0"/>
          <w:numId w:val="5"/>
        </w:numPr>
        <w:spacing w:after="80" w:line="276"/>
      </w:pPr>
      <w:r>
        <w:rPr>
          <w:rFonts w:ascii="Times New Roman" w:cs="Times New Roman" w:eastAsia="Times New Roman" w:hAnsi="Times New Roman"/>
          <w:b/>
          <w:bCs/>
          <w:sz w:val="22"/>
          <w:szCs w:val="22"/>
        </w:rPr>
        <w:t xml:space="preserve">Never Share Credentials: </w:t>
      </w:r>
      <w:r>
        <w:rPr>
          <w:rFonts w:ascii="Times New Roman" w:cs="Times New Roman" w:eastAsia="Times New Roman" w:hAnsi="Times New Roman"/>
          <w:sz w:val="22"/>
          <w:szCs w:val="22"/>
        </w:rPr>
        <w:t xml:space="preserve">VIT administration, IT services, and faculty will never ask for your VTOP password, OTP, or banking PIN.</w:t>
      </w:r>
    </w:p>
    <w:p>
      <w:pPr>
        <w:pStyle w:val="Heading2"/>
        <w:keepNext/>
        <w:spacing w:after="100" w:before="200"/>
      </w:pPr>
      <w:r>
        <w:rPr>
          <w:rFonts w:ascii="Times New Roman" w:cs="Times New Roman" w:eastAsia="Times New Roman" w:hAnsi="Times New Roman"/>
          <w:b/>
          <w:bCs/>
          <w:sz w:val="24"/>
          <w:szCs w:val="24"/>
        </w:rPr>
        <w:t xml:space="preserve">6.2 Official Incident Contacts</w:t>
      </w:r>
    </w:p>
    <w:p>
      <w:pPr>
        <w:pStyle w:val="ListParagraph"/>
        <w:numPr>
          <w:ilvl w:val="0"/>
          <w:numId w:val="3"/>
        </w:numPr>
        <w:spacing w:after="80" w:line="276"/>
      </w:pPr>
      <w:r>
        <w:rPr>
          <w:rFonts w:ascii="Times New Roman" w:cs="Times New Roman" w:eastAsia="Times New Roman" w:hAnsi="Times New Roman"/>
          <w:b/>
          <w:bCs/>
          <w:sz w:val="22"/>
          <w:szCs w:val="22"/>
        </w:rPr>
        <w:t xml:space="preserve">VIT IT Helpdesk: </w:t>
      </w:r>
      <w:r>
        <w:rPr>
          <w:rFonts w:ascii="Times New Roman" w:cs="Times New Roman" w:eastAsia="Times New Roman" w:hAnsi="Times New Roman"/>
          <w:sz w:val="22"/>
          <w:szCs w:val="22"/>
        </w:rPr>
        <w:t xml:space="preserve">helpdesk@vit.ac.in</w:t>
      </w:r>
    </w:p>
    <w:p>
      <w:pPr>
        <w:pStyle w:val="ListParagraph"/>
        <w:numPr>
          <w:ilvl w:val="0"/>
          <w:numId w:val="3"/>
        </w:numPr>
        <w:spacing w:after="80" w:line="276"/>
      </w:pPr>
      <w:r>
        <w:rPr>
          <w:rFonts w:ascii="Times New Roman" w:cs="Times New Roman" w:eastAsia="Times New Roman" w:hAnsi="Times New Roman"/>
          <w:b/>
          <w:bCs/>
          <w:sz w:val="22"/>
          <w:szCs w:val="22"/>
        </w:rPr>
        <w:t xml:space="preserve">National Cyber Crime Helpline (India): </w:t>
      </w:r>
      <w:r>
        <w:rPr>
          <w:rFonts w:ascii="Times New Roman" w:cs="Times New Roman" w:eastAsia="Times New Roman" w:hAnsi="Times New Roman"/>
          <w:sz w:val="22"/>
          <w:szCs w:val="22"/>
        </w:rPr>
        <w:t xml:space="preserve">Dial 1930</w:t>
      </w:r>
    </w:p>
    <w:p>
      <w:pPr>
        <w:pStyle w:val="ListParagraph"/>
        <w:numPr>
          <w:ilvl w:val="0"/>
          <w:numId w:val="3"/>
        </w:numPr>
        <w:spacing w:after="80" w:line="276"/>
      </w:pPr>
      <w:r>
        <w:rPr>
          <w:rFonts w:ascii="Times New Roman" w:cs="Times New Roman" w:eastAsia="Times New Roman" w:hAnsi="Times New Roman"/>
          <w:b/>
          <w:bCs/>
          <w:sz w:val="22"/>
          <w:szCs w:val="22"/>
        </w:rPr>
        <w:t xml:space="preserve">National Cyber Crime Reporting Portal: </w:t>
      </w:r>
      <w:r>
        <w:rPr>
          <w:rFonts w:ascii="Times New Roman" w:cs="Times New Roman" w:eastAsia="Times New Roman" w:hAnsi="Times New Roman"/>
          <w:sz w:val="22"/>
          <w:szCs w:val="22"/>
        </w:rPr>
        <w:t xml:space="preserve">cybercrime.gov.in</w:t>
      </w:r>
    </w:p>
    <w:p>
      <w:pPr>
        <w:pStyle w:val="Heading1"/>
        <w:keepNext/>
        <w:spacing w:after="120" w:before="300"/>
      </w:pPr>
      <w:r>
        <w:rPr>
          <w:rFonts w:ascii="Times New Roman" w:cs="Times New Roman" w:eastAsia="Times New Roman" w:hAnsi="Times New Roman"/>
          <w:b/>
          <w:bCs/>
          <w:sz w:val="28"/>
          <w:szCs w:val="28"/>
        </w:rPr>
        <w:t xml:space="preserve">7. Comprehensive Metric Summary</w:t>
      </w:r>
    </w:p>
    <w:p>
      <w:pPr>
        <w:keepNext/>
        <w:spacing w:after="80"/>
      </w:pPr>
      <w:r>
        <w:rPr>
          <w:rFonts w:ascii="Times New Roman" w:cs="Times New Roman" w:eastAsia="Times New Roman" w:hAnsi="Times New Roman"/>
          <w:b/>
          <w:bCs/>
          <w:sz w:val="20"/>
          <w:szCs w:val="20"/>
        </w:rPr>
        <w:t xml:space="preserve">Table 5: Metric Summary Across Evaluations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26"/>
        <w:gridCol w:w="2000"/>
        <w:gridCol w:w="2000"/>
        <w:gridCol w:w="2700"/>
      </w:tblGrid>
      <w:tr>
        <w:trPr>
          <w:cantSplit/>
          <w:tblHeader/>
        </w:trPr>
        <w:tc>
          <w:tcPr>
            <w:tcW w:type="dxa" w:w="2326"/>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bCs/>
                <w:sz w:val="20"/>
                <w:szCs w:val="20"/>
              </w:rPr>
              <w:t xml:space="preserve">Metric</w:t>
            </w:r>
          </w:p>
        </w:tc>
        <w:tc>
          <w:tcPr>
            <w:tcW w:type="dxa" w:w="20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Public Benchmark (Baseline)</w:t>
            </w:r>
          </w:p>
        </w:tc>
        <w:tc>
          <w:tcPr>
            <w:tcW w:type="dxa" w:w="20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Public Benchmark (Combined)</w:t>
            </w:r>
          </w:p>
        </w:tc>
        <w:tc>
          <w:tcPr>
            <w:tcW w:type="dxa" w:w="2700"/>
            <w:tcBorders>
              <w:top w:val="single" w:color="000000" w:sz="4"/>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bCs/>
                <w:sz w:val="20"/>
                <w:szCs w:val="20"/>
              </w:rPr>
              <w:t xml:space="preserve">VIT Scenario Test (Held-Out)</w:t>
            </w:r>
          </w:p>
        </w:tc>
      </w:tr>
      <w:tr>
        <w:trPr>
          <w:cantSplit/>
          <w:tblHeader w:val="off"/>
        </w:trPr>
        <w:tc>
          <w:tcPr>
            <w:tcW w:type="dxa" w:w="2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Accuracy</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98.72%</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98.60%</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75.83%</w:t>
            </w:r>
          </w:p>
        </w:tc>
      </w:tr>
      <w:tr>
        <w:trPr>
          <w:cantSplit/>
          <w:tblHeader w:val="off"/>
        </w:trPr>
        <w:tc>
          <w:tcPr>
            <w:tcW w:type="dxa" w:w="2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Precision</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98.58%</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98.48%</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77.19%</w:t>
            </w:r>
          </w:p>
        </w:tc>
      </w:tr>
      <w:tr>
        <w:trPr>
          <w:cantSplit/>
          <w:tblHeader w:val="off"/>
        </w:trPr>
        <w:tc>
          <w:tcPr>
            <w:tcW w:type="dxa" w:w="2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Recall</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99.00%</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98.87%</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73.33%</w:t>
            </w:r>
          </w:p>
        </w:tc>
      </w:tr>
      <w:tr>
        <w:trPr>
          <w:cantSplit/>
          <w:tblHeader w:val="off"/>
        </w:trPr>
        <w:tc>
          <w:tcPr>
            <w:tcW w:type="dxa" w:w="2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F1-Score</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98.67%</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75.21%</w:t>
            </w:r>
          </w:p>
        </w:tc>
      </w:tr>
      <w:tr>
        <w:trPr>
          <w:cantSplit/>
          <w:tblHeader w:val="off"/>
        </w:trPr>
        <w:tc>
          <w:tcPr>
            <w:tcW w:type="dxa" w:w="2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ROC-AUC</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99.89%</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99.87%</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83.28%</w:t>
            </w:r>
          </w:p>
        </w:tc>
      </w:tr>
      <w:tr>
        <w:trPr>
          <w:cantSplit/>
          <w:tblHeader w:val="off"/>
        </w:trPr>
        <w:tc>
          <w:tcPr>
            <w:tcW w:type="dxa" w:w="2326"/>
            <w:tcBorders>
              <w:top w:val="none" w:color="FFFFFF" w:sz="0"/>
              <w:left w:val="none" w:color="FFFFFF" w:sz="0"/>
              <w:bottom w:val="none" w:color="FFFFFF" w:sz="0"/>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5-Fold CV F1</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98.72% (±0.14%)</w:t>
            </w:r>
          </w:p>
        </w:tc>
        <w:tc>
          <w:tcPr>
            <w:tcW w:type="dxa" w:w="20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98.82% (±0.07%)</w:t>
            </w:r>
          </w:p>
        </w:tc>
        <w:tc>
          <w:tcPr>
            <w:tcW w:type="dxa" w:w="2700"/>
            <w:tcBorders>
              <w:top w:val="none" w:color="FFFFFF" w:sz="0"/>
              <w:left w:val="none" w:color="FFFFFF" w:sz="0"/>
              <w:bottom w:val="none" w:color="FFFFFF" w:sz="0"/>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Not applicable (held-out test)</w:t>
            </w:r>
          </w:p>
        </w:tc>
      </w:tr>
      <w:tr>
        <w:trPr>
          <w:cantSplit/>
          <w:tblHeader w:val="off"/>
        </w:trPr>
        <w:tc>
          <w:tcPr>
            <w:tcW w:type="dxa" w:w="2326"/>
            <w:tcBorders>
              <w:top w:val="none" w:color="FFFFFF" w:sz="0"/>
              <w:left w:val="none" w:color="FFFFFF" w:sz="0"/>
              <w:bottom w:val="single" w:color="000000" w:sz="4"/>
              <w:right w:val="none" w:color="FFFFFF" w:sz="0"/>
            </w:tcBorders>
            <w:tcMar>
              <w:top w:type="dxa" w:w="60"/>
              <w:left w:type="dxa" w:w="100"/>
              <w:bottom w:type="dxa" w:w="60"/>
              <w:right w:type="dxa" w:w="100"/>
            </w:tcMar>
          </w:tcPr>
          <w:p>
            <w:pPr>
              <w:jc w:val="left"/>
            </w:pPr>
            <w:r>
              <w:rPr>
                <w:rFonts w:ascii="Times New Roman" w:cs="Times New Roman" w:eastAsia="Times New Roman" w:hAnsi="Times New Roman"/>
                <w:b w:val="false"/>
                <w:bCs w:val="false"/>
                <w:sz w:val="20"/>
                <w:szCs w:val="20"/>
              </w:rPr>
              <w:t xml:space="preserve">Evaluated Sample Count</w:t>
            </w:r>
          </w:p>
        </w:tc>
        <w:tc>
          <w:tcPr>
            <w:tcW w:type="dxa" w:w="20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15,797 emails</w:t>
            </w:r>
          </w:p>
        </w:tc>
        <w:tc>
          <w:tcPr>
            <w:tcW w:type="dxa" w:w="20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15,797 emails</w:t>
            </w:r>
          </w:p>
        </w:tc>
        <w:tc>
          <w:tcPr>
            <w:tcW w:type="dxa" w:w="2700"/>
            <w:tcBorders>
              <w:top w:val="none" w:color="FFFFFF" w:sz="0"/>
              <w:left w:val="none" w:color="FFFFFF" w:sz="0"/>
              <w:bottom w:val="single" w:color="000000" w:sz="4"/>
              <w:right w:val="none" w:color="FFFFFF" w:sz="0"/>
            </w:tcBorders>
            <w:tcMar>
              <w:top w:type="dxa" w:w="60"/>
              <w:left w:type="dxa" w:w="100"/>
              <w:bottom w:type="dxa" w:w="60"/>
              <w:right w:type="dxa" w:w="100"/>
            </w:tcMar>
          </w:tcPr>
          <w:p>
            <w:pPr>
              <w:jc w:val="center"/>
            </w:pPr>
            <w:r>
              <w:rPr>
                <w:rFonts w:ascii="Times New Roman" w:cs="Times New Roman" w:eastAsia="Times New Roman" w:hAnsi="Times New Roman"/>
                <w:b w:val="false"/>
                <w:bCs w:val="false"/>
                <w:sz w:val="20"/>
                <w:szCs w:val="20"/>
              </w:rPr>
              <w:t xml:space="preserve">120 messages</w:t>
            </w:r>
          </w:p>
        </w:tc>
      </w:tr>
    </w:tbl>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720" w:hanging="360"/>
      </w:pPr>
    </w:lvl>
  </w:abstractNum>
  <w:abstractNum w:abstractNumId="3" w15:restartNumberingAfterBreak="0">
    <w:multiLevelType w:val="hybridMultilevel"/>
    <w:lvl w:ilvl="0" w:tentative="1">
      <w:start w:val="1"/>
      <w:numFmt w:val="decimal"/>
      <w:lvlText w:val="%1."/>
      <w:lvlJc w:val="left"/>
      <w:pPr>
        <w:ind w:left="720" w:hanging="360"/>
      </w:pPr>
    </w:lvl>
  </w:abstractNum>
  <w:abstractNum w:abstractNumId="4" w15:restartNumberingAfterBreak="0">
    <w:multiLevelType w:val="hybridMultilevel"/>
    <w:lvl w:ilvl="0" w:tentative="1">
      <w:start w:val="1"/>
      <w:numFmt w:val="decimal"/>
      <w:lvlText w:val="%1."/>
      <w:lvlJc w:val="left"/>
      <w:pPr>
        <w:ind w:left="720" w:hanging="360"/>
      </w:pPr>
    </w:lvl>
  </w:abstractNum>
  <w:abstractNum w:abstractNumId="5" w15:restartNumberingAfterBreak="0">
    <w:multiLevelType w:val="hybridMultilevel"/>
    <w:lvl w:ilvl="0" w: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Times New Roman" w:cs="Times New Roman" w:eastAsia="Times New Roman" w:hAnsi="Times New Roman"/>
      <w:b/>
      <w:bCs/>
      <w:color w:val="000000"/>
      <w:sz w:val="28"/>
      <w:szCs w:val="28"/>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image" Target="media/ed69767252adb827da738e9e5da1389ce5a85136.png"/><Relationship Id="rId9" Type="http://schemas.openxmlformats.org/officeDocument/2006/relationships/image" Target="media/563dbd710888adb74fdb9d22748a04d1ad6ac185.png"/><Relationship Id="rId10" Type="http://schemas.openxmlformats.org/officeDocument/2006/relationships/image" Target="media/f2ef7a73e7ed786024ec67c6ad60f8794b099b63.png"/><Relationship Id="rId11" Type="http://schemas.openxmlformats.org/officeDocument/2006/relationships/image" Target="media/4c279ac458be0cad614068a2a34f84f1999d3227.png"/><Relationship Id="rId12" Type="http://schemas.openxmlformats.org/officeDocument/2006/relationships/image" Target="media/ed5ba5ad48d32f93a8bb3f2d22c752236179bc11.png"/><Relationship Id="rId13" Type="http://schemas.openxmlformats.org/officeDocument/2006/relationships/image" Target="media/b5d2dfcef7944c40e6edb59fe5079f32365d931b.png"/><Relationship Id="rId14" Type="http://schemas.openxmlformats.org/officeDocument/2006/relationships/image" Target="media/f17fc4be7f90df4d8a76a0b922f0c324e83c5be3.png"/><Relationship Id="rId15"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2026-10-25T02:12:00.157Z</dcterms:created>
  <dcterms:modified xsi:type="dcterms:W3CDTF">2026-10-25T02:12:00.157Z</dcterms:modified>
</cp:coreProperties>
</file>

<file path=docProps/custom.xml><?xml version="1.0" encoding="utf-8"?>
<Properties xmlns="http://schemas.openxmlformats.org/officeDocument/2006/custom-properties" xmlns:vt="http://schemas.openxmlformats.org/officeDocument/2006/docPropsVTypes"/>
</file>