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D50"/>
          <w:sz w:val="20"/>
          <w:szCs w:val="20"/>
        </w:rPr>
        <w:t xml:space="preserve">PROJECT SPECIFICATION</w:t>
      </w:r>
    </w:p>
    <w:p>
      <w:pPr>
        <w:spacing w:after="300"/>
      </w:pPr>
      <w:r>
        <w:rPr>
          <w:b/>
          <w:bCs/>
          <w:color w:val="1A1A1A"/>
          <w:sz w:val="44"/>
          <w:szCs w:val="44"/>
        </w:rPr>
        <w:t xml:space="preserve">Multi-Account Antigravity Quota Tracker</w:t>
      </w:r>
    </w:p>
    <w:p>
      <w:pPr>
        <w:spacing w:after="160" w:line="300"/>
      </w:pPr>
      <w:r>
        <w:rPr>
          <w:i/>
          <w:iCs/>
          <w:color w:val="6B6B6B"/>
        </w:rPr>
        <w:t xml:space="preserve">Version 1.0  ·  July 2026</w:t>
      </w:r>
    </w:p>
    <w:p>
      <w:pPr>
        <w:pStyle w:val="Heading1"/>
        <w:spacing w:after="160" w:before="320"/>
      </w:pPr>
      <w:r>
        <w:rPr>
          <w:b/>
          <w:bCs/>
          <w:color w:val="1A1A1A"/>
        </w:rPr>
        <w:t xml:space="preserve">1. Overview</w:t>
      </w:r>
    </w:p>
    <w:p>
      <w:pPr>
        <w:spacing w:after="160" w:line="300"/>
      </w:pPr>
      <w:r>
        <w:t xml:space="preserve">This document specifies a two-part system for tracking Claude model usage quotas across multiple Google Antigravity accounts: a lightweight IDE extension that captures quota data automatically, and a web dashboard that aggregates, stores, and surfaces that data across all accounts in one view.</w:t>
      </w:r>
    </w:p>
    <w:p>
      <w:pPr>
        <w:spacing w:after="160" w:line="300"/>
      </w:pPr>
      <w:r>
        <w:t xml:space="preserve">The goal is to remove manual tracking entirely. Today, quota percentages must be read off the Antigravity UI and remembered or written down by hand each time an account is switched. This system replaces that with an automated capture-and-sync pipeline.</w:t>
      </w:r>
    </w:p>
    <w:p>
      <w:pPr>
        <w:pStyle w:val="Heading1"/>
        <w:spacing w:after="160" w:before="320"/>
      </w:pPr>
      <w:r>
        <w:rPr>
          <w:b/>
          <w:bCs/>
          <w:color w:val="1A1A1A"/>
        </w:rPr>
        <w:t xml:space="preserve">2. Background: How Antigravity Quotas Work</w:t>
      </w:r>
    </w:p>
    <w:p>
      <w:pPr>
        <w:spacing w:after="160" w:line="300"/>
      </w:pPr>
      <w:r>
        <w:t xml:space="preserve">Google Antigravity enforces a dual-limit quota structure for the "Claude and GPT models" group (which includes Claude Opus, Claude Sonnet, and GPT-OSS, pooled together):</w:t>
      </w:r>
    </w:p>
    <w:p>
      <w:pPr>
        <w:pStyle w:val="ListParagraph"/>
        <w:numPr>
          <w:ilvl w:val="0"/>
          <w:numId w:val="2"/>
        </w:numPr>
        <w:spacing w:after="80"/>
      </w:pPr>
      <w:r>
        <w:t xml:space="preserve">Five Hour Limit — a short-term quota that refreshes on a rolling 5-hour cycle.</w:t>
      </w:r>
    </w:p>
    <w:p>
      <w:pPr>
        <w:pStyle w:val="ListParagraph"/>
        <w:numPr>
          <w:ilvl w:val="0"/>
          <w:numId w:val="2"/>
        </w:numPr>
        <w:spacing w:after="80"/>
      </w:pPr>
      <w:r>
        <w:t xml:space="preserve">Weekly Limit — a hard cap that resets once every 7 days, independent of the five-hour cycle.</w:t>
      </w:r>
    </w:p>
    <w:p>
      <w:pPr>
        <w:spacing w:after="160" w:line="300"/>
      </w:pPr>
      <w:r>
        <w:t xml:space="preserve">Critically, the five-hour refresh only replenishes the short-term bucket — it does not restore the weekly limit. Once the weekly limit is exhausted, the account is locked out of Claude/GPT models until the weekly reset, regardless of how many five-hour cycles pass in between.</w:t>
      </w:r>
    </w:p>
    <w:p>
      <w:pPr>
        <w:spacing w:after="160" w:line="300"/>
      </w:pPr>
      <w:r>
        <w:t xml:space="preserve">Observed consumption ratio: every 1% drawn from the Five Hour Limit corresponds to approximately 0.33% drawn from the Weekly Limit — meaning a full five-hour session consumes roughly one-third of the weekly allowance. This gives approximately three full five-hour sessions per account per week before the weekly cap is reached.</w:t>
      </w:r>
    </w:p>
    <w:p>
      <w:pPr>
        <w:spacing w:after="160" w:line="300"/>
      </w:pPr>
      <w:r>
        <w:t xml:space="preserve">Gemini models draw from a separate, independent quota pool and are tracked separately from the Claude/GPT pool.</w:t>
      </w:r>
    </w:p>
    <w:p>
      <w:pPr>
        <w:pStyle w:val="Heading1"/>
        <w:spacing w:after="160" w:before="320"/>
      </w:pPr>
      <w:r>
        <w:rPr>
          <w:b/>
          <w:bCs/>
          <w:color w:val="1A1A1A"/>
        </w:rPr>
        <w:t xml:space="preserve">3. Objective</w:t>
      </w:r>
    </w:p>
    <w:p>
      <w:pPr>
        <w:spacing w:after="160" w:line="300"/>
      </w:pPr>
      <w:r>
        <w:t xml:space="preserve">Given a portfolio of multiple Google accounts, each with independent Five Hour and Weekly quota pools, build a system that:</w:t>
      </w:r>
    </w:p>
    <w:p>
      <w:pPr>
        <w:pStyle w:val="ListParagraph"/>
        <w:numPr>
          <w:ilvl w:val="0"/>
          <w:numId w:val="2"/>
        </w:numPr>
        <w:spacing w:after="80"/>
      </w:pPr>
      <w:r>
        <w:t xml:space="preserve">Automatically captures each account's current Weekly % and Five Hour % without manual entry.</w:t>
      </w:r>
    </w:p>
    <w:p>
      <w:pPr>
        <w:pStyle w:val="ListParagraph"/>
        <w:numPr>
          <w:ilvl w:val="0"/>
          <w:numId w:val="2"/>
        </w:numPr>
        <w:spacing w:after="80"/>
      </w:pPr>
      <w:r>
        <w:t xml:space="preserve">Timestamps every capture so future percentages can be projected forward.</w:t>
      </w:r>
    </w:p>
    <w:p>
      <w:pPr>
        <w:pStyle w:val="ListParagraph"/>
        <w:numPr>
          <w:ilvl w:val="0"/>
          <w:numId w:val="2"/>
        </w:numPr>
        <w:spacing w:after="80"/>
      </w:pPr>
      <w:r>
        <w:t xml:space="preserve">Displays all accounts in a single dashboard, showing current standing and time-to-reset for each.</w:t>
      </w:r>
    </w:p>
    <w:p>
      <w:pPr>
        <w:pStyle w:val="ListParagraph"/>
        <w:numPr>
          <w:ilvl w:val="0"/>
          <w:numId w:val="2"/>
        </w:numPr>
        <w:spacing w:after="80"/>
      </w:pPr>
      <w:r>
        <w:t xml:space="preserve">Recommends which account to use next, based on remaining capacity.</w:t>
      </w:r>
    </w:p>
    <w:p>
      <w:pPr>
        <w:pStyle w:val="ListParagraph"/>
        <w:numPr>
          <w:ilvl w:val="0"/>
          <w:numId w:val="2"/>
        </w:numPr>
        <w:spacing w:after="80"/>
      </w:pPr>
      <w:r>
        <w:t xml:space="preserve">Tracks the Claude/GPT pool and the Gemini pool separately per account.</w:t>
      </w:r>
    </w:p>
    <w:p>
      <w:pPr>
        <w:pStyle w:val="Heading1"/>
        <w:spacing w:after="160" w:before="320"/>
      </w:pPr>
      <w:r>
        <w:rPr>
          <w:b/>
          <w:bCs/>
          <w:color w:val="1A1A1A"/>
        </w:rPr>
        <w:t xml:space="preserve">4. System Architecture</w:t>
      </w:r>
    </w:p>
    <w:p>
      <w:pPr>
        <w:spacing w:after="160" w:line="300"/>
      </w:pPr>
      <w:r>
        <w:t xml:space="preserve">The system has two components that communicate over a simple sync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F5D50" w:val="clear"/>
            <w:tcMar>
              <w:top w:type="dxa" w:w="100"/>
              <w:left w:type="dxa" w:w="120"/>
              <w:bottom w:type="dxa" w:w="100"/>
              <w:right w:type="dxa" w:w="120"/>
            </w:tcMar>
          </w:tcPr>
          <w:p>
            <w:r>
              <w:rPr>
                <w:b/>
                <w:bCs/>
                <w:color w:val="FFFFFF"/>
                <w:sz w:val="20"/>
                <w:szCs w:val="20"/>
              </w:rPr>
              <w:t xml:space="preserve">Component</w:t>
            </w:r>
          </w:p>
        </w:tc>
        <w:tc>
          <w:tcPr>
            <w:tcW w:type="dxa" w:w="6240"/>
            <w:shd w:fill="2F5D50" w:val="clear"/>
            <w:tcMar>
              <w:top w:type="dxa" w:w="100"/>
              <w:left w:type="dxa" w:w="120"/>
              <w:bottom w:type="dxa" w:w="100"/>
              <w:right w:type="dxa" w:w="120"/>
            </w:tcMar>
          </w:tcPr>
          <w:p>
            <w:r>
              <w:rPr>
                <w:b/>
                <w:bCs/>
                <w:color w:val="FFFFFF"/>
                <w:sz w:val="20"/>
                <w:szCs w:val="20"/>
              </w:rPr>
              <w:t xml:space="preserve">Role</w:t>
            </w:r>
          </w:p>
        </w:tc>
      </w:tr>
      <w:tr>
        <w:tc>
          <w:tcPr>
            <w:tcW w:type="dxa" w:w="3120"/>
            <w:tcMar>
              <w:top w:type="dxa" w:w="100"/>
              <w:left w:type="dxa" w:w="120"/>
              <w:bottom w:type="dxa" w:w="100"/>
              <w:right w:type="dxa" w:w="120"/>
            </w:tcMar>
          </w:tcPr>
          <w:p>
            <w:r>
              <w:rPr>
                <w:b w:val="false"/>
                <w:bCs w:val="false"/>
                <w:color w:val="1A1A1A"/>
                <w:sz w:val="20"/>
                <w:szCs w:val="20"/>
              </w:rPr>
              <w:t xml:space="preserve">Antigravity Extension</w:t>
            </w:r>
          </w:p>
        </w:tc>
        <w:tc>
          <w:tcPr>
            <w:tcW w:type="dxa" w:w="6240"/>
            <w:tcMar>
              <w:top w:type="dxa" w:w="100"/>
              <w:left w:type="dxa" w:w="120"/>
              <w:bottom w:type="dxa" w:w="100"/>
              <w:right w:type="dxa" w:w="120"/>
            </w:tcMar>
          </w:tcPr>
          <w:p>
            <w:r>
              <w:rPr>
                <w:b w:val="false"/>
                <w:bCs w:val="false"/>
                <w:color w:val="1A1A1A"/>
                <w:sz w:val="20"/>
                <w:szCs w:val="20"/>
              </w:rPr>
              <w:t xml:space="preserve">Runs inside the IDE. Reads Weekly % and Five Hour % directly from the quota panel's DOM whenever triggered. Sends the reading, plus the active account's identity and a timestamp, to the web dashboard.</w:t>
            </w:r>
          </w:p>
        </w:tc>
      </w:tr>
      <w:tr>
        <w:tc>
          <w:tcPr>
            <w:tcW w:type="dxa" w:w="3120"/>
            <w:tcMar>
              <w:top w:type="dxa" w:w="100"/>
              <w:left w:type="dxa" w:w="120"/>
              <w:bottom w:type="dxa" w:w="100"/>
              <w:right w:type="dxa" w:w="120"/>
            </w:tcMar>
          </w:tcPr>
          <w:p>
            <w:r>
              <w:rPr>
                <w:b w:val="false"/>
                <w:bCs w:val="false"/>
                <w:color w:val="1A1A1A"/>
                <w:sz w:val="20"/>
                <w:szCs w:val="20"/>
              </w:rPr>
              <w:t xml:space="preserve">Web Dashboard</w:t>
            </w:r>
          </w:p>
        </w:tc>
        <w:tc>
          <w:tcPr>
            <w:tcW w:type="dxa" w:w="6240"/>
            <w:tcMar>
              <w:top w:type="dxa" w:w="100"/>
              <w:left w:type="dxa" w:w="120"/>
              <w:bottom w:type="dxa" w:w="100"/>
              <w:right w:type="dxa" w:w="120"/>
            </w:tcMar>
          </w:tcPr>
          <w:p>
            <w:r>
              <w:rPr>
                <w:b w:val="false"/>
                <w:bCs w:val="false"/>
                <w:color w:val="1A1A1A"/>
                <w:sz w:val="20"/>
                <w:szCs w:val="20"/>
              </w:rPr>
              <w:t xml:space="preserve">Receives readings, stores history per account, calculates live projections (time to next five-hour reset, time to weekly reset), and displays a ranked overview of all accounts.</w:t>
            </w:r>
          </w:p>
        </w:tc>
      </w:tr>
    </w:tbl>
    <w:p>
      <w:pPr>
        <w:spacing w:after="160" w:line="300"/>
      </w:pPr>
      <w:r>
        <w:t xml:space="preserve"/>
      </w:r>
    </w:p>
    <w:p>
      <w:pPr>
        <w:pStyle w:val="Heading2"/>
        <w:spacing w:after="160" w:before="320"/>
      </w:pPr>
      <w:r>
        <w:rPr>
          <w:b/>
          <w:bCs/>
          <w:color w:val="1A1A1A"/>
        </w:rPr>
        <w:t xml:space="preserve">4.1 Data Flow</w:t>
      </w:r>
    </w:p>
    <w:p>
      <w:pPr>
        <w:pStyle w:val="ListParagraph"/>
        <w:numPr>
          <w:ilvl w:val="0"/>
          <w:numId w:val="2"/>
        </w:numPr>
        <w:spacing w:after="80"/>
      </w:pPr>
      <w:r>
        <w:t xml:space="preserve">Extension observes the quota panel inside Antigravity's webview.</w:t>
      </w:r>
    </w:p>
    <w:p>
      <w:pPr>
        <w:pStyle w:val="ListParagraph"/>
        <w:numPr>
          <w:ilvl w:val="0"/>
          <w:numId w:val="2"/>
        </w:numPr>
        <w:spacing w:after="80"/>
      </w:pPr>
      <w:r>
        <w:t xml:space="preserve">On trigger (see 4.2), it extracts: Weekly %, Five Hour %, and the days-to-reset string shown in the UI.</w:t>
      </w:r>
    </w:p>
    <w:p>
      <w:pPr>
        <w:pStyle w:val="ListParagraph"/>
        <w:numPr>
          <w:ilvl w:val="0"/>
          <w:numId w:val="2"/>
        </w:numPr>
        <w:spacing w:after="80"/>
      </w:pPr>
      <w:r>
        <w:t xml:space="preserve">It tags the reading with the currently signed-in account identifier and a UTC timestamp.</w:t>
      </w:r>
    </w:p>
    <w:p>
      <w:pPr>
        <w:pStyle w:val="ListParagraph"/>
        <w:numPr>
          <w:ilvl w:val="0"/>
          <w:numId w:val="2"/>
        </w:numPr>
        <w:spacing w:after="80"/>
      </w:pPr>
      <w:r>
        <w:t xml:space="preserve">The reading is POSTed to the dashboard's sync endpoint.</w:t>
      </w:r>
    </w:p>
    <w:p>
      <w:pPr>
        <w:pStyle w:val="ListParagraph"/>
        <w:numPr>
          <w:ilvl w:val="0"/>
          <w:numId w:val="2"/>
        </w:numPr>
        <w:spacing w:after="80"/>
      </w:pPr>
      <w:r>
        <w:t xml:space="preserve">The dashboard stores the reading, associates it with the correct account record, and recalculates that account's projected availability.</w:t>
      </w:r>
    </w:p>
    <w:p>
      <w:pPr>
        <w:pStyle w:val="Heading2"/>
        <w:spacing w:after="160" w:before="320"/>
      </w:pPr>
      <w:r>
        <w:rPr>
          <w:b/>
          <w:bCs/>
          <w:color w:val="1A1A1A"/>
        </w:rPr>
        <w:t xml:space="preserve">4.2 Capture Triggers</w:t>
      </w:r>
    </w:p>
    <w:p>
      <w:pPr>
        <w:spacing w:after="160" w:line="300"/>
      </w:pPr>
      <w:r>
        <w:t xml:space="preserve">Since manual entry is explicitly out of scope, the extension should capture readings automatically at these points:</w:t>
      </w:r>
    </w:p>
    <w:p>
      <w:pPr>
        <w:pStyle w:val="ListParagraph"/>
        <w:numPr>
          <w:ilvl w:val="0"/>
          <w:numId w:val="2"/>
        </w:numPr>
        <w:spacing w:after="80"/>
      </w:pPr>
      <w:r>
        <w:t xml:space="preserve">On IDE startup / account sign-in — captures a baseline reading.</w:t>
      </w:r>
    </w:p>
    <w:p>
      <w:pPr>
        <w:pStyle w:val="ListParagraph"/>
        <w:numPr>
          <w:ilvl w:val="0"/>
          <w:numId w:val="2"/>
        </w:numPr>
        <w:spacing w:after="80"/>
      </w:pPr>
      <w:r>
        <w:t xml:space="preserve">On a fixed interval (e.g. every 5–10 minutes) while the IDE is open — captures drift during a working session.</w:t>
      </w:r>
    </w:p>
    <w:p>
      <w:pPr>
        <w:pStyle w:val="ListParagraph"/>
        <w:numPr>
          <w:ilvl w:val="0"/>
          <w:numId w:val="2"/>
        </w:numPr>
        <w:spacing w:after="80"/>
      </w:pPr>
      <w:r>
        <w:t xml:space="preserve">On account sign-out — captures a final reading before the session ends, so the last-known state is always fresh.</w:t>
      </w:r>
    </w:p>
    <w:p>
      <w:pPr>
        <w:spacing w:after="160" w:line="300"/>
      </w:pPr>
      <w:r>
        <w:t xml:space="preserve">This removes the need for the user to manually record numbers at any point.</w:t>
      </w:r>
    </w:p>
    <w:p>
      <w:pPr>
        <w:pStyle w:val="Heading1"/>
        <w:spacing w:after="160" w:before="320"/>
      </w:pPr>
      <w:r>
        <w:rPr>
          <w:b/>
          <w:bCs/>
          <w:color w:val="1A1A1A"/>
        </w:rPr>
        <w:t xml:space="preserve">5. Extension Specification</w:t>
      </w:r>
    </w:p>
    <w:p>
      <w:pPr>
        <w:spacing w:after="160" w:line="300"/>
      </w:pPr>
      <w:r>
        <w:t xml:space="preserve">Platform: VS Code / Open VSX-compatible extension (Antigravity is built on the same extension framework).</w:t>
      </w:r>
    </w:p>
    <w:p>
      <w:pPr>
        <w:pStyle w:val="ListParagraph"/>
        <w:numPr>
          <w:ilvl w:val="0"/>
          <w:numId w:val="2"/>
        </w:numPr>
        <w:spacing w:after="80"/>
      </w:pPr>
      <w:r>
        <w:t xml:space="preserve">Locate the quota panel within the IDE's webview DOM (selector to be confirmed by inspecting the live panel).</w:t>
      </w:r>
    </w:p>
    <w:p>
      <w:pPr>
        <w:pStyle w:val="ListParagraph"/>
        <w:numPr>
          <w:ilvl w:val="0"/>
          <w:numId w:val="2"/>
        </w:numPr>
        <w:spacing w:after="80"/>
      </w:pPr>
      <w:r>
        <w:t xml:space="preserve">Parse text nodes for "Weekly Limit", "Five Hour Limit", and their associated percentage values.</w:t>
      </w:r>
    </w:p>
    <w:p>
      <w:pPr>
        <w:pStyle w:val="ListParagraph"/>
        <w:numPr>
          <w:ilvl w:val="0"/>
          <w:numId w:val="2"/>
        </w:numPr>
        <w:spacing w:after="80"/>
      </w:pPr>
      <w:r>
        <w:t xml:space="preserve">Parse the reset countdown text (e.g. "fully refresh in 4 days") to compute an exact reset timestamp.</w:t>
      </w:r>
    </w:p>
    <w:p>
      <w:pPr>
        <w:pStyle w:val="ListParagraph"/>
        <w:numPr>
          <w:ilvl w:val="0"/>
          <w:numId w:val="2"/>
        </w:numPr>
        <w:spacing w:after="80"/>
      </w:pPr>
      <w:r>
        <w:t xml:space="preserve">Identify the currently signed-in Google account (from IDE account state or window title) to tag each reading.</w:t>
      </w:r>
    </w:p>
    <w:p>
      <w:pPr>
        <w:pStyle w:val="ListParagraph"/>
        <w:numPr>
          <w:ilvl w:val="0"/>
          <w:numId w:val="2"/>
        </w:numPr>
        <w:spacing w:after="80"/>
      </w:pPr>
      <w:r>
        <w:t xml:space="preserve">Batch and send readings to the dashboard sync endpoint over HTTPS.</w:t>
      </w:r>
    </w:p>
    <w:p>
      <w:pPr>
        <w:pStyle w:val="ListParagraph"/>
        <w:numPr>
          <w:ilvl w:val="0"/>
          <w:numId w:val="2"/>
        </w:numPr>
        <w:spacing w:after="80"/>
      </w:pPr>
      <w:r>
        <w:t xml:space="preserve">Fail silently and retry on the next interval if the dashboard is unreachable — never block the user's workflow.</w:t>
      </w:r>
    </w:p>
    <w:p>
      <w:pPr>
        <w:pStyle w:val="Heading1"/>
        <w:spacing w:after="160" w:before="320"/>
      </w:pPr>
      <w:r>
        <w:rPr>
          <w:b/>
          <w:bCs/>
          <w:color w:val="1A1A1A"/>
        </w:rPr>
        <w:t xml:space="preserve">6. Dashboard Specification</w:t>
      </w:r>
    </w:p>
    <w:p>
      <w:pPr>
        <w:pStyle w:val="Heading2"/>
        <w:spacing w:after="160" w:before="320"/>
      </w:pPr>
      <w:r>
        <w:rPr>
          <w:b/>
          <w:bCs/>
          <w:color w:val="1A1A1A"/>
        </w:rPr>
        <w:t xml:space="preserve">6.1 Data Model (per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F5D50" w:val="clear"/>
            <w:tcMar>
              <w:top w:type="dxa" w:w="100"/>
              <w:left w:type="dxa" w:w="120"/>
              <w:bottom w:type="dxa" w:w="100"/>
              <w:right w:type="dxa" w:w="120"/>
            </w:tcMar>
          </w:tcPr>
          <w:p>
            <w:r>
              <w:rPr>
                <w:b/>
                <w:bCs/>
                <w:color w:val="FFFFFF"/>
                <w:sz w:val="20"/>
                <w:szCs w:val="20"/>
              </w:rPr>
              <w:t xml:space="preserve">Field</w:t>
            </w:r>
          </w:p>
        </w:tc>
        <w:tc>
          <w:tcPr>
            <w:tcW w:type="dxa" w:w="6240"/>
            <w:shd w:fill="2F5D50" w:val="clear"/>
            <w:tcMar>
              <w:top w:type="dxa" w:w="100"/>
              <w:left w:type="dxa" w:w="120"/>
              <w:bottom w:type="dxa" w:w="100"/>
              <w:right w:type="dxa" w:w="120"/>
            </w:tcMar>
          </w:tcPr>
          <w:p>
            <w:r>
              <w:rPr>
                <w:b/>
                <w:bCs/>
                <w:color w:val="FFFFFF"/>
                <w:sz w:val="20"/>
                <w:szCs w:val="20"/>
              </w:rPr>
              <w:t xml:space="preserve">Description</w:t>
            </w:r>
          </w:p>
        </w:tc>
      </w:tr>
      <w:tr>
        <w:tc>
          <w:tcPr>
            <w:tcW w:type="dxa" w:w="3120"/>
            <w:tcMar>
              <w:top w:type="dxa" w:w="100"/>
              <w:left w:type="dxa" w:w="120"/>
              <w:bottom w:type="dxa" w:w="100"/>
              <w:right w:type="dxa" w:w="120"/>
            </w:tcMar>
          </w:tcPr>
          <w:p>
            <w:r>
              <w:rPr>
                <w:b w:val="false"/>
                <w:bCs w:val="false"/>
                <w:color w:val="1A1A1A"/>
                <w:sz w:val="20"/>
                <w:szCs w:val="20"/>
              </w:rPr>
              <w:t xml:space="preserve">Account name</w:t>
            </w:r>
          </w:p>
        </w:tc>
        <w:tc>
          <w:tcPr>
            <w:tcW w:type="dxa" w:w="6240"/>
            <w:tcMar>
              <w:top w:type="dxa" w:w="100"/>
              <w:left w:type="dxa" w:w="120"/>
              <w:bottom w:type="dxa" w:w="100"/>
              <w:right w:type="dxa" w:w="120"/>
            </w:tcMar>
          </w:tcPr>
          <w:p>
            <w:r>
              <w:rPr>
                <w:b w:val="false"/>
                <w:bCs w:val="false"/>
                <w:color w:val="1A1A1A"/>
                <w:sz w:val="20"/>
                <w:szCs w:val="20"/>
              </w:rPr>
              <w:t xml:space="preserve">Custom label, or the Gmail account name if no custom label is set.</w:t>
            </w:r>
          </w:p>
        </w:tc>
      </w:tr>
      <w:tr>
        <w:tc>
          <w:tcPr>
            <w:tcW w:type="dxa" w:w="3120"/>
            <w:tcMar>
              <w:top w:type="dxa" w:w="100"/>
              <w:left w:type="dxa" w:w="120"/>
              <w:bottom w:type="dxa" w:w="100"/>
              <w:right w:type="dxa" w:w="120"/>
            </w:tcMar>
          </w:tcPr>
          <w:p>
            <w:r>
              <w:rPr>
                <w:b w:val="false"/>
                <w:bCs w:val="false"/>
                <w:color w:val="1A1A1A"/>
                <w:sz w:val="20"/>
                <w:szCs w:val="20"/>
              </w:rPr>
              <w:t xml:space="preserve">Claude/GPT — Weekly %</w:t>
            </w:r>
          </w:p>
        </w:tc>
        <w:tc>
          <w:tcPr>
            <w:tcW w:type="dxa" w:w="6240"/>
            <w:tcMar>
              <w:top w:type="dxa" w:w="100"/>
              <w:left w:type="dxa" w:w="120"/>
              <w:bottom w:type="dxa" w:w="100"/>
              <w:right w:type="dxa" w:w="120"/>
            </w:tcMar>
          </w:tcPr>
          <w:p>
            <w:r>
              <w:rPr>
                <w:b w:val="false"/>
                <w:bCs w:val="false"/>
                <w:color w:val="1A1A1A"/>
                <w:sz w:val="20"/>
                <w:szCs w:val="20"/>
              </w:rPr>
              <w:t xml:space="preserve">Most recent captured value.</w:t>
            </w:r>
          </w:p>
        </w:tc>
      </w:tr>
      <w:tr>
        <w:tc>
          <w:tcPr>
            <w:tcW w:type="dxa" w:w="3120"/>
            <w:tcMar>
              <w:top w:type="dxa" w:w="100"/>
              <w:left w:type="dxa" w:w="120"/>
              <w:bottom w:type="dxa" w:w="100"/>
              <w:right w:type="dxa" w:w="120"/>
            </w:tcMar>
          </w:tcPr>
          <w:p>
            <w:r>
              <w:rPr>
                <w:b w:val="false"/>
                <w:bCs w:val="false"/>
                <w:color w:val="1A1A1A"/>
                <w:sz w:val="20"/>
                <w:szCs w:val="20"/>
              </w:rPr>
              <w:t xml:space="preserve">Claude/GPT — Five Hour %</w:t>
            </w:r>
          </w:p>
        </w:tc>
        <w:tc>
          <w:tcPr>
            <w:tcW w:type="dxa" w:w="6240"/>
            <w:tcMar>
              <w:top w:type="dxa" w:w="100"/>
              <w:left w:type="dxa" w:w="120"/>
              <w:bottom w:type="dxa" w:w="100"/>
              <w:right w:type="dxa" w:w="120"/>
            </w:tcMar>
          </w:tcPr>
          <w:p>
            <w:r>
              <w:rPr>
                <w:b w:val="false"/>
                <w:bCs w:val="false"/>
                <w:color w:val="1A1A1A"/>
                <w:sz w:val="20"/>
                <w:szCs w:val="20"/>
              </w:rPr>
              <w:t xml:space="preserve">Most recent captured value.</w:t>
            </w:r>
          </w:p>
        </w:tc>
      </w:tr>
      <w:tr>
        <w:tc>
          <w:tcPr>
            <w:tcW w:type="dxa" w:w="3120"/>
            <w:tcMar>
              <w:top w:type="dxa" w:w="100"/>
              <w:left w:type="dxa" w:w="120"/>
              <w:bottom w:type="dxa" w:w="100"/>
              <w:right w:type="dxa" w:w="120"/>
            </w:tcMar>
          </w:tcPr>
          <w:p>
            <w:r>
              <w:rPr>
                <w:b w:val="false"/>
                <w:bCs w:val="false"/>
                <w:color w:val="1A1A1A"/>
                <w:sz w:val="20"/>
                <w:szCs w:val="20"/>
              </w:rPr>
              <w:t xml:space="preserve">Gemini — Weekly %</w:t>
            </w:r>
          </w:p>
        </w:tc>
        <w:tc>
          <w:tcPr>
            <w:tcW w:type="dxa" w:w="6240"/>
            <w:tcMar>
              <w:top w:type="dxa" w:w="100"/>
              <w:left w:type="dxa" w:w="120"/>
              <w:bottom w:type="dxa" w:w="100"/>
              <w:right w:type="dxa" w:w="120"/>
            </w:tcMar>
          </w:tcPr>
          <w:p>
            <w:r>
              <w:rPr>
                <w:b w:val="false"/>
                <w:bCs w:val="false"/>
                <w:color w:val="1A1A1A"/>
                <w:sz w:val="20"/>
                <w:szCs w:val="20"/>
              </w:rPr>
              <w:t xml:space="preserve">Tracked independently from the Claude/GPT pool.</w:t>
            </w:r>
          </w:p>
        </w:tc>
      </w:tr>
      <w:tr>
        <w:tc>
          <w:tcPr>
            <w:tcW w:type="dxa" w:w="3120"/>
            <w:tcMar>
              <w:top w:type="dxa" w:w="100"/>
              <w:left w:type="dxa" w:w="120"/>
              <w:bottom w:type="dxa" w:w="100"/>
              <w:right w:type="dxa" w:w="120"/>
            </w:tcMar>
          </w:tcPr>
          <w:p>
            <w:r>
              <w:rPr>
                <w:b w:val="false"/>
                <w:bCs w:val="false"/>
                <w:color w:val="1A1A1A"/>
                <w:sz w:val="20"/>
                <w:szCs w:val="20"/>
              </w:rPr>
              <w:t xml:space="preserve">Gemini — Five Hour %</w:t>
            </w:r>
          </w:p>
        </w:tc>
        <w:tc>
          <w:tcPr>
            <w:tcW w:type="dxa" w:w="6240"/>
            <w:tcMar>
              <w:top w:type="dxa" w:w="100"/>
              <w:left w:type="dxa" w:w="120"/>
              <w:bottom w:type="dxa" w:w="100"/>
              <w:right w:type="dxa" w:w="120"/>
            </w:tcMar>
          </w:tcPr>
          <w:p>
            <w:r>
              <w:rPr>
                <w:b w:val="false"/>
                <w:bCs w:val="false"/>
                <w:color w:val="1A1A1A"/>
                <w:sz w:val="20"/>
                <w:szCs w:val="20"/>
              </w:rPr>
              <w:t xml:space="preserve">Tracked independently from the Claude/GPT pool.</w:t>
            </w:r>
          </w:p>
        </w:tc>
      </w:tr>
      <w:tr>
        <w:tc>
          <w:tcPr>
            <w:tcW w:type="dxa" w:w="3120"/>
            <w:tcMar>
              <w:top w:type="dxa" w:w="100"/>
              <w:left w:type="dxa" w:w="120"/>
              <w:bottom w:type="dxa" w:w="100"/>
              <w:right w:type="dxa" w:w="120"/>
            </w:tcMar>
          </w:tcPr>
          <w:p>
            <w:r>
              <w:rPr>
                <w:b w:val="false"/>
                <w:bCs w:val="false"/>
                <w:color w:val="1A1A1A"/>
                <w:sz w:val="20"/>
                <w:szCs w:val="20"/>
              </w:rPr>
              <w:t xml:space="preserve">Last capture timestamp</w:t>
            </w:r>
          </w:p>
        </w:tc>
        <w:tc>
          <w:tcPr>
            <w:tcW w:type="dxa" w:w="6240"/>
            <w:tcMar>
              <w:top w:type="dxa" w:w="100"/>
              <w:left w:type="dxa" w:w="120"/>
              <w:bottom w:type="dxa" w:w="100"/>
              <w:right w:type="dxa" w:w="120"/>
            </w:tcMar>
          </w:tcPr>
          <w:p>
            <w:r>
              <w:rPr>
                <w:b w:val="false"/>
                <w:bCs w:val="false"/>
                <w:color w:val="1A1A1A"/>
                <w:sz w:val="20"/>
                <w:szCs w:val="20"/>
              </w:rPr>
              <w:t xml:space="preserve">UTC time of the most recent reading.</w:t>
            </w:r>
          </w:p>
        </w:tc>
      </w:tr>
      <w:tr>
        <w:tc>
          <w:tcPr>
            <w:tcW w:type="dxa" w:w="3120"/>
            <w:tcMar>
              <w:top w:type="dxa" w:w="100"/>
              <w:left w:type="dxa" w:w="120"/>
              <w:bottom w:type="dxa" w:w="100"/>
              <w:right w:type="dxa" w:w="120"/>
            </w:tcMar>
          </w:tcPr>
          <w:p>
            <w:r>
              <w:rPr>
                <w:b w:val="false"/>
                <w:bCs w:val="false"/>
                <w:color w:val="1A1A1A"/>
                <w:sz w:val="20"/>
                <w:szCs w:val="20"/>
              </w:rPr>
              <w:t xml:space="preserve">Weekly reset time</w:t>
            </w:r>
          </w:p>
        </w:tc>
        <w:tc>
          <w:tcPr>
            <w:tcW w:type="dxa" w:w="6240"/>
            <w:tcMar>
              <w:top w:type="dxa" w:w="100"/>
              <w:left w:type="dxa" w:w="120"/>
              <w:bottom w:type="dxa" w:w="100"/>
              <w:right w:type="dxa" w:w="120"/>
            </w:tcMar>
          </w:tcPr>
          <w:p>
            <w:r>
              <w:rPr>
                <w:b w:val="false"/>
                <w:bCs w:val="false"/>
                <w:color w:val="1A1A1A"/>
                <w:sz w:val="20"/>
                <w:szCs w:val="20"/>
              </w:rPr>
              <w:t xml:space="preserve">Calculated absolute timestamp from the captured countdown.</w:t>
            </w:r>
          </w:p>
        </w:tc>
      </w:tr>
      <w:tr>
        <w:tc>
          <w:tcPr>
            <w:tcW w:type="dxa" w:w="3120"/>
            <w:tcMar>
              <w:top w:type="dxa" w:w="100"/>
              <w:left w:type="dxa" w:w="120"/>
              <w:bottom w:type="dxa" w:w="100"/>
              <w:right w:type="dxa" w:w="120"/>
            </w:tcMar>
          </w:tcPr>
          <w:p>
            <w:r>
              <w:rPr>
                <w:b w:val="false"/>
                <w:bCs w:val="false"/>
                <w:color w:val="1A1A1A"/>
                <w:sz w:val="20"/>
                <w:szCs w:val="20"/>
              </w:rPr>
              <w:t xml:space="preserve">Five hour reset time</w:t>
            </w:r>
          </w:p>
        </w:tc>
        <w:tc>
          <w:tcPr>
            <w:tcW w:type="dxa" w:w="6240"/>
            <w:tcMar>
              <w:top w:type="dxa" w:w="100"/>
              <w:left w:type="dxa" w:w="120"/>
              <w:bottom w:type="dxa" w:w="100"/>
              <w:right w:type="dxa" w:w="120"/>
            </w:tcMar>
          </w:tcPr>
          <w:p>
            <w:r>
              <w:rPr>
                <w:b w:val="false"/>
                <w:bCs w:val="false"/>
                <w:color w:val="1A1A1A"/>
                <w:sz w:val="20"/>
                <w:szCs w:val="20"/>
              </w:rPr>
              <w:t xml:space="preserve">Calculated absolute timestamp, rolling.</w:t>
            </w:r>
          </w:p>
        </w:tc>
      </w:tr>
      <w:tr>
        <w:tc>
          <w:tcPr>
            <w:tcW w:type="dxa" w:w="3120"/>
            <w:tcMar>
              <w:top w:type="dxa" w:w="100"/>
              <w:left w:type="dxa" w:w="120"/>
              <w:bottom w:type="dxa" w:w="100"/>
              <w:right w:type="dxa" w:w="120"/>
            </w:tcMar>
          </w:tcPr>
          <w:p>
            <w:r>
              <w:rPr>
                <w:b w:val="false"/>
                <w:bCs w:val="false"/>
                <w:color w:val="1A1A1A"/>
                <w:sz w:val="20"/>
                <w:szCs w:val="20"/>
              </w:rPr>
              <w:t xml:space="preserve">History log</w:t>
            </w:r>
          </w:p>
        </w:tc>
        <w:tc>
          <w:tcPr>
            <w:tcW w:type="dxa" w:w="6240"/>
            <w:tcMar>
              <w:top w:type="dxa" w:w="100"/>
              <w:left w:type="dxa" w:w="120"/>
              <w:bottom w:type="dxa" w:w="100"/>
              <w:right w:type="dxa" w:w="120"/>
            </w:tcMar>
          </w:tcPr>
          <w:p>
            <w:r>
              <w:rPr>
                <w:b w:val="false"/>
                <w:bCs w:val="false"/>
                <w:color w:val="1A1A1A"/>
                <w:sz w:val="20"/>
                <w:szCs w:val="20"/>
              </w:rPr>
              <w:t xml:space="preserve">Full time series of readings, for pattern review.</w:t>
            </w:r>
          </w:p>
        </w:tc>
      </w:tr>
    </w:tbl>
    <w:p>
      <w:pPr>
        <w:spacing w:after="160" w:line="300"/>
      </w:pPr>
      <w:r>
        <w:t xml:space="preserve"/>
      </w:r>
    </w:p>
    <w:p>
      <w:pPr>
        <w:pStyle w:val="Heading2"/>
        <w:spacing w:after="160" w:before="320"/>
      </w:pPr>
      <w:r>
        <w:rPr>
          <w:b/>
          <w:bCs/>
          <w:color w:val="1A1A1A"/>
        </w:rPr>
        <w:t xml:space="preserve">6.2 Views</w:t>
      </w:r>
    </w:p>
    <w:p>
      <w:pPr>
        <w:pStyle w:val="ListParagraph"/>
        <w:numPr>
          <w:ilvl w:val="0"/>
          <w:numId w:val="2"/>
        </w:numPr>
        <w:spacing w:after="80"/>
      </w:pPr>
      <w:r>
        <w:t xml:space="preserve">Overview grid — all accounts as cards, showing both pools' current % and next reset countdowns at a glance.</w:t>
      </w:r>
    </w:p>
    <w:p>
      <w:pPr>
        <w:pStyle w:val="ListParagraph"/>
        <w:numPr>
          <w:ilvl w:val="0"/>
          <w:numId w:val="2"/>
        </w:numPr>
        <w:spacing w:after="80"/>
      </w:pPr>
      <w:r>
        <w:t xml:space="preserve">Recommendation banner — surfaces the single best account to use right now, based on highest combined remaining capacity.</w:t>
      </w:r>
    </w:p>
    <w:p>
      <w:pPr>
        <w:pStyle w:val="ListParagraph"/>
        <w:numPr>
          <w:ilvl w:val="0"/>
          <w:numId w:val="2"/>
        </w:numPr>
        <w:spacing w:after="80"/>
      </w:pPr>
      <w:r>
        <w:t xml:space="preserve">Account detail view — history graph of a single account's Weekly % and Five Hour % over time.</w:t>
      </w:r>
    </w:p>
    <w:p>
      <w:pPr>
        <w:pStyle w:val="ListParagraph"/>
        <w:numPr>
          <w:ilvl w:val="0"/>
          <w:numId w:val="2"/>
        </w:numPr>
        <w:spacing w:after="80"/>
      </w:pPr>
      <w:r>
        <w:t xml:space="preserve">Naming — each account can be given a custom display name, defaulting to its Gmail account name if unset.</w:t>
      </w:r>
    </w:p>
    <w:p>
      <w:pPr>
        <w:pStyle w:val="Heading2"/>
        <w:spacing w:after="160" w:before="320"/>
      </w:pPr>
      <w:r>
        <w:rPr>
          <w:b/>
          <w:bCs/>
          <w:color w:val="1A1A1A"/>
        </w:rPr>
        <w:t xml:space="preserve">6.3 Recommendation Logic</w:t>
      </w:r>
    </w:p>
    <w:p>
      <w:pPr>
        <w:spacing w:after="160" w:line="300"/>
      </w:pPr>
      <w:r>
        <w:t xml:space="preserve">An account is ranked highest when it has the most remaining Five Hour % combined with sufficient remaining Weekly % to support a full session. An account with a full Five Hour reset but a near-zero Weekly balance should be ranked below an account with partial Five Hour but healthy Weekly balance, since the latter can still absorb a full session without tipping into lockout.</w:t>
      </w:r>
    </w:p>
    <w:p>
      <w:pPr>
        <w:pStyle w:val="Heading1"/>
        <w:spacing w:after="160" w:before="320"/>
      </w:pPr>
      <w:r>
        <w:rPr>
          <w:b/>
          <w:bCs/>
          <w:color w:val="1A1A1A"/>
        </w:rPr>
        <w:t xml:space="preserve">7. Non-Functional Requirements</w:t>
      </w:r>
    </w:p>
    <w:p>
      <w:pPr>
        <w:pStyle w:val="ListParagraph"/>
        <w:numPr>
          <w:ilvl w:val="0"/>
          <w:numId w:val="2"/>
        </w:numPr>
        <w:spacing w:after="80"/>
      </w:pPr>
      <w:r>
        <w:t xml:space="preserve">No manual data entry required at any point in normal operation.</w:t>
      </w:r>
    </w:p>
    <w:p>
      <w:pPr>
        <w:pStyle w:val="ListParagraph"/>
        <w:numPr>
          <w:ilvl w:val="0"/>
          <w:numId w:val="2"/>
        </w:numPr>
        <w:spacing w:after="80"/>
      </w:pPr>
      <w:r>
        <w:t xml:space="preserve">Extension must not interfere with or slow down normal IDE usage.</w:t>
      </w:r>
    </w:p>
    <w:p>
      <w:pPr>
        <w:pStyle w:val="ListParagraph"/>
        <w:numPr>
          <w:ilvl w:val="0"/>
          <w:numId w:val="2"/>
        </w:numPr>
        <w:spacing w:after="80"/>
      </w:pPr>
      <w:r>
        <w:t xml:space="preserve">Dashboard must be accessible from any device (responsive web app).</w:t>
      </w:r>
    </w:p>
    <w:p>
      <w:pPr>
        <w:pStyle w:val="ListParagraph"/>
        <w:numPr>
          <w:ilvl w:val="0"/>
          <w:numId w:val="2"/>
        </w:numPr>
        <w:spacing w:after="80"/>
      </w:pPr>
      <w:r>
        <w:t xml:space="preserve">Data persists across sessions; history is never silently discarded.</w:t>
      </w:r>
    </w:p>
    <w:p>
      <w:pPr>
        <w:pStyle w:val="ListParagraph"/>
        <w:numPr>
          <w:ilvl w:val="0"/>
          <w:numId w:val="2"/>
        </w:numPr>
        <w:spacing w:after="80"/>
      </w:pPr>
      <w:r>
        <w:t xml:space="preserve">Sync failures must degrade gracefully — the dashboard should show "last known" data with a clear staleness indicator rather than breaking.</w:t>
      </w:r>
    </w:p>
    <w:p>
      <w:pPr>
        <w:pStyle w:val="Heading1"/>
        <w:spacing w:after="160" w:before="320"/>
      </w:pPr>
      <w:r>
        <w:rPr>
          <w:b/>
          <w:bCs/>
          <w:color w:val="1A1A1A"/>
        </w:rPr>
        <w:t xml:space="preserve">8. Open Items</w:t>
      </w:r>
    </w:p>
    <w:p>
      <w:pPr>
        <w:pStyle w:val="ListParagraph"/>
        <w:numPr>
          <w:ilvl w:val="0"/>
          <w:numId w:val="2"/>
        </w:numPr>
        <w:spacing w:after="80"/>
      </w:pPr>
      <w:r>
        <w:t xml:space="preserve">Confirm the exact DOM structure of the quota panel within the current Antigravity build, as this determines the extension's parsing logic and may change with future IDE updates.</w:t>
      </w:r>
    </w:p>
    <w:p>
      <w:pPr>
        <w:pStyle w:val="ListParagraph"/>
        <w:numPr>
          <w:ilvl w:val="0"/>
          <w:numId w:val="2"/>
        </w:numPr>
        <w:spacing w:after="80"/>
      </w:pPr>
      <w:r>
        <w:t xml:space="preserve">Decide on authentication for the sync endpoint (e.g. a per-user API key embedded in the extension's settings).</w:t>
      </w:r>
    </w:p>
    <w:p>
      <w:pPr>
        <w:pStyle w:val="ListParagraph"/>
        <w:numPr>
          <w:ilvl w:val="0"/>
          <w:numId w:val="2"/>
        </w:numPr>
        <w:spacing w:after="80"/>
      </w:pPr>
      <w:r>
        <w:t xml:space="preserve">Confirm whether the account identifier should be the Google account email or an internal alias, for privacy in stored data.</w:t>
      </w:r>
    </w:p>
    <w:p>
      <w:pPr>
        <w:pStyle w:val="Heading1"/>
        <w:spacing w:after="160" w:before="320"/>
      </w:pPr>
      <w:r>
        <w:rPr>
          <w:b/>
          <w:bCs/>
          <w:color w:val="1A1A1A"/>
        </w:rPr>
        <w:t xml:space="preserve">9. Risk Note</w:t>
      </w:r>
    </w:p>
    <w:p>
      <w:pPr>
        <w:spacing w:after="160" w:line="300"/>
      </w:pPr>
      <w:r>
        <w:t xml:space="preserve">Operating multiple accounts specifically to multiply an effective usage quota may fall outside the intended use permitted by Google's Terms of Service for Antigravity and Google AI Pro/Ultra subscriptions. This is worth weighing independently of the technical build — automated detection of this pattern could result in account restrictions. This document covers the technical specification only and does not constitute guidance on the underlying terms-of-service question.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2026-07-05T07:01:34.804Z</dcterms:created>
  <dcterms:modified xsi:type="dcterms:W3CDTF">2026-07-05T07:01:34.804Z</dcterms:modified>
</cp:coreProperties>
</file>

<file path=docProps/custom.xml><?xml version="1.0" encoding="utf-8"?>
<Properties xmlns="http://schemas.openxmlformats.org/officeDocument/2006/custom-properties" xmlns:vt="http://schemas.openxmlformats.org/officeDocument/2006/docPropsVTypes"/>
</file>