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Aptos" w:hAnsi="Aptos"/>
          <w:b/>
          <w:i w:val="0"/>
          <w:color w:val="1F3A5F"/>
          <w:sz w:val="40"/>
        </w:rPr>
        <w:t>MASTER TRANSPORTATION SERVICES AGREEMENT</w:t>
      </w:r>
    </w:p>
    <w:p>
      <w:pPr>
        <w:spacing w:before="0" w:after="160" w:line="276" w:lineRule="auto"/>
        <w:jc w:val="center"/>
      </w:pPr>
      <w:r>
        <w:rPr>
          <w:rFonts w:ascii="Aptos" w:hAnsi="Aptos"/>
          <w:b w:val="0"/>
          <w:i/>
          <w:color w:val="4F5D75"/>
          <w:sz w:val="24"/>
        </w:rPr>
        <w:t>(3PL Aggregator - Carrier Vendor Template)</w:t>
      </w:r>
    </w:p>
    <w:p>
      <w:pPr>
        <w:spacing w:before="0" w:after="100" w:line="276" w:lineRule="auto"/>
        <w:jc w:val="center"/>
      </w:pPr>
      <w:r>
        <w:rPr>
          <w:rFonts w:ascii="Aptos" w:hAnsi="Aptos"/>
          <w:b w:val="0"/>
          <w:i w:val="0"/>
          <w:sz w:val="21"/>
        </w:rPr>
        <w:t>Comprehensive sample contract with commercial discounts, rebates, penalties, service credits, audit rights, security mechanisms, claims procedures, and detailed schedules.</w:t>
      </w:r>
    </w:p>
    <w:p>
      <w:pPr>
        <w:spacing w:before="0" w:after="100" w:line="276" w:lineRule="auto"/>
        <w:jc w:val="center"/>
      </w:pPr>
      <w:r>
        <w:rPr>
          <w:rFonts w:ascii="Aptos" w:hAnsi="Aptos"/>
          <w:b w:val="0"/>
          <w:i w:val="0"/>
          <w:sz w:val="21"/>
        </w:rPr>
      </w:r>
    </w:p>
    <w:p>
      <w:pPr>
        <w:spacing w:before="0" w:after="100" w:line="276" w:lineRule="auto"/>
        <w:jc w:val="center"/>
      </w:pPr>
      <w:r>
        <w:rPr>
          <w:rFonts w:ascii="Aptos" w:hAnsi="Aptos"/>
          <w:b w:val="0"/>
          <w:i w:val="0"/>
          <w:sz w:val="21"/>
        </w:rPr>
        <w:t>This form is drafted as a commercially robust sample for logistics contracting purposes and is intended to be customized for the relevant jurisdiction, service model, commodity mix, lane structure, and risk profile before signing.</w:t>
      </w:r>
    </w:p>
    <w:p/>
    <w:tbl>
      <w:tblPr>
        <w:tblW w:type="auto" w:w="0"/>
        <w:jc w:val="center"/>
        <w:tblLayout w:type="fixed"/>
        <w:tblLook w:firstColumn="1" w:firstRow="1" w:lastColumn="0" w:lastRow="0" w:noHBand="0" w:noVBand="1" w:val="04A0"/>
      </w:tblPr>
      <w:tblGrid>
        <w:gridCol w:w="4957"/>
        <w:gridCol w:w="4957"/>
      </w:tblGrid>
      <w:tr>
        <w:tc>
          <w:tcPr>
            <w:tcW w:type="dxa" w:w="2835"/>
            <w:vAlign w:val="center"/>
            <w:tcMar>
              <w:top w:w="90" w:type="dxa"/>
              <w:start w:w="120" w:type="dxa"/>
              <w:bottom w:w="90" w:type="dxa"/>
              <w:end w:w="120" w:type="dxa"/>
            </w:tcMar>
            <w:shd w:fill="DCE6F1"/>
          </w:tcPr>
          <w:p>
            <w:pPr>
              <w:jc w:val="left"/>
            </w:pPr>
            <w:r>
              <w:rPr>
                <w:rFonts w:ascii="Aptos" w:hAnsi="Aptos"/>
                <w:b/>
                <w:i w:val="0"/>
                <w:color w:val="1F3A5F"/>
                <w:sz w:val="20"/>
              </w:rPr>
              <w:t>Effective Date</w:t>
            </w:r>
          </w:p>
        </w:tc>
        <w:tc>
          <w:tcPr>
            <w:tcW w:type="dxa" w:w="5386"/>
            <w:vAlign w:val="center"/>
            <w:tcMar>
              <w:top w:w="90" w:type="dxa"/>
              <w:start w:w="120" w:type="dxa"/>
              <w:bottom w:w="90" w:type="dxa"/>
              <w:end w:w="120" w:type="dxa"/>
            </w:tcMar>
            <w:shd w:fill="F8FBFD"/>
          </w:tcPr>
          <w:p>
            <w:r>
              <w:rPr>
                <w:rFonts w:ascii="Aptos" w:hAnsi="Aptos"/>
                <w:b w:val="0"/>
                <w:i w:val="0"/>
                <w:sz w:val="20"/>
              </w:rPr>
              <w:t>[Insert Date]</w:t>
            </w:r>
          </w:p>
        </w:tc>
      </w:tr>
      <w:tr>
        <w:tc>
          <w:tcPr>
            <w:tcW w:type="dxa" w:w="2835"/>
            <w:vAlign w:val="center"/>
            <w:tcMar>
              <w:top w:w="90" w:type="dxa"/>
              <w:start w:w="120" w:type="dxa"/>
              <w:bottom w:w="90" w:type="dxa"/>
              <w:end w:w="120" w:type="dxa"/>
            </w:tcMar>
            <w:shd w:fill="DCE6F1"/>
          </w:tcPr>
          <w:p>
            <w:pPr>
              <w:jc w:val="left"/>
            </w:pPr>
            <w:r>
              <w:rPr>
                <w:rFonts w:ascii="Aptos" w:hAnsi="Aptos"/>
                <w:b/>
                <w:i w:val="0"/>
                <w:color w:val="1F3A5F"/>
                <w:sz w:val="20"/>
              </w:rPr>
              <w:t>Aggregator</w:t>
            </w:r>
          </w:p>
        </w:tc>
        <w:tc>
          <w:tcPr>
            <w:tcW w:type="dxa" w:w="5386"/>
            <w:vAlign w:val="center"/>
            <w:tcMar>
              <w:top w:w="90" w:type="dxa"/>
              <w:start w:w="120" w:type="dxa"/>
              <w:bottom w:w="90" w:type="dxa"/>
              <w:end w:w="120" w:type="dxa"/>
            </w:tcMar>
            <w:shd w:fill="F8FBFD"/>
          </w:tcPr>
          <w:p>
            <w:r>
              <w:rPr>
                <w:rFonts w:ascii="Aptos" w:hAnsi="Aptos"/>
                <w:b w:val="0"/>
                <w:i w:val="0"/>
                <w:sz w:val="20"/>
              </w:rPr>
              <w:t>[Insert Legal Name]</w:t>
            </w:r>
          </w:p>
        </w:tc>
      </w:tr>
      <w:tr>
        <w:tc>
          <w:tcPr>
            <w:tcW w:type="dxa" w:w="2835"/>
            <w:vAlign w:val="center"/>
            <w:tcMar>
              <w:top w:w="90" w:type="dxa"/>
              <w:start w:w="120" w:type="dxa"/>
              <w:bottom w:w="90" w:type="dxa"/>
              <w:end w:w="120" w:type="dxa"/>
            </w:tcMar>
            <w:shd w:fill="DCE6F1"/>
          </w:tcPr>
          <w:p>
            <w:pPr>
              <w:jc w:val="left"/>
            </w:pPr>
            <w:r>
              <w:rPr>
                <w:rFonts w:ascii="Aptos" w:hAnsi="Aptos"/>
                <w:b/>
                <w:i w:val="0"/>
                <w:color w:val="1F3A5F"/>
                <w:sz w:val="20"/>
              </w:rPr>
              <w:t>Carrier</w:t>
            </w:r>
          </w:p>
        </w:tc>
        <w:tc>
          <w:tcPr>
            <w:tcW w:type="dxa" w:w="5386"/>
            <w:vAlign w:val="center"/>
            <w:tcMar>
              <w:top w:w="90" w:type="dxa"/>
              <w:start w:w="120" w:type="dxa"/>
              <w:bottom w:w="90" w:type="dxa"/>
              <w:end w:w="120" w:type="dxa"/>
            </w:tcMar>
            <w:shd w:fill="F8FBFD"/>
          </w:tcPr>
          <w:p>
            <w:r>
              <w:rPr>
                <w:rFonts w:ascii="Aptos" w:hAnsi="Aptos"/>
                <w:b w:val="0"/>
                <w:i w:val="0"/>
                <w:sz w:val="20"/>
              </w:rPr>
              <w:t>[Insert Legal Name]</w:t>
            </w:r>
          </w:p>
        </w:tc>
      </w:tr>
      <w:tr>
        <w:tc>
          <w:tcPr>
            <w:tcW w:type="dxa" w:w="2835"/>
            <w:vAlign w:val="center"/>
            <w:tcMar>
              <w:top w:w="90" w:type="dxa"/>
              <w:start w:w="120" w:type="dxa"/>
              <w:bottom w:w="90" w:type="dxa"/>
              <w:end w:w="120" w:type="dxa"/>
            </w:tcMar>
            <w:shd w:fill="DCE6F1"/>
          </w:tcPr>
          <w:p>
            <w:pPr>
              <w:jc w:val="left"/>
            </w:pPr>
            <w:r>
              <w:rPr>
                <w:rFonts w:ascii="Aptos" w:hAnsi="Aptos"/>
                <w:b/>
                <w:i w:val="0"/>
                <w:color w:val="1F3A5F"/>
                <w:sz w:val="20"/>
              </w:rPr>
              <w:t>Draft Version</w:t>
            </w:r>
          </w:p>
        </w:tc>
        <w:tc>
          <w:tcPr>
            <w:tcW w:type="dxa" w:w="5386"/>
            <w:vAlign w:val="center"/>
            <w:tcMar>
              <w:top w:w="90" w:type="dxa"/>
              <w:start w:w="120" w:type="dxa"/>
              <w:bottom w:w="90" w:type="dxa"/>
              <w:end w:w="120" w:type="dxa"/>
            </w:tcMar>
            <w:shd w:fill="F8FBFD"/>
          </w:tcPr>
          <w:p>
            <w:r>
              <w:rPr>
                <w:rFonts w:ascii="Aptos" w:hAnsi="Aptos"/>
                <w:b w:val="0"/>
                <w:i w:val="0"/>
                <w:sz w:val="20"/>
              </w:rPr>
              <w:t>v1.0 - sample long-form contract</w:t>
            </w:r>
          </w:p>
        </w:tc>
      </w:tr>
      <w:tr>
        <w:tc>
          <w:tcPr>
            <w:tcW w:type="dxa" w:w="2835"/>
            <w:vAlign w:val="center"/>
            <w:tcMar>
              <w:top w:w="90" w:type="dxa"/>
              <w:start w:w="120" w:type="dxa"/>
              <w:bottom w:w="90" w:type="dxa"/>
              <w:end w:w="120" w:type="dxa"/>
            </w:tcMar>
            <w:shd w:fill="DCE6F1"/>
          </w:tcPr>
          <w:p>
            <w:pPr>
              <w:jc w:val="left"/>
            </w:pPr>
            <w:r>
              <w:rPr>
                <w:rFonts w:ascii="Aptos" w:hAnsi="Aptos"/>
                <w:b/>
                <w:i w:val="0"/>
                <w:color w:val="1F3A5F"/>
                <w:sz w:val="20"/>
              </w:rPr>
              <w:t>Prepared For</w:t>
            </w:r>
          </w:p>
        </w:tc>
        <w:tc>
          <w:tcPr>
            <w:tcW w:type="dxa" w:w="5386"/>
            <w:vAlign w:val="center"/>
            <w:tcMar>
              <w:top w:w="90" w:type="dxa"/>
              <w:start w:w="120" w:type="dxa"/>
              <w:bottom w:w="90" w:type="dxa"/>
              <w:end w:w="120" w:type="dxa"/>
            </w:tcMar>
            <w:shd w:fill="F8FBFD"/>
          </w:tcPr>
          <w:p>
            <w:r>
              <w:rPr>
                <w:rFonts w:ascii="Aptos" w:hAnsi="Aptos"/>
                <w:b w:val="0"/>
                <w:i w:val="0"/>
                <w:sz w:val="20"/>
              </w:rPr>
              <w:t>[Insert business unit / category / region]</w:t>
            </w:r>
          </w:p>
        </w:tc>
      </w:tr>
    </w:tbl>
    <w:p>
      <w:pPr>
        <w:spacing w:before="200" w:after="0" w:line="276" w:lineRule="auto"/>
        <w:jc w:val="center"/>
      </w:pPr>
      <w:r>
        <w:rPr>
          <w:rFonts w:ascii="Aptos" w:hAnsi="Aptos"/>
          <w:b w:val="0"/>
          <w:i/>
          <w:color w:val="7F7F7F"/>
          <w:sz w:val="18"/>
        </w:rPr>
        <w:t>Confidential - Sample Template</w:t>
      </w:r>
    </w:p>
    <w:p>
      <w:r>
        <w:br w:type="page"/>
      </w:r>
    </w:p>
    <w:p>
      <w:pPr>
        <w:pStyle w:val="Heading1"/>
        <w:spacing w:before="160" w:after="60" w:line="276" w:lineRule="auto"/>
      </w:pPr>
      <w:r>
        <w:rPr>
          <w:rFonts w:ascii="Aptos" w:hAnsi="Aptos"/>
          <w:b/>
          <w:i w:val="0"/>
          <w:color w:val="1F3A5F"/>
          <w:sz w:val="26"/>
        </w:rPr>
        <w:t>Parties and Recitals</w:t>
      </w:r>
    </w:p>
    <w:p>
      <w:pPr>
        <w:spacing w:before="0" w:after="40" w:line="276" w:lineRule="auto"/>
      </w:pPr>
      <w:r>
        <w:rPr>
          <w:rFonts w:ascii="Aptos" w:hAnsi="Aptos"/>
          <w:b w:val="0"/>
          <w:i w:val="0"/>
          <w:sz w:val="20"/>
        </w:rPr>
        <w:t>This Master Transportation Services Agreement ("Agreement") is made on the Effective Date by and between:</w:t>
      </w:r>
    </w:p>
    <w:p>
      <w:pPr>
        <w:spacing w:before="0" w:after="20" w:line="276" w:lineRule="auto"/>
        <w:ind w:left="340" w:hanging="170"/>
      </w:pPr>
      <w:r>
        <w:rPr>
          <w:rFonts w:ascii="Aptos" w:hAnsi="Aptos"/>
          <w:b w:val="0"/>
          <w:i w:val="0"/>
          <w:sz w:val="20"/>
        </w:rPr>
        <w:t>• [Aggregator Legal Name], a company incorporated under the laws of [Jurisdiction], having its registered office at [Address] ("Aggregator"); and</w:t>
      </w:r>
    </w:p>
    <w:p>
      <w:pPr>
        <w:spacing w:before="0" w:after="20" w:line="276" w:lineRule="auto"/>
        <w:ind w:left="340" w:hanging="170"/>
      </w:pPr>
      <w:r>
        <w:rPr>
          <w:rFonts w:ascii="Aptos" w:hAnsi="Aptos"/>
          <w:b w:val="0"/>
          <w:i w:val="0"/>
          <w:sz w:val="20"/>
        </w:rPr>
        <w:t>• [Carrier Legal Name], a company / LLP / proprietorship / partnership organized under the laws of [Jurisdiction], having its registered office at [Address] ("Carrier").</w:t>
      </w:r>
    </w:p>
    <w:p>
      <w:pPr>
        <w:spacing w:before="0" w:after="40" w:line="276" w:lineRule="auto"/>
      </w:pPr>
      <w:r>
        <w:rPr>
          <w:rFonts w:ascii="Aptos" w:hAnsi="Aptos"/>
          <w:b w:val="0"/>
          <w:i w:val="0"/>
          <w:sz w:val="20"/>
        </w:rPr>
        <w:t>The Aggregator and the Carrier are each a "Party" and together the "Parties."</w:t>
      </w:r>
    </w:p>
    <w:p>
      <w:pPr>
        <w:spacing w:before="40" w:after="40" w:line="276" w:lineRule="auto"/>
      </w:pPr>
      <w:r>
        <w:rPr>
          <w:rFonts w:ascii="Aptos" w:hAnsi="Aptos"/>
          <w:b/>
          <w:i w:val="0"/>
          <w:color w:val="1F3A5F"/>
          <w:sz w:val="20"/>
        </w:rPr>
        <w:t xml:space="preserve">A  Recital. </w:t>
      </w:r>
      <w:r>
        <w:rPr>
          <w:rFonts w:ascii="Aptos" w:hAnsi="Aptos"/>
          <w:b w:val="0"/>
          <w:i w:val="0"/>
          <w:sz w:val="20"/>
        </w:rPr>
        <w:t>The Aggregator operates as a third-party logistics marketplace, control tower, managed transportation platform, and/or logistics orchestrator serving multiple shippers, consignees, merchants, and enterprise customers.</w:t>
      </w:r>
    </w:p>
    <w:p>
      <w:pPr>
        <w:spacing w:before="40" w:after="40" w:line="276" w:lineRule="auto"/>
      </w:pPr>
      <w:r>
        <w:rPr>
          <w:rFonts w:ascii="Aptos" w:hAnsi="Aptos"/>
          <w:b/>
          <w:i w:val="0"/>
          <w:color w:val="1F3A5F"/>
          <w:sz w:val="20"/>
        </w:rPr>
        <w:t xml:space="preserve">B  Recital. </w:t>
      </w:r>
      <w:r>
        <w:rPr>
          <w:rFonts w:ascii="Aptos" w:hAnsi="Aptos"/>
          <w:b w:val="0"/>
          <w:i w:val="0"/>
          <w:sz w:val="20"/>
        </w:rPr>
        <w:t>The Carrier represents that it has the operational capability, licenses, vehicles, manpower, technology enablement, insurance coverage, and financial standing required to undertake the Services.</w:t>
      </w:r>
    </w:p>
    <w:p>
      <w:pPr>
        <w:spacing w:before="40" w:after="40" w:line="276" w:lineRule="auto"/>
      </w:pPr>
      <w:r>
        <w:rPr>
          <w:rFonts w:ascii="Aptos" w:hAnsi="Aptos"/>
          <w:b/>
          <w:i w:val="0"/>
          <w:color w:val="1F3A5F"/>
          <w:sz w:val="20"/>
        </w:rPr>
        <w:t xml:space="preserve">C  Recital. </w:t>
      </w:r>
      <w:r>
        <w:rPr>
          <w:rFonts w:ascii="Aptos" w:hAnsi="Aptos"/>
          <w:b w:val="0"/>
          <w:i w:val="0"/>
          <w:sz w:val="20"/>
        </w:rPr>
        <w:t>The Parties desire to establish a detailed, auditable, and commercially enforceable framework for the tendering, execution, monitoring, pricing, payment, discounting, crediting, penalty administration, and risk allocation relating to the Services.</w:t>
      </w:r>
    </w:p>
    <w:p>
      <w:pPr>
        <w:pStyle w:val="Heading1"/>
        <w:spacing w:before="160" w:after="60" w:line="276" w:lineRule="auto"/>
      </w:pPr>
      <w:r>
        <w:rPr>
          <w:rFonts w:ascii="Aptos" w:hAnsi="Aptos"/>
          <w:b/>
          <w:i w:val="0"/>
          <w:color w:val="1F3A5F"/>
          <w:sz w:val="26"/>
        </w:rPr>
        <w:t>1. Definitions and Interpretation</w:t>
      </w:r>
    </w:p>
    <w:p>
      <w:pPr>
        <w:spacing w:before="40" w:after="40" w:line="276" w:lineRule="auto"/>
      </w:pPr>
      <w:r>
        <w:rPr>
          <w:rFonts w:ascii="Aptos" w:hAnsi="Aptos"/>
          <w:b/>
          <w:i w:val="0"/>
          <w:color w:val="1F3A5F"/>
          <w:sz w:val="20"/>
        </w:rPr>
        <w:t xml:space="preserve">1.1  Affiliate. </w:t>
      </w:r>
      <w:r>
        <w:rPr>
          <w:rFonts w:ascii="Aptos" w:hAnsi="Aptos"/>
          <w:b w:val="0"/>
          <w:i w:val="0"/>
          <w:sz w:val="20"/>
        </w:rPr>
        <w:t>with respect to a Party, any entity controlling, controlled by, or under common control with that Party.</w:t>
      </w:r>
    </w:p>
    <w:p>
      <w:pPr>
        <w:spacing w:before="40" w:after="40" w:line="276" w:lineRule="auto"/>
      </w:pPr>
      <w:r>
        <w:rPr>
          <w:rFonts w:ascii="Aptos" w:hAnsi="Aptos"/>
          <w:b/>
          <w:i w:val="0"/>
          <w:color w:val="1F3A5F"/>
          <w:sz w:val="20"/>
        </w:rPr>
        <w:t xml:space="preserve">1.2  Applicable Law. </w:t>
      </w:r>
      <w:r>
        <w:rPr>
          <w:rFonts w:ascii="Aptos" w:hAnsi="Aptos"/>
          <w:b w:val="0"/>
          <w:i w:val="0"/>
          <w:sz w:val="20"/>
        </w:rPr>
        <w:t>all statutes, rules, regulations, permits, notifications, subordinate legislation, governmental directions, and binding industry requirements applicable to the Services, the vehicles, the personnel, the data processed, and the Parties' performance.</w:t>
      </w:r>
    </w:p>
    <w:p>
      <w:pPr>
        <w:spacing w:before="40" w:after="40" w:line="276" w:lineRule="auto"/>
      </w:pPr>
      <w:r>
        <w:rPr>
          <w:rFonts w:ascii="Aptos" w:hAnsi="Aptos"/>
          <w:b/>
          <w:i w:val="0"/>
          <w:color w:val="1F3A5F"/>
          <w:sz w:val="20"/>
        </w:rPr>
        <w:t xml:space="preserve">1.3  Business Day. </w:t>
      </w:r>
      <w:r>
        <w:rPr>
          <w:rFonts w:ascii="Aptos" w:hAnsi="Aptos"/>
          <w:b w:val="0"/>
          <w:i w:val="0"/>
          <w:sz w:val="20"/>
        </w:rPr>
        <w:t>a day other than Saturday, Sunday, or a public holiday in the city stated in Schedule H, unless the relevant Service Order specifies a different local operational calendar.</w:t>
      </w:r>
    </w:p>
    <w:p>
      <w:pPr>
        <w:spacing w:before="40" w:after="40" w:line="276" w:lineRule="auto"/>
      </w:pPr>
      <w:r>
        <w:rPr>
          <w:rFonts w:ascii="Aptos" w:hAnsi="Aptos"/>
          <w:b/>
          <w:i w:val="0"/>
          <w:color w:val="1F3A5F"/>
          <w:sz w:val="20"/>
        </w:rPr>
        <w:t xml:space="preserve">1.4  Chargeable Weight. </w:t>
      </w:r>
      <w:r>
        <w:rPr>
          <w:rFonts w:ascii="Aptos" w:hAnsi="Aptos"/>
          <w:b w:val="0"/>
          <w:i w:val="0"/>
          <w:sz w:val="20"/>
        </w:rPr>
        <w:t>the higher of actual dead weight and volumetric weight, calculated in accordance with the dimensional formula stated in Schedule A.</w:t>
      </w:r>
    </w:p>
    <w:p>
      <w:pPr>
        <w:spacing w:before="40" w:after="40" w:line="276" w:lineRule="auto"/>
      </w:pPr>
      <w:r>
        <w:rPr>
          <w:rFonts w:ascii="Aptos" w:hAnsi="Aptos"/>
          <w:b/>
          <w:i w:val="0"/>
          <w:color w:val="1F3A5F"/>
          <w:sz w:val="20"/>
        </w:rPr>
        <w:t xml:space="preserve">1.5  Claim. </w:t>
      </w:r>
      <w:r>
        <w:rPr>
          <w:rFonts w:ascii="Aptos" w:hAnsi="Aptos"/>
          <w:b w:val="0"/>
          <w:i w:val="0"/>
          <w:sz w:val="20"/>
        </w:rPr>
        <w:t>any claim, demand, action, penalty, fine, loss, damage, cost, expense, set-off, debit note, chargeback, refund demand, customer deduction, or proceeding of any kind.</w:t>
      </w:r>
    </w:p>
    <w:p>
      <w:pPr>
        <w:spacing w:before="40" w:after="40" w:line="276" w:lineRule="auto"/>
      </w:pPr>
      <w:r>
        <w:rPr>
          <w:rFonts w:ascii="Aptos" w:hAnsi="Aptos"/>
          <w:b/>
          <w:i w:val="0"/>
          <w:color w:val="1F3A5F"/>
          <w:sz w:val="20"/>
        </w:rPr>
        <w:t xml:space="preserve">1.6  Delivery Attempt. </w:t>
      </w:r>
      <w:r>
        <w:rPr>
          <w:rFonts w:ascii="Aptos" w:hAnsi="Aptos"/>
          <w:b w:val="0"/>
          <w:i w:val="0"/>
          <w:sz w:val="20"/>
        </w:rPr>
        <w:t>a bona fide physical attempt at delivery at the correct geo-tagged destination, evidenced by the timestamped and geostamped protocol described in Schedule G.</w:t>
      </w:r>
    </w:p>
    <w:p>
      <w:pPr>
        <w:spacing w:before="40" w:after="40" w:line="276" w:lineRule="auto"/>
      </w:pPr>
      <w:r>
        <w:rPr>
          <w:rFonts w:ascii="Aptos" w:hAnsi="Aptos"/>
          <w:b/>
          <w:i w:val="0"/>
          <w:color w:val="1F3A5F"/>
          <w:sz w:val="20"/>
        </w:rPr>
        <w:t xml:space="preserve">1.7  Fraud Event. </w:t>
      </w:r>
      <w:r>
        <w:rPr>
          <w:rFonts w:ascii="Aptos" w:hAnsi="Aptos"/>
          <w:b w:val="0"/>
          <w:i w:val="0"/>
          <w:sz w:val="20"/>
        </w:rPr>
        <w:t>any intentional falsification, forged POD, false scan, fabricated non-delivery reason, route spoofing, cash retention, substitute vehicle misrepresentation, theft, collusion, or deliberate manipulation of the Aggregator's systems, customers, rates, or operational records.</w:t>
      </w:r>
    </w:p>
    <w:p>
      <w:pPr>
        <w:spacing w:before="40" w:after="40" w:line="276" w:lineRule="auto"/>
      </w:pPr>
      <w:r>
        <w:rPr>
          <w:rFonts w:ascii="Aptos" w:hAnsi="Aptos"/>
          <w:b/>
          <w:i w:val="0"/>
          <w:color w:val="1F3A5F"/>
          <w:sz w:val="20"/>
        </w:rPr>
        <w:t xml:space="preserve">1.8  Loss Event. </w:t>
      </w:r>
      <w:r>
        <w:rPr>
          <w:rFonts w:ascii="Aptos" w:hAnsi="Aptos"/>
          <w:b w:val="0"/>
          <w:i w:val="0"/>
          <w:sz w:val="20"/>
        </w:rPr>
        <w:t>loss, theft, pilferage, short delivery, contamination, wet damage, breakage, tampering, misroute, unauthorized return, or irreversible service failure while the Shipment is in the custody or control of the Carrier.</w:t>
      </w:r>
    </w:p>
    <w:p>
      <w:pPr>
        <w:spacing w:before="40" w:after="40" w:line="276" w:lineRule="auto"/>
      </w:pPr>
      <w:r>
        <w:rPr>
          <w:rFonts w:ascii="Aptos" w:hAnsi="Aptos"/>
          <w:b/>
          <w:i w:val="0"/>
          <w:color w:val="1F3A5F"/>
          <w:sz w:val="20"/>
        </w:rPr>
        <w:t xml:space="preserve">1.9  Service Order. </w:t>
      </w:r>
      <w:r>
        <w:rPr>
          <w:rFonts w:ascii="Aptos" w:hAnsi="Aptos"/>
          <w:b w:val="0"/>
          <w:i w:val="0"/>
          <w:sz w:val="20"/>
        </w:rPr>
        <w:t>any tender, trip sheet, lane booking, digital assignment, rate confirmation, API tender, route manifest, or other written/electronic instruction issued by or on behalf of the Aggregator.</w:t>
      </w:r>
    </w:p>
    <w:p>
      <w:pPr>
        <w:spacing w:before="40" w:after="40" w:line="276" w:lineRule="auto"/>
      </w:pPr>
      <w:r>
        <w:rPr>
          <w:rFonts w:ascii="Aptos" w:hAnsi="Aptos"/>
          <w:b/>
          <w:i w:val="0"/>
          <w:color w:val="1F3A5F"/>
          <w:sz w:val="20"/>
        </w:rPr>
        <w:t xml:space="preserve">1.10  Services. </w:t>
      </w:r>
      <w:r>
        <w:rPr>
          <w:rFonts w:ascii="Aptos" w:hAnsi="Aptos"/>
          <w:b w:val="0"/>
          <w:i w:val="0"/>
          <w:sz w:val="20"/>
        </w:rPr>
        <w:t>the transportation, pickup, consolidation, linehaul, last-mile, reverse logistics, COD handling, loading or unloading, appointment management, exception handling, proof management, and all related services described in this Agreement and the relevant Service Order.</w:t>
      </w:r>
    </w:p>
    <w:p>
      <w:pPr>
        <w:spacing w:before="40" w:after="40" w:line="276" w:lineRule="auto"/>
      </w:pPr>
      <w:r>
        <w:rPr>
          <w:rFonts w:ascii="Aptos" w:hAnsi="Aptos"/>
          <w:b/>
          <w:i w:val="0"/>
          <w:color w:val="1F3A5F"/>
          <w:sz w:val="20"/>
        </w:rPr>
        <w:t xml:space="preserve">1.11  Interpretation. </w:t>
      </w:r>
      <w:r>
        <w:rPr>
          <w:rFonts w:ascii="Aptos" w:hAnsi="Aptos"/>
          <w:b w:val="0"/>
          <w:i w:val="0"/>
          <w:sz w:val="20"/>
        </w:rPr>
        <w:t>References to a month mean a calendar month; references to including mean including without limitation; headings are for convenience only; the singular includes the plural and vice versa; and in case of conflict the descending order of precedence shall be: signed amendment, Service Order-specific commercial addendum, body of this Agreement, schedules, SOPs, and standard operating communications.</w:t>
      </w:r>
    </w:p>
    <w:p>
      <w:pPr>
        <w:pStyle w:val="Heading1"/>
        <w:spacing w:before="160" w:after="60" w:line="276" w:lineRule="auto"/>
      </w:pPr>
      <w:r>
        <w:rPr>
          <w:rFonts w:ascii="Aptos" w:hAnsi="Aptos"/>
          <w:b/>
          <w:i w:val="0"/>
          <w:color w:val="1F3A5F"/>
          <w:sz w:val="26"/>
        </w:rPr>
        <w:t>2. Appointment, Nature of Engagement, and Scope</w:t>
      </w:r>
    </w:p>
    <w:p>
      <w:pPr>
        <w:spacing w:before="40" w:after="40" w:line="276" w:lineRule="auto"/>
      </w:pPr>
      <w:r>
        <w:rPr>
          <w:rFonts w:ascii="Aptos" w:hAnsi="Aptos"/>
          <w:b/>
          <w:i w:val="0"/>
          <w:color w:val="1F3A5F"/>
          <w:sz w:val="20"/>
        </w:rPr>
        <w:t xml:space="preserve">2.1  Appointment. </w:t>
      </w:r>
      <w:r>
        <w:rPr>
          <w:rFonts w:ascii="Aptos" w:hAnsi="Aptos"/>
          <w:b w:val="0"/>
          <w:i w:val="0"/>
          <w:sz w:val="20"/>
        </w:rPr>
        <w:t>The Aggregator hereby appoints the Carrier, on a non-exclusive basis unless a lane or region is expressly identified as semi-exclusive or exclusive in a signed addendum, to provide the Services for Shipments tendered by the Aggregator from time to time, and the Carrier accepts such appointment subject to the terms herein.</w:t>
      </w:r>
    </w:p>
    <w:p>
      <w:pPr>
        <w:spacing w:before="40" w:after="40" w:line="276" w:lineRule="auto"/>
      </w:pPr>
      <w:r>
        <w:rPr>
          <w:rFonts w:ascii="Aptos" w:hAnsi="Aptos"/>
          <w:b/>
          <w:i w:val="0"/>
          <w:color w:val="1F3A5F"/>
          <w:sz w:val="20"/>
        </w:rPr>
        <w:t xml:space="preserve">2.2  Independent Contractor. </w:t>
      </w:r>
      <w:r>
        <w:rPr>
          <w:rFonts w:ascii="Aptos" w:hAnsi="Aptos"/>
          <w:b w:val="0"/>
          <w:i w:val="0"/>
          <w:sz w:val="20"/>
        </w:rPr>
        <w:t>The Carrier acts solely as an independent contractor and shall have no authority to bind the Aggregator, represent itself as the Aggregator's agent, or create obligations in the name of the Aggregator except to the extent expressly authorized in writing for operational execution.</w:t>
      </w:r>
    </w:p>
    <w:p>
      <w:pPr>
        <w:spacing w:before="40" w:after="40" w:line="276" w:lineRule="auto"/>
      </w:pPr>
      <w:r>
        <w:rPr>
          <w:rFonts w:ascii="Aptos" w:hAnsi="Aptos"/>
          <w:b/>
          <w:i w:val="0"/>
          <w:color w:val="1F3A5F"/>
          <w:sz w:val="20"/>
        </w:rPr>
        <w:t xml:space="preserve">2.3  No Volume Commitment. </w:t>
      </w:r>
      <w:r>
        <w:rPr>
          <w:rFonts w:ascii="Aptos" w:hAnsi="Aptos"/>
          <w:b w:val="0"/>
          <w:i w:val="0"/>
          <w:sz w:val="20"/>
        </w:rPr>
        <w:t>Except where a minimum commitment is expressly stated in Schedule A or a lane annexure, the Aggregator does not guarantee any minimum volume, revenue, route density, fleet utilization, or loading pattern.</w:t>
      </w:r>
    </w:p>
    <w:p>
      <w:pPr>
        <w:spacing w:before="40" w:after="40" w:line="276" w:lineRule="auto"/>
      </w:pPr>
      <w:r>
        <w:rPr>
          <w:rFonts w:ascii="Aptos" w:hAnsi="Aptos"/>
          <w:b/>
          <w:i w:val="0"/>
          <w:color w:val="1F3A5F"/>
          <w:sz w:val="20"/>
        </w:rPr>
        <w:t xml:space="preserve">2.4  Services Included. </w:t>
      </w:r>
      <w:r>
        <w:rPr>
          <w:rFonts w:ascii="Aptos" w:hAnsi="Aptos"/>
          <w:b w:val="0"/>
          <w:i w:val="0"/>
          <w:sz w:val="20"/>
        </w:rPr>
        <w:t>The Services include first-mile pickup, node-to-node transfer, linehaul, hub operations support, last-mile delivery, reverse pickup, return-to-origin, COD handling, exception reporting, tracking, proof management, and such ancillary services as may be required for successful completion of a Shipment.</w:t>
      </w:r>
    </w:p>
    <w:p>
      <w:pPr>
        <w:spacing w:before="40" w:after="40" w:line="276" w:lineRule="auto"/>
      </w:pPr>
      <w:r>
        <w:rPr>
          <w:rFonts w:ascii="Aptos" w:hAnsi="Aptos"/>
          <w:b/>
          <w:i w:val="0"/>
          <w:color w:val="1F3A5F"/>
          <w:sz w:val="20"/>
        </w:rPr>
        <w:t xml:space="preserve">2.5  Aggregator Flexibility. </w:t>
      </w:r>
      <w:r>
        <w:rPr>
          <w:rFonts w:ascii="Aptos" w:hAnsi="Aptos"/>
          <w:b w:val="0"/>
          <w:i w:val="0"/>
          <w:sz w:val="20"/>
        </w:rPr>
        <w:t>The Aggregator may split, rebundle, cancel, re-sequence, reassign, consolidate, de-consolidate, or partially allocate volumes between the Carrier and any other carrier without liability, provided completed services shall remain payable in accordance with this Agreement.</w:t>
      </w:r>
    </w:p>
    <w:p>
      <w:pPr>
        <w:pStyle w:val="Heading1"/>
        <w:spacing w:before="160" w:after="60" w:line="276" w:lineRule="auto"/>
      </w:pPr>
      <w:r>
        <w:rPr>
          <w:rFonts w:ascii="Aptos" w:hAnsi="Aptos"/>
          <w:b/>
          <w:i w:val="0"/>
          <w:color w:val="1F3A5F"/>
          <w:sz w:val="26"/>
        </w:rPr>
        <w:t>3. Onboarding, Documentation, Security Deposit, and Continuing Eligibility</w:t>
      </w:r>
    </w:p>
    <w:p>
      <w:pPr>
        <w:spacing w:before="40" w:after="40" w:line="276" w:lineRule="auto"/>
      </w:pPr>
      <w:r>
        <w:rPr>
          <w:rFonts w:ascii="Aptos" w:hAnsi="Aptos"/>
          <w:b/>
          <w:i w:val="0"/>
          <w:color w:val="1F3A5F"/>
          <w:sz w:val="20"/>
        </w:rPr>
        <w:t xml:space="preserve">3.1  Condition Precedent. </w:t>
      </w:r>
      <w:r>
        <w:rPr>
          <w:rFonts w:ascii="Aptos" w:hAnsi="Aptos"/>
          <w:b w:val="0"/>
          <w:i w:val="0"/>
          <w:sz w:val="20"/>
        </w:rPr>
        <w:t>The Carrier shall not commence Services unless and until it has submitted all onboarding documents listed in Schedule D and the Aggregator has confirmed operational activation.</w:t>
      </w:r>
    </w:p>
    <w:p>
      <w:pPr>
        <w:spacing w:before="40" w:after="40" w:line="276" w:lineRule="auto"/>
      </w:pPr>
      <w:r>
        <w:rPr>
          <w:rFonts w:ascii="Aptos" w:hAnsi="Aptos"/>
          <w:b/>
          <w:i w:val="0"/>
          <w:color w:val="1F3A5F"/>
          <w:sz w:val="20"/>
        </w:rPr>
        <w:t xml:space="preserve">3.2  Continuing Validity. </w:t>
      </w:r>
      <w:r>
        <w:rPr>
          <w:rFonts w:ascii="Aptos" w:hAnsi="Aptos"/>
          <w:b w:val="0"/>
          <w:i w:val="0"/>
          <w:sz w:val="20"/>
        </w:rPr>
        <w:t>The Carrier shall ensure that all licenses, permits, insurance policies, registrations, vehicle documents, and employee/driver credentials remain valid throughout the Term, and shall upload renewed copies at least seven (7) days before expiry.</w:t>
      </w:r>
    </w:p>
    <w:p>
      <w:pPr>
        <w:spacing w:before="40" w:after="40" w:line="276" w:lineRule="auto"/>
      </w:pPr>
      <w:r>
        <w:rPr>
          <w:rFonts w:ascii="Aptos" w:hAnsi="Aptos"/>
          <w:b/>
          <w:i w:val="0"/>
          <w:color w:val="1F3A5F"/>
          <w:sz w:val="20"/>
        </w:rPr>
        <w:t xml:space="preserve">3.3  Performance Security. </w:t>
      </w:r>
      <w:r>
        <w:rPr>
          <w:rFonts w:ascii="Aptos" w:hAnsi="Aptos"/>
          <w:b w:val="0"/>
          <w:i w:val="0"/>
          <w:sz w:val="20"/>
        </w:rPr>
        <w:t>As security for due performance, claims exposure, COD exposure, and commercial adjustments, the Carrier shall maintain with the Aggregator either (a) an interest-free security deposit equal to the greater of INR 500,000 or 7.5% of the trailing two months' gross billed value, or (b) an unconditional bank guarantee in the same amount and form acceptable to the Aggregator.</w:t>
      </w:r>
    </w:p>
    <w:p>
      <w:pPr>
        <w:spacing w:before="40" w:after="40" w:line="276" w:lineRule="auto"/>
      </w:pPr>
      <w:r>
        <w:rPr>
          <w:rFonts w:ascii="Aptos" w:hAnsi="Aptos"/>
          <w:b/>
          <w:i w:val="0"/>
          <w:color w:val="1F3A5F"/>
          <w:sz w:val="20"/>
        </w:rPr>
        <w:t xml:space="preserve">3.4  Risk Reserve Holdback. </w:t>
      </w:r>
      <w:r>
        <w:rPr>
          <w:rFonts w:ascii="Aptos" w:hAnsi="Aptos"/>
          <w:b w:val="0"/>
          <w:i w:val="0"/>
          <w:sz w:val="20"/>
        </w:rPr>
        <w:t>In addition to the performance security, the Aggregator may withhold up to 5% of each monthly invoice as a rolling risk reserve; the reserve shall ordinarily be released after ninety (90) days subject to pending claims, open COD reconciliation, audit observations, and unresolved debit notes.</w:t>
      </w:r>
    </w:p>
    <w:p>
      <w:pPr>
        <w:spacing w:before="40" w:after="40" w:line="276" w:lineRule="auto"/>
      </w:pPr>
      <w:r>
        <w:rPr>
          <w:rFonts w:ascii="Aptos" w:hAnsi="Aptos"/>
          <w:b/>
          <w:i w:val="0"/>
          <w:color w:val="1F3A5F"/>
          <w:sz w:val="20"/>
        </w:rPr>
        <w:t xml:space="preserve">3.5  Eligibility Suspension. </w:t>
      </w:r>
      <w:r>
        <w:rPr>
          <w:rFonts w:ascii="Aptos" w:hAnsi="Aptos"/>
          <w:b w:val="0"/>
          <w:i w:val="0"/>
          <w:sz w:val="20"/>
        </w:rPr>
        <w:t>The Aggregator may suspend new allocations immediately upon document expiry, repeated service failure, insurance lapse, unresolved security shortfall, or any Fraud Event.</w:t>
      </w:r>
    </w:p>
    <w:p>
      <w:pPr>
        <w:pStyle w:val="Heading1"/>
        <w:spacing w:before="160" w:after="60" w:line="276" w:lineRule="auto"/>
      </w:pPr>
      <w:r>
        <w:rPr>
          <w:rFonts w:ascii="Aptos" w:hAnsi="Aptos"/>
          <w:b/>
          <w:i w:val="0"/>
          <w:color w:val="1F3A5F"/>
          <w:sz w:val="26"/>
        </w:rPr>
        <w:t>4. Service Orders, Acceptance, Execution, and Substitution Controls</w:t>
      </w:r>
    </w:p>
    <w:p>
      <w:pPr>
        <w:spacing w:before="40" w:after="40" w:line="276" w:lineRule="auto"/>
      </w:pPr>
      <w:r>
        <w:rPr>
          <w:rFonts w:ascii="Aptos" w:hAnsi="Aptos"/>
          <w:b/>
          <w:i w:val="0"/>
          <w:color w:val="1F3A5F"/>
          <w:sz w:val="20"/>
        </w:rPr>
        <w:t xml:space="preserve">4.1  Tender and Acceptance Window. </w:t>
      </w:r>
      <w:r>
        <w:rPr>
          <w:rFonts w:ascii="Aptos" w:hAnsi="Aptos"/>
          <w:b w:val="0"/>
          <w:i w:val="0"/>
          <w:sz w:val="20"/>
        </w:rPr>
        <w:t>The Carrier shall accept or reject each Service Order within the response TAT stated in Schedule B; silence after expiry of the response TAT shall be deemed rejection and may attract tender responsiveness penalties if acceptance ratios fall below the threshold.</w:t>
      </w:r>
    </w:p>
    <w:p>
      <w:pPr>
        <w:spacing w:before="40" w:after="40" w:line="276" w:lineRule="auto"/>
      </w:pPr>
      <w:r>
        <w:rPr>
          <w:rFonts w:ascii="Aptos" w:hAnsi="Aptos"/>
          <w:b/>
          <w:i w:val="0"/>
          <w:color w:val="1F3A5F"/>
          <w:sz w:val="20"/>
        </w:rPr>
        <w:t xml:space="preserve">4.2  Binding Effect. </w:t>
      </w:r>
      <w:r>
        <w:rPr>
          <w:rFonts w:ascii="Aptos" w:hAnsi="Aptos"/>
          <w:b w:val="0"/>
          <w:i w:val="0"/>
          <w:sz w:val="20"/>
        </w:rPr>
        <w:t>Once accepted, the Service Order becomes binding and may not be cancelled by the Carrier except on a documented Force Majeure Event, law-and-order issue, vehicle breakdown with evidence, or a written waiver from the Aggregator.</w:t>
      </w:r>
    </w:p>
    <w:p>
      <w:pPr>
        <w:spacing w:before="40" w:after="40" w:line="276" w:lineRule="auto"/>
      </w:pPr>
      <w:r>
        <w:rPr>
          <w:rFonts w:ascii="Aptos" w:hAnsi="Aptos"/>
          <w:b/>
          <w:i w:val="0"/>
          <w:color w:val="1F3A5F"/>
          <w:sz w:val="20"/>
        </w:rPr>
        <w:t xml:space="preserve">4.3  Vehicle Placement. </w:t>
      </w:r>
      <w:r>
        <w:rPr>
          <w:rFonts w:ascii="Aptos" w:hAnsi="Aptos"/>
          <w:b w:val="0"/>
          <w:i w:val="0"/>
          <w:sz w:val="20"/>
        </w:rPr>
        <w:t>The Carrier shall place the agreed vehicle type, driver, and equipment at the designated pickup point within the reporting window; unauthorized down-gauging, substitute vehicles, or unapproved subcontracting shall constitute a material operational breach.</w:t>
      </w:r>
    </w:p>
    <w:p>
      <w:pPr>
        <w:spacing w:before="40" w:after="40" w:line="276" w:lineRule="auto"/>
      </w:pPr>
      <w:r>
        <w:rPr>
          <w:rFonts w:ascii="Aptos" w:hAnsi="Aptos"/>
          <w:b/>
          <w:i w:val="0"/>
          <w:color w:val="1F3A5F"/>
          <w:sz w:val="20"/>
        </w:rPr>
        <w:t xml:space="preserve">4.4  Replacement Obligation. </w:t>
      </w:r>
      <w:r>
        <w:rPr>
          <w:rFonts w:ascii="Aptos" w:hAnsi="Aptos"/>
          <w:b w:val="0"/>
          <w:i w:val="0"/>
          <w:sz w:val="20"/>
        </w:rPr>
        <w:t>Where the originally planned vehicle becomes unavailable, the Carrier shall provide a compliant replacement within the grace window stated in Schedule B at no additional cost to the Aggregator unless pre-approved in writing.</w:t>
      </w:r>
    </w:p>
    <w:p>
      <w:pPr>
        <w:spacing w:before="40" w:after="40" w:line="276" w:lineRule="auto"/>
      </w:pPr>
      <w:r>
        <w:rPr>
          <w:rFonts w:ascii="Aptos" w:hAnsi="Aptos"/>
          <w:b/>
          <w:i w:val="0"/>
          <w:color w:val="1F3A5F"/>
          <w:sz w:val="20"/>
        </w:rPr>
        <w:t xml:space="preserve">4.5  Subcontracting Restriction. </w:t>
      </w:r>
      <w:r>
        <w:rPr>
          <w:rFonts w:ascii="Aptos" w:hAnsi="Aptos"/>
          <w:b w:val="0"/>
          <w:i w:val="0"/>
          <w:sz w:val="20"/>
        </w:rPr>
        <w:t>The Carrier shall not subcontract, broker, pass-through, or assign Shipments to third parties without prior written approval; approved subcontracting shall not diminish the Carrier's liability or payment responsibility.</w:t>
      </w:r>
    </w:p>
    <w:p>
      <w:pPr>
        <w:spacing w:before="40" w:after="40" w:line="276" w:lineRule="auto"/>
      </w:pPr>
      <w:r>
        <w:rPr>
          <w:rFonts w:ascii="Aptos" w:hAnsi="Aptos"/>
          <w:b/>
          <w:i w:val="0"/>
          <w:color w:val="1F3A5F"/>
          <w:sz w:val="20"/>
        </w:rPr>
        <w:t xml:space="preserve">4.6  Step-in Right. </w:t>
      </w:r>
      <w:r>
        <w:rPr>
          <w:rFonts w:ascii="Aptos" w:hAnsi="Aptos"/>
          <w:b w:val="0"/>
          <w:i w:val="0"/>
          <w:sz w:val="20"/>
        </w:rPr>
        <w:t>If the Carrier fails or is reasonably likely to fail to protect customer service, the Aggregator may procure substitute services from an alternate carrier and recover the differential cost, internal management fee, and customer deductions from amounts payable to the Carrier.</w:t>
      </w:r>
    </w:p>
    <w:p>
      <w:pPr>
        <w:pStyle w:val="Heading1"/>
        <w:spacing w:before="160" w:after="60" w:line="276" w:lineRule="auto"/>
      </w:pPr>
      <w:r>
        <w:rPr>
          <w:rFonts w:ascii="Aptos" w:hAnsi="Aptos"/>
          <w:b/>
          <w:i w:val="0"/>
          <w:color w:val="1F3A5F"/>
          <w:sz w:val="26"/>
        </w:rPr>
        <w:t>5. Service Levels, Scorecards, and Continuous Improvement</w:t>
      </w:r>
    </w:p>
    <w:p>
      <w:pPr>
        <w:spacing w:before="40" w:after="40" w:line="276" w:lineRule="auto"/>
      </w:pPr>
      <w:r>
        <w:rPr>
          <w:rFonts w:ascii="Aptos" w:hAnsi="Aptos"/>
          <w:b/>
          <w:i w:val="0"/>
          <w:color w:val="1F3A5F"/>
          <w:sz w:val="20"/>
        </w:rPr>
        <w:t xml:space="preserve">5.1  Service Metrics. </w:t>
      </w:r>
      <w:r>
        <w:rPr>
          <w:rFonts w:ascii="Aptos" w:hAnsi="Aptos"/>
          <w:b w:val="0"/>
          <w:i w:val="0"/>
          <w:sz w:val="20"/>
        </w:rPr>
        <w:t>The Carrier shall comply with the service levels in Schedule B, including acceptance ratio, on-time pickup, on-time delivery, first-attempt delivery success, scan compliance, POD turnaround, claim ratio, COD remittance discipline, GPS uptime, and complaint severity score.</w:t>
      </w:r>
    </w:p>
    <w:p>
      <w:pPr>
        <w:spacing w:before="40" w:after="40" w:line="276" w:lineRule="auto"/>
      </w:pPr>
      <w:r>
        <w:rPr>
          <w:rFonts w:ascii="Aptos" w:hAnsi="Aptos"/>
          <w:b/>
          <w:i w:val="0"/>
          <w:color w:val="1F3A5F"/>
          <w:sz w:val="20"/>
        </w:rPr>
        <w:t xml:space="preserve">5.2  Measurement Window. </w:t>
      </w:r>
      <w:r>
        <w:rPr>
          <w:rFonts w:ascii="Aptos" w:hAnsi="Aptos"/>
          <w:b w:val="0"/>
          <w:i w:val="0"/>
          <w:sz w:val="20"/>
        </w:rPr>
        <w:t>Metrics shall be measured monthly at Aggregator level and, where relevant, additionally by customer, lane, city, vehicle type, service class, and day-part. The Aggregator's TMS, control tower records, API logs, geolocation logs, and reconciled customer reports shall be prima facie evidence unless the Carrier disproves them with documentary proof within five (5) Business Days.</w:t>
      </w:r>
    </w:p>
    <w:p>
      <w:pPr>
        <w:spacing w:before="40" w:after="40" w:line="276" w:lineRule="auto"/>
      </w:pPr>
      <w:r>
        <w:rPr>
          <w:rFonts w:ascii="Aptos" w:hAnsi="Aptos"/>
          <w:b/>
          <w:i w:val="0"/>
          <w:color w:val="1F3A5F"/>
          <w:sz w:val="20"/>
        </w:rPr>
        <w:t xml:space="preserve">5.3  Improvement Plans. </w:t>
      </w:r>
      <w:r>
        <w:rPr>
          <w:rFonts w:ascii="Aptos" w:hAnsi="Aptos"/>
          <w:b w:val="0"/>
          <w:i w:val="0"/>
          <w:sz w:val="20"/>
        </w:rPr>
        <w:t>If the Carrier misses any critical KPI or any two non-critical KPIs in a calendar month, the Aggregator may require a written corrective action plan within three (3) Business Days and may suspend volume growth or remove specific lanes until performance stabilizes.</w:t>
      </w:r>
    </w:p>
    <w:p>
      <w:pPr>
        <w:spacing w:before="40" w:after="40" w:line="276" w:lineRule="auto"/>
      </w:pPr>
      <w:r>
        <w:rPr>
          <w:rFonts w:ascii="Aptos" w:hAnsi="Aptos"/>
          <w:b/>
          <w:i w:val="0"/>
          <w:color w:val="1F3A5F"/>
          <w:sz w:val="20"/>
        </w:rPr>
        <w:t xml:space="preserve">5.4  Chronic Failure. </w:t>
      </w:r>
      <w:r>
        <w:rPr>
          <w:rFonts w:ascii="Aptos" w:hAnsi="Aptos"/>
          <w:b w:val="0"/>
          <w:i w:val="0"/>
          <w:sz w:val="20"/>
        </w:rPr>
        <w:t>Failure to achieve the monthly scorecard floor for two consecutive months or any three months in a rolling six-month period shall constitute chronic service failure and a material breach.</w:t>
      </w:r>
    </w:p>
    <w:p>
      <w:pPr>
        <w:pStyle w:val="Heading1"/>
        <w:spacing w:before="160" w:after="60" w:line="276" w:lineRule="auto"/>
      </w:pPr>
      <w:r>
        <w:rPr>
          <w:rFonts w:ascii="Aptos" w:hAnsi="Aptos"/>
          <w:b/>
          <w:i w:val="0"/>
          <w:color w:val="1F3A5F"/>
          <w:sz w:val="26"/>
        </w:rPr>
        <w:t>6. Commercials, Rate Architecture, and Commercial Waterfall</w:t>
      </w:r>
    </w:p>
    <w:p>
      <w:pPr>
        <w:spacing w:before="40" w:after="40" w:line="276" w:lineRule="auto"/>
      </w:pPr>
      <w:r>
        <w:rPr>
          <w:rFonts w:ascii="Aptos" w:hAnsi="Aptos"/>
          <w:b/>
          <w:i w:val="0"/>
          <w:color w:val="1F3A5F"/>
          <w:sz w:val="20"/>
        </w:rPr>
        <w:t xml:space="preserve">6.1  Base Rates. </w:t>
      </w:r>
      <w:r>
        <w:rPr>
          <w:rFonts w:ascii="Aptos" w:hAnsi="Aptos"/>
          <w:b w:val="0"/>
          <w:i w:val="0"/>
          <w:sz w:val="20"/>
        </w:rPr>
        <w:t>Base rates are those set out in Schedule A and may be defined by lane, pin-code pair, zone, slab, vehicle type, trip type, kilometre band, weight slab, service category, or customer-specific annexure.</w:t>
      </w:r>
    </w:p>
    <w:p>
      <w:pPr>
        <w:spacing w:before="40" w:after="40" w:line="276" w:lineRule="auto"/>
      </w:pPr>
      <w:r>
        <w:rPr>
          <w:rFonts w:ascii="Aptos" w:hAnsi="Aptos"/>
          <w:b/>
          <w:i w:val="0"/>
          <w:color w:val="1F3A5F"/>
          <w:sz w:val="20"/>
        </w:rPr>
        <w:t xml:space="preserve">6.2  Rate Inclusivity. </w:t>
      </w:r>
      <w:r>
        <w:rPr>
          <w:rFonts w:ascii="Aptos" w:hAnsi="Aptos"/>
          <w:b w:val="0"/>
          <w:i w:val="0"/>
          <w:sz w:val="20"/>
        </w:rPr>
        <w:t>Unless expressly stated otherwise, base rates are all-inclusive of driver cost, fuel, lubricants, maintenance, permits, parking, local levies, handling manpower, hub operating cost, tolls, and ordinary waiting up to the free time threshold stated in Schedule A, but exclusive of GST charged in accordance with law.</w:t>
      </w:r>
    </w:p>
    <w:p>
      <w:pPr>
        <w:spacing w:before="40" w:after="40" w:line="276" w:lineRule="auto"/>
      </w:pPr>
      <w:r>
        <w:rPr>
          <w:rFonts w:ascii="Aptos" w:hAnsi="Aptos"/>
          <w:b/>
          <w:i w:val="0"/>
          <w:color w:val="1F3A5F"/>
          <w:sz w:val="20"/>
        </w:rPr>
        <w:t xml:space="preserve">6.3  Commercial Waterfall. </w:t>
      </w:r>
      <w:r>
        <w:rPr>
          <w:rFonts w:ascii="Aptos" w:hAnsi="Aptos"/>
          <w:b w:val="0"/>
          <w:i w:val="0"/>
          <w:sz w:val="20"/>
        </w:rPr>
        <w:t>The net payable amount for a billing period shall be calculated in the following waterfall: Gross eligible freight -&gt; approved ancillary charges -&gt; contractual discounts -&gt; volume rebates -&gt; credit notes -&gt; service credits due to the Carrier, if any -&gt; penalties, chargebacks, claim deductions, set-offs, reserve holdbacks, tax deductions, and other recoveries -&gt; Net Payable.</w:t>
      </w:r>
    </w:p>
    <w:p>
      <w:pPr>
        <w:spacing w:before="40" w:after="40" w:line="276" w:lineRule="auto"/>
      </w:pPr>
      <w:r>
        <w:rPr>
          <w:rFonts w:ascii="Aptos" w:hAnsi="Aptos"/>
          <w:b/>
          <w:i w:val="0"/>
          <w:color w:val="1F3A5F"/>
          <w:sz w:val="20"/>
        </w:rPr>
        <w:t xml:space="preserve">6.4  No Unapproved Charges. </w:t>
      </w:r>
      <w:r>
        <w:rPr>
          <w:rFonts w:ascii="Aptos" w:hAnsi="Aptos"/>
          <w:b w:val="0"/>
          <w:i w:val="0"/>
          <w:sz w:val="20"/>
        </w:rPr>
        <w:t>No detention, waiting, loading or unloading, holiday surcharge, out-of-route charge, address correction charge, route extension, or reattempt fee shall be payable unless expressly provided in Schedule A or pre-approved in writing through the Aggregator's commercial workflow.</w:t>
      </w:r>
    </w:p>
    <w:p>
      <w:pPr>
        <w:spacing w:before="40" w:after="40" w:line="276" w:lineRule="auto"/>
      </w:pPr>
      <w:r>
        <w:rPr>
          <w:rFonts w:ascii="Aptos" w:hAnsi="Aptos"/>
          <w:b/>
          <w:i w:val="0"/>
          <w:color w:val="1F3A5F"/>
          <w:sz w:val="20"/>
        </w:rPr>
        <w:t xml:space="preserve">6.5  Right to Renegotiate. </w:t>
      </w:r>
      <w:r>
        <w:rPr>
          <w:rFonts w:ascii="Aptos" w:hAnsi="Aptos"/>
          <w:b w:val="0"/>
          <w:i w:val="0"/>
          <w:sz w:val="20"/>
        </w:rPr>
        <w:t>If diesel prices move beyond the review thresholds, regulatory costs materially change, route density materially deteriorates, or customer-specific accessorial requirements change, either Party may seek a commercial review; no revised rate applies unless documented in writing.</w:t>
      </w:r>
    </w:p>
    <w:p>
      <w:pPr>
        <w:pStyle w:val="Heading1"/>
        <w:spacing w:before="160" w:after="60" w:line="276" w:lineRule="auto"/>
      </w:pPr>
      <w:r>
        <w:rPr>
          <w:rFonts w:ascii="Aptos" w:hAnsi="Aptos"/>
          <w:b/>
          <w:i w:val="0"/>
          <w:color w:val="1F3A5F"/>
          <w:sz w:val="26"/>
        </w:rPr>
        <w:t>7. Discounts, Rebates, Incentives, and Commercial Deductions</w:t>
      </w:r>
    </w:p>
    <w:p>
      <w:pPr>
        <w:spacing w:before="40" w:after="40" w:line="276" w:lineRule="auto"/>
      </w:pPr>
      <w:r>
        <w:rPr>
          <w:rFonts w:ascii="Aptos" w:hAnsi="Aptos"/>
          <w:b/>
          <w:i w:val="0"/>
          <w:color w:val="1F3A5F"/>
          <w:sz w:val="20"/>
        </w:rPr>
        <w:t xml:space="preserve">7.1  Early Payment Discount. </w:t>
      </w:r>
      <w:r>
        <w:rPr>
          <w:rFonts w:ascii="Aptos" w:hAnsi="Aptos"/>
          <w:b w:val="0"/>
          <w:i w:val="0"/>
          <w:sz w:val="20"/>
        </w:rPr>
        <w:t>If the Carrier elects an early payment cycle shorter than the standard credit period, the Aggregator may deduct an early payment discount at 1.25% of the gross approved invoice value for payment within 7 days, 0.90% for payment within 15 days, and 0.45% for payment within 21 days.</w:t>
      </w:r>
    </w:p>
    <w:p>
      <w:pPr>
        <w:spacing w:before="40" w:after="40" w:line="276" w:lineRule="auto"/>
      </w:pPr>
      <w:r>
        <w:rPr>
          <w:rFonts w:ascii="Aptos" w:hAnsi="Aptos"/>
          <w:b/>
          <w:i w:val="0"/>
          <w:color w:val="1F3A5F"/>
          <w:sz w:val="20"/>
        </w:rPr>
        <w:t xml:space="preserve">7.2  Volume Rebate. </w:t>
      </w:r>
      <w:r>
        <w:rPr>
          <w:rFonts w:ascii="Aptos" w:hAnsi="Aptos"/>
          <w:b w:val="0"/>
          <w:i w:val="0"/>
          <w:sz w:val="20"/>
        </w:rPr>
        <w:t>Where monthly billed freight attributable to the Carrier exceeds INR 5,000,000, a retrospective rebate of 1.00% shall apply on that month's freight value; above INR 10,000,000 the rebate shall be 1.75%; above INR 20,000,000 the rebate shall be 2.50%. Such rebate is earned only if the monthly composite scorecard is at least 96.00%.</w:t>
      </w:r>
    </w:p>
    <w:p>
      <w:pPr>
        <w:spacing w:before="40" w:after="40" w:line="276" w:lineRule="auto"/>
      </w:pPr>
      <w:r>
        <w:rPr>
          <w:rFonts w:ascii="Aptos" w:hAnsi="Aptos"/>
          <w:b/>
          <w:i w:val="0"/>
          <w:color w:val="1F3A5F"/>
          <w:sz w:val="20"/>
        </w:rPr>
        <w:t xml:space="preserve">7.3  Lane Fill Efficiency Discount. </w:t>
      </w:r>
      <w:r>
        <w:rPr>
          <w:rFonts w:ascii="Aptos" w:hAnsi="Aptos"/>
          <w:b w:val="0"/>
          <w:i w:val="0"/>
          <w:sz w:val="20"/>
        </w:rPr>
        <w:t>For dedicated and milk-run operations, if the Carrier's average fill factor on Aggregator-assigned planned capacity falls below 85%, the Carrier shall provide a 0.50% discount on monthly linehaul freight; below 75%, the discount shall rise to 1.25%. This clause shall not apply where the under-fill is demonstrably caused by the Aggregator's own tender pattern.</w:t>
      </w:r>
    </w:p>
    <w:p>
      <w:pPr>
        <w:spacing w:before="40" w:after="40" w:line="276" w:lineRule="auto"/>
      </w:pPr>
      <w:r>
        <w:rPr>
          <w:rFonts w:ascii="Aptos" w:hAnsi="Aptos"/>
          <w:b/>
          <w:i w:val="0"/>
          <w:color w:val="1F3A5F"/>
          <w:sz w:val="20"/>
        </w:rPr>
        <w:t xml:space="preserve">7.4  Backhaul and Return Load Benefit. </w:t>
      </w:r>
      <w:r>
        <w:rPr>
          <w:rFonts w:ascii="Aptos" w:hAnsi="Aptos"/>
          <w:b w:val="0"/>
          <w:i w:val="0"/>
          <w:sz w:val="20"/>
        </w:rPr>
        <w:t>Where the Aggregator gives the Carrier a commercially viable backhaul or triangulated return load, the Carrier shall extend a return leg discount equal to the lower of 8% of the outward trip linehaul rate or the dead-mile saving actually achieved.</w:t>
      </w:r>
    </w:p>
    <w:p>
      <w:pPr>
        <w:spacing w:before="40" w:after="40" w:line="276" w:lineRule="auto"/>
      </w:pPr>
      <w:r>
        <w:rPr>
          <w:rFonts w:ascii="Aptos" w:hAnsi="Aptos"/>
          <w:b/>
          <w:i w:val="0"/>
          <w:color w:val="1F3A5F"/>
          <w:sz w:val="20"/>
        </w:rPr>
        <w:t xml:space="preserve">7.5  Peak Season Uplift Control. </w:t>
      </w:r>
      <w:r>
        <w:rPr>
          <w:rFonts w:ascii="Aptos" w:hAnsi="Aptos"/>
          <w:b w:val="0"/>
          <w:i w:val="0"/>
          <w:sz w:val="20"/>
        </w:rPr>
        <w:t>Any seasonal surcharge must be expressly approved in writing and shall in no case exceed the percentage cap stated in Schedule A; if the Carrier levies an unapproved uplift, the excess shall be deducted together with an administrative recovery equal to 10% of such excess amount.</w:t>
      </w:r>
    </w:p>
    <w:p>
      <w:pPr>
        <w:spacing w:before="40" w:after="40" w:line="276" w:lineRule="auto"/>
      </w:pPr>
      <w:r>
        <w:rPr>
          <w:rFonts w:ascii="Aptos" w:hAnsi="Aptos"/>
          <w:b/>
          <w:i w:val="0"/>
          <w:color w:val="1F3A5F"/>
          <w:sz w:val="20"/>
        </w:rPr>
        <w:t xml:space="preserve">7.6  Fuel Index Adjustment. </w:t>
      </w:r>
      <w:r>
        <w:rPr>
          <w:rFonts w:ascii="Aptos" w:hAnsi="Aptos"/>
          <w:b w:val="0"/>
          <w:i w:val="0"/>
          <w:sz w:val="20"/>
        </w:rPr>
        <w:t>Fuel-linked escalation or de-escalation shall apply only to the linehaul component and only in accordance with the diesel index table in Schedule A. De-escalation shall be automatic and self-executing even if escalation was not claimed by the Carrier in earlier periods.</w:t>
      </w:r>
    </w:p>
    <w:p>
      <w:pPr>
        <w:spacing w:before="40" w:after="40" w:line="276" w:lineRule="auto"/>
      </w:pPr>
      <w:r>
        <w:rPr>
          <w:rFonts w:ascii="Aptos" w:hAnsi="Aptos"/>
          <w:b/>
          <w:i w:val="0"/>
          <w:color w:val="1F3A5F"/>
          <w:sz w:val="20"/>
        </w:rPr>
        <w:t xml:space="preserve">7.7  Invoice Accuracy Discount. </w:t>
      </w:r>
      <w:r>
        <w:rPr>
          <w:rFonts w:ascii="Aptos" w:hAnsi="Aptos"/>
          <w:b w:val="0"/>
          <w:i w:val="0"/>
          <w:sz w:val="20"/>
        </w:rPr>
        <w:t>If monthly invoice discrepancies exceed 2.00% of lines submitted, the Aggregator may impose an invoice-processing discount of 0.25% of the invoice value; if discrepancies exceed 5.00%, the discount shall be 0.75%.</w:t>
      </w:r>
    </w:p>
    <w:p>
      <w:pPr>
        <w:spacing w:before="40" w:after="40" w:line="276" w:lineRule="auto"/>
      </w:pPr>
      <w:r>
        <w:rPr>
          <w:rFonts w:ascii="Aptos" w:hAnsi="Aptos"/>
          <w:b/>
          <w:i w:val="0"/>
          <w:color w:val="1F3A5F"/>
          <w:sz w:val="20"/>
        </w:rPr>
        <w:t xml:space="preserve">7.8  Strategic Customer Discount. </w:t>
      </w:r>
      <w:r>
        <w:rPr>
          <w:rFonts w:ascii="Aptos" w:hAnsi="Aptos"/>
          <w:b w:val="0"/>
          <w:i w:val="0"/>
          <w:sz w:val="20"/>
        </w:rPr>
        <w:t>For customer accounts designated by the Aggregator as strategic or loss-leading, the Carrier agrees that the Aggregator may require an additional temporary commercial discount of up to 2.00% for a defined period not exceeding ninety (90) days, subject to written notification.</w:t>
      </w:r>
    </w:p>
    <w:p>
      <w:pPr>
        <w:pStyle w:val="Heading1"/>
        <w:spacing w:before="160" w:after="60" w:line="276" w:lineRule="auto"/>
      </w:pPr>
      <w:r>
        <w:rPr>
          <w:rFonts w:ascii="Aptos" w:hAnsi="Aptos"/>
          <w:b/>
          <w:i w:val="0"/>
          <w:color w:val="1F3A5F"/>
          <w:sz w:val="26"/>
        </w:rPr>
        <w:t>8. Penalties, Chargebacks, and Service Credits</w:t>
      </w:r>
    </w:p>
    <w:p>
      <w:pPr>
        <w:spacing w:before="0" w:after="40" w:line="276" w:lineRule="auto"/>
      </w:pPr>
      <w:r>
        <w:rPr>
          <w:rFonts w:ascii="Aptos" w:hAnsi="Aptos"/>
          <w:b w:val="0"/>
          <w:i w:val="0"/>
          <w:sz w:val="20"/>
        </w:rPr>
        <w:t>The penalties in this Clause and Schedule B are agreed genuine pre-estimates of the Aggregator's administrative burden, customer chargebacks, reputational exposure, and service restoration cost, and are without prejudice to the Aggregator's right to recover higher actual loss where expressly stated. Penalties shall apply per Shipment, per event, per route, or per month as indicated.</w:t>
      </w:r>
    </w:p>
    <w:p>
      <w:pPr>
        <w:spacing w:before="40" w:after="40" w:line="276" w:lineRule="auto"/>
      </w:pPr>
      <w:r>
        <w:rPr>
          <w:rFonts w:ascii="Aptos" w:hAnsi="Aptos"/>
          <w:b/>
          <w:i w:val="0"/>
          <w:color w:val="1F3A5F"/>
          <w:sz w:val="20"/>
        </w:rPr>
        <w:t xml:space="preserve">8.1  Pickup Delay Penalty. </w:t>
      </w:r>
      <w:r>
        <w:rPr>
          <w:rFonts w:ascii="Aptos" w:hAnsi="Aptos"/>
          <w:b w:val="0"/>
          <w:i w:val="0"/>
          <w:sz w:val="20"/>
        </w:rPr>
        <w:t>For each Shipment picked up after the committed pickup window, the Aggregator may deduct 5% of the freight for a delay up to 4 hours, 10% for 4-12 hours, and 20% for delay beyond 12 hours, subject to a minimum deduction of INR 250 per Shipment.</w:t>
      </w:r>
    </w:p>
    <w:p>
      <w:pPr>
        <w:spacing w:before="40" w:after="40" w:line="276" w:lineRule="auto"/>
      </w:pPr>
      <w:r>
        <w:rPr>
          <w:rFonts w:ascii="Aptos" w:hAnsi="Aptos"/>
          <w:b/>
          <w:i w:val="0"/>
          <w:color w:val="1F3A5F"/>
          <w:sz w:val="20"/>
        </w:rPr>
        <w:t xml:space="preserve">8.2  Failure to Place Vehicle. </w:t>
      </w:r>
      <w:r>
        <w:rPr>
          <w:rFonts w:ascii="Aptos" w:hAnsi="Aptos"/>
          <w:b w:val="0"/>
          <w:i w:val="0"/>
          <w:sz w:val="20"/>
        </w:rPr>
        <w:t>Failure to place an accepted vehicle within the grace period shall attract INR 1,500 per vehicle for light commercial vehicles, INR 3,000 for medium commercial vehicles, and INR 5,000 for heavy commercial vehicles, plus the differential replacement cost if alternate capacity is procured.</w:t>
      </w:r>
    </w:p>
    <w:p>
      <w:pPr>
        <w:spacing w:before="40" w:after="40" w:line="276" w:lineRule="auto"/>
      </w:pPr>
      <w:r>
        <w:rPr>
          <w:rFonts w:ascii="Aptos" w:hAnsi="Aptos"/>
          <w:b/>
          <w:i w:val="0"/>
          <w:color w:val="1F3A5F"/>
          <w:sz w:val="20"/>
        </w:rPr>
        <w:t xml:space="preserve">8.3  Order Cancellation After Acceptance. </w:t>
      </w:r>
      <w:r>
        <w:rPr>
          <w:rFonts w:ascii="Aptos" w:hAnsi="Aptos"/>
          <w:b w:val="0"/>
          <w:i w:val="0"/>
          <w:sz w:val="20"/>
        </w:rPr>
        <w:t>Carrier cancellation of an accepted Service Order, other than an excused event, shall attract the higher of INR 1,000 or 15% of the freight value, plus any customer-specific chargeback actually imposed.</w:t>
      </w:r>
    </w:p>
    <w:p>
      <w:pPr>
        <w:spacing w:before="40" w:after="40" w:line="276" w:lineRule="auto"/>
      </w:pPr>
      <w:r>
        <w:rPr>
          <w:rFonts w:ascii="Aptos" w:hAnsi="Aptos"/>
          <w:b/>
          <w:i w:val="0"/>
          <w:color w:val="1F3A5F"/>
          <w:sz w:val="20"/>
        </w:rPr>
        <w:t xml:space="preserve">8.4  On-Time Delivery Breach. </w:t>
      </w:r>
      <w:r>
        <w:rPr>
          <w:rFonts w:ascii="Aptos" w:hAnsi="Aptos"/>
          <w:b w:val="0"/>
          <w:i w:val="0"/>
          <w:sz w:val="20"/>
        </w:rPr>
        <w:t>For delivery beyond the committed transit SLA, the penalty shall be 3% of freight for delay up to 1 day, 7% for delay of 2 days, 12% for delay of 3 days, and 20% for delay exceeding 3 days, subject to a minimum of INR 300 per Shipment and without prejudice to perishability, launch, event, or just-in-time claims.</w:t>
      </w:r>
    </w:p>
    <w:p>
      <w:pPr>
        <w:spacing w:before="40" w:after="40" w:line="276" w:lineRule="auto"/>
      </w:pPr>
      <w:r>
        <w:rPr>
          <w:rFonts w:ascii="Aptos" w:hAnsi="Aptos"/>
          <w:b/>
          <w:i w:val="0"/>
          <w:color w:val="1F3A5F"/>
          <w:sz w:val="20"/>
        </w:rPr>
        <w:t xml:space="preserve">8.5  False Delivery Attempt. </w:t>
      </w:r>
      <w:r>
        <w:rPr>
          <w:rFonts w:ascii="Aptos" w:hAnsi="Aptos"/>
          <w:b w:val="0"/>
          <w:i w:val="0"/>
          <w:sz w:val="20"/>
        </w:rPr>
        <w:t>Each unsupported or false delivery attempt code, including customer not available, address not found, or refused, where contradicted by geolocation or customer evidence, shall attract INR 750 per event or 25% of the freight, whichever is higher.</w:t>
      </w:r>
    </w:p>
    <w:p>
      <w:pPr>
        <w:spacing w:before="40" w:after="40" w:line="276" w:lineRule="auto"/>
      </w:pPr>
      <w:r>
        <w:rPr>
          <w:rFonts w:ascii="Aptos" w:hAnsi="Aptos"/>
          <w:b/>
          <w:i w:val="0"/>
          <w:color w:val="1F3A5F"/>
          <w:sz w:val="20"/>
        </w:rPr>
        <w:t xml:space="preserve">8.6  POD Delay. </w:t>
      </w:r>
      <w:r>
        <w:rPr>
          <w:rFonts w:ascii="Aptos" w:hAnsi="Aptos"/>
          <w:b w:val="0"/>
          <w:i w:val="0"/>
          <w:sz w:val="20"/>
        </w:rPr>
        <w:t>Failure to upload valid POD/ePOD within 24 hours of delivery shall attract INR 100 per Shipment; beyond 72 hours, INR 250 per Shipment; beyond 7 days, 5% of freight or INR 500, whichever is higher.</w:t>
      </w:r>
    </w:p>
    <w:p>
      <w:pPr>
        <w:spacing w:before="40" w:after="40" w:line="276" w:lineRule="auto"/>
      </w:pPr>
      <w:r>
        <w:rPr>
          <w:rFonts w:ascii="Aptos" w:hAnsi="Aptos"/>
          <w:b/>
          <w:i w:val="0"/>
          <w:color w:val="1F3A5F"/>
          <w:sz w:val="20"/>
        </w:rPr>
        <w:t xml:space="preserve">8.7  Tracking Failure. </w:t>
      </w:r>
      <w:r>
        <w:rPr>
          <w:rFonts w:ascii="Aptos" w:hAnsi="Aptos"/>
          <w:b w:val="0"/>
          <w:i w:val="0"/>
          <w:sz w:val="20"/>
        </w:rPr>
        <w:t>Missing first-mile scan, in-transit milestone, or delivery scan shall attract INR 75 per missing scan for parcel shipments and INR 250 per missing event for full truck load and dedicated movements. API or GPS uptime below 98.50% in a month shall additionally attract a monthly penalty of 0.50% of billed freight; below 97.00%, 1.25%.</w:t>
      </w:r>
    </w:p>
    <w:p>
      <w:pPr>
        <w:spacing w:before="40" w:after="40" w:line="276" w:lineRule="auto"/>
      </w:pPr>
      <w:r>
        <w:rPr>
          <w:rFonts w:ascii="Aptos" w:hAnsi="Aptos"/>
          <w:b/>
          <w:i w:val="0"/>
          <w:color w:val="1F3A5F"/>
          <w:sz w:val="20"/>
        </w:rPr>
        <w:t xml:space="preserve">8.8  Driver Misconduct. </w:t>
      </w:r>
      <w:r>
        <w:rPr>
          <w:rFonts w:ascii="Aptos" w:hAnsi="Aptos"/>
          <w:b w:val="0"/>
          <w:i w:val="0"/>
          <w:sz w:val="20"/>
        </w:rPr>
        <w:t>Verified misconduct, abusive behaviour, non-compliance with customer site safety protocol, intoxication, or uniform non-compliance at sensitive sites shall attract INR 2,500 per incident for ordinary sites and INR 7,500 per incident for airports, pharma, defence, cold-chain, or any high-compliance site.</w:t>
      </w:r>
    </w:p>
    <w:p>
      <w:pPr>
        <w:spacing w:before="40" w:after="40" w:line="276" w:lineRule="auto"/>
      </w:pPr>
      <w:r>
        <w:rPr>
          <w:rFonts w:ascii="Aptos" w:hAnsi="Aptos"/>
          <w:b/>
          <w:i w:val="0"/>
          <w:color w:val="1F3A5F"/>
          <w:sz w:val="20"/>
        </w:rPr>
        <w:t xml:space="preserve">8.9  COD Remittance Delay. </w:t>
      </w:r>
      <w:r>
        <w:rPr>
          <w:rFonts w:ascii="Aptos" w:hAnsi="Aptos"/>
          <w:b w:val="0"/>
          <w:i w:val="0"/>
          <w:sz w:val="20"/>
        </w:rPr>
        <w:t>For COD retained beyond the remittance timeline, the Carrier shall pay interest at 24% per annum calculated daily plus a fixed administrative charge of INR 500 per remittance cycle; COD shortages shall be recoverable in full and shall also attract an additional penalty equal to 10% of the short remitted amount.</w:t>
      </w:r>
    </w:p>
    <w:p>
      <w:pPr>
        <w:spacing w:before="40" w:after="40" w:line="276" w:lineRule="auto"/>
      </w:pPr>
      <w:r>
        <w:rPr>
          <w:rFonts w:ascii="Aptos" w:hAnsi="Aptos"/>
          <w:b/>
          <w:i w:val="0"/>
          <w:color w:val="1F3A5F"/>
          <w:sz w:val="20"/>
        </w:rPr>
        <w:t xml:space="preserve">8.10  Claims Ratio Penalty. </w:t>
      </w:r>
      <w:r>
        <w:rPr>
          <w:rFonts w:ascii="Aptos" w:hAnsi="Aptos"/>
          <w:b w:val="0"/>
          <w:i w:val="0"/>
          <w:sz w:val="20"/>
        </w:rPr>
        <w:t>If monthly accepted claims exceed 0.30% of the month's gross billed freight value, the Aggregator may deduct an additional claims ratio penalty of 0.50% of monthly freight; above 0.75%, 1.50%; above 1.25%, 3.00%.</w:t>
      </w:r>
    </w:p>
    <w:p>
      <w:pPr>
        <w:spacing w:before="40" w:after="40" w:line="276" w:lineRule="auto"/>
      </w:pPr>
      <w:r>
        <w:rPr>
          <w:rFonts w:ascii="Aptos" w:hAnsi="Aptos"/>
          <w:b/>
          <w:i w:val="0"/>
          <w:color w:val="1F3A5F"/>
          <w:sz w:val="20"/>
        </w:rPr>
        <w:t xml:space="preserve">8.11  Unauthorized Subcontracting. </w:t>
      </w:r>
      <w:r>
        <w:rPr>
          <w:rFonts w:ascii="Aptos" w:hAnsi="Aptos"/>
          <w:b w:val="0"/>
          <w:i w:val="0"/>
          <w:sz w:val="20"/>
        </w:rPr>
        <w:t>Any unauthorized subcontracting, load passing, or re-brokering shall attract the higher of INR 10,000 per occurrence or 25% of the relevant month's billed value for the affected lane, and may trigger immediate termination.</w:t>
      </w:r>
    </w:p>
    <w:p>
      <w:pPr>
        <w:spacing w:before="40" w:after="40" w:line="276" w:lineRule="auto"/>
      </w:pPr>
      <w:r>
        <w:rPr>
          <w:rFonts w:ascii="Aptos" w:hAnsi="Aptos"/>
          <w:b/>
          <w:i w:val="0"/>
          <w:color w:val="1F3A5F"/>
          <w:sz w:val="20"/>
        </w:rPr>
        <w:t xml:space="preserve">8.12  Fraud Event. </w:t>
      </w:r>
      <w:r>
        <w:rPr>
          <w:rFonts w:ascii="Aptos" w:hAnsi="Aptos"/>
          <w:b w:val="0"/>
          <w:i w:val="0"/>
          <w:sz w:val="20"/>
        </w:rPr>
        <w:t>Upon a Fraud Event, the Aggregator may immediately suspend the Carrier, withhold all pending payments, forfeit the security deposit to the extent of exposure, recover all direct and indirect losses, and impose an additional liquidated penalty of the higher of INR 100,000 or 30% of the last three months' average monthly invoice value, without limiting criminal or civil remedies.</w:t>
      </w:r>
    </w:p>
    <w:p>
      <w:pPr>
        <w:spacing w:before="40" w:after="40" w:line="276" w:lineRule="auto"/>
      </w:pPr>
      <w:r>
        <w:rPr>
          <w:rFonts w:ascii="Aptos" w:hAnsi="Aptos"/>
          <w:b/>
          <w:i w:val="0"/>
          <w:color w:val="1F3A5F"/>
          <w:sz w:val="20"/>
        </w:rPr>
        <w:t xml:space="preserve">8.13  Monthly Penalty Cap; Exceptions. </w:t>
      </w:r>
      <w:r>
        <w:rPr>
          <w:rFonts w:ascii="Aptos" w:hAnsi="Aptos"/>
          <w:b w:val="0"/>
          <w:i w:val="0"/>
          <w:sz w:val="20"/>
        </w:rPr>
        <w:t>Except for Loss Events, COD shortages, fraud, indemnity claims, third-party claims, differential replacement cost, tax exposure, and confidentiality/data breaches, cumulative ordinary operational penalties in a month shall not exceed 20% of that month's approved freight value for the Carrier. This cap does not create immunity from suspension, reallocation, or termination.</w:t>
      </w:r>
    </w:p>
    <w:p>
      <w:pPr>
        <w:pStyle w:val="Heading1"/>
        <w:spacing w:before="160" w:after="60" w:line="276" w:lineRule="auto"/>
      </w:pPr>
      <w:r>
        <w:rPr>
          <w:rFonts w:ascii="Aptos" w:hAnsi="Aptos"/>
          <w:b/>
          <w:i w:val="0"/>
          <w:color w:val="1F3A5F"/>
          <w:sz w:val="26"/>
        </w:rPr>
        <w:t>9. Shipment Custody, Claims, Liability, and Claims Procedure</w:t>
      </w:r>
    </w:p>
    <w:p>
      <w:pPr>
        <w:spacing w:before="40" w:after="40" w:line="276" w:lineRule="auto"/>
      </w:pPr>
      <w:r>
        <w:rPr>
          <w:rFonts w:ascii="Aptos" w:hAnsi="Aptos"/>
          <w:b/>
          <w:i w:val="0"/>
          <w:color w:val="1F3A5F"/>
          <w:sz w:val="20"/>
        </w:rPr>
        <w:t xml:space="preserve">9.1  Custody Window. </w:t>
      </w:r>
      <w:r>
        <w:rPr>
          <w:rFonts w:ascii="Aptos" w:hAnsi="Aptos"/>
          <w:b w:val="0"/>
          <w:i w:val="0"/>
          <w:sz w:val="20"/>
        </w:rPr>
        <w:t>Risk and custody of each Shipment shall pass to the Carrier from pickup acknowledgement or vehicle loading, whichever occurs first, and shall continue until compliant delivery, documented return handover, or written release by the Aggregator.</w:t>
      </w:r>
    </w:p>
    <w:p>
      <w:pPr>
        <w:spacing w:before="40" w:after="40" w:line="276" w:lineRule="auto"/>
      </w:pPr>
      <w:r>
        <w:rPr>
          <w:rFonts w:ascii="Aptos" w:hAnsi="Aptos"/>
          <w:b/>
          <w:i w:val="0"/>
          <w:color w:val="1F3A5F"/>
          <w:sz w:val="20"/>
        </w:rPr>
        <w:t xml:space="preserve">9.2  Standard Liability. </w:t>
      </w:r>
      <w:r>
        <w:rPr>
          <w:rFonts w:ascii="Aptos" w:hAnsi="Aptos"/>
          <w:b w:val="0"/>
          <w:i w:val="0"/>
          <w:sz w:val="20"/>
        </w:rPr>
        <w:t>Subject to Clause 9.4, the Carrier shall be liable for the full invoice value or declared value of lost, stolen, pilfered, short-delivered, tampered, contaminated, or irreparably damaged goods, together with freight, taxes, customer chargebacks, reverse logistics cost, and claim processing cost.</w:t>
      </w:r>
    </w:p>
    <w:p>
      <w:pPr>
        <w:spacing w:before="40" w:after="40" w:line="276" w:lineRule="auto"/>
      </w:pPr>
      <w:r>
        <w:rPr>
          <w:rFonts w:ascii="Aptos" w:hAnsi="Aptos"/>
          <w:b/>
          <w:i w:val="0"/>
          <w:color w:val="1F3A5F"/>
          <w:sz w:val="20"/>
        </w:rPr>
        <w:t xml:space="preserve">9.3  Partial Damage. </w:t>
      </w:r>
      <w:r>
        <w:rPr>
          <w:rFonts w:ascii="Aptos" w:hAnsi="Aptos"/>
          <w:b w:val="0"/>
          <w:i w:val="0"/>
          <w:sz w:val="20"/>
        </w:rPr>
        <w:t>For partial loss or partial damage, the Carrier shall pay the lesser of the repair or rework cost and the diminution in value actually suffered, plus related freight and handling already incurred.</w:t>
      </w:r>
    </w:p>
    <w:p>
      <w:pPr>
        <w:spacing w:before="40" w:after="40" w:line="276" w:lineRule="auto"/>
      </w:pPr>
      <w:r>
        <w:rPr>
          <w:rFonts w:ascii="Aptos" w:hAnsi="Aptos"/>
          <w:b/>
          <w:i w:val="0"/>
          <w:color w:val="1F3A5F"/>
          <w:sz w:val="20"/>
        </w:rPr>
        <w:t xml:space="preserve">9.4  Conditional Liability Cap. </w:t>
      </w:r>
      <w:r>
        <w:rPr>
          <w:rFonts w:ascii="Aptos" w:hAnsi="Aptos"/>
          <w:b w:val="0"/>
          <w:i w:val="0"/>
          <w:sz w:val="20"/>
        </w:rPr>
        <w:t>Only where the relevant Service Order expressly states 'limited liability carriage' and the customer has accepted such regime, the Carrier's basic liability may be capped at the lower of the declared value and INR 5,000 per Shipment for parcel, INR 50,000 per LCV trip, and INR 250,000 per HCV trip. The cap shall not apply in cases of fraud, willful misconduct, gross negligence, tampering, unauthorized parking, theft due to lack of security, or route deviation without approval.</w:t>
      </w:r>
    </w:p>
    <w:p>
      <w:pPr>
        <w:spacing w:before="40" w:after="40" w:line="276" w:lineRule="auto"/>
      </w:pPr>
      <w:r>
        <w:rPr>
          <w:rFonts w:ascii="Aptos" w:hAnsi="Aptos"/>
          <w:b/>
          <w:i w:val="0"/>
          <w:color w:val="1F3A5F"/>
          <w:sz w:val="20"/>
        </w:rPr>
        <w:t xml:space="preserve">9.5  Claims Timeline. </w:t>
      </w:r>
      <w:r>
        <w:rPr>
          <w:rFonts w:ascii="Aptos" w:hAnsi="Aptos"/>
          <w:b w:val="0"/>
          <w:i w:val="0"/>
          <w:sz w:val="20"/>
        </w:rPr>
        <w:t>The Aggregator may notify claims within 180 days of delivery or expected delivery, and for concealed damage within 30 days of delivery. The Carrier must acknowledge the claim within 3 Business Days and submit its response with evidence within 7 Business Days, failing which the claim may be deemed accepted on a provisional basis.</w:t>
      </w:r>
    </w:p>
    <w:p>
      <w:pPr>
        <w:spacing w:before="40" w:after="40" w:line="276" w:lineRule="auto"/>
      </w:pPr>
      <w:r>
        <w:rPr>
          <w:rFonts w:ascii="Aptos" w:hAnsi="Aptos"/>
          <w:b/>
          <w:i w:val="0"/>
          <w:color w:val="1F3A5F"/>
          <w:sz w:val="20"/>
        </w:rPr>
        <w:t xml:space="preserve">9.6  Set-Off Against Invoices. </w:t>
      </w:r>
      <w:r>
        <w:rPr>
          <w:rFonts w:ascii="Aptos" w:hAnsi="Aptos"/>
          <w:b w:val="0"/>
          <w:i w:val="0"/>
          <w:sz w:val="20"/>
        </w:rPr>
        <w:t>Accepted, deemed accepted, and reasonably supported provisional claims may be set off against any amounts due or becoming due to the Carrier, including reserve amounts and security deposits.</w:t>
      </w:r>
    </w:p>
    <w:p>
      <w:pPr>
        <w:spacing w:before="40" w:after="40" w:line="276" w:lineRule="auto"/>
      </w:pPr>
      <w:r>
        <w:rPr>
          <w:rFonts w:ascii="Aptos" w:hAnsi="Aptos"/>
          <w:b/>
          <w:i w:val="0"/>
          <w:color w:val="1F3A5F"/>
          <w:sz w:val="20"/>
        </w:rPr>
        <w:t xml:space="preserve">9.7  Salvage and Mitigation. </w:t>
      </w:r>
      <w:r>
        <w:rPr>
          <w:rFonts w:ascii="Aptos" w:hAnsi="Aptos"/>
          <w:b w:val="0"/>
          <w:i w:val="0"/>
          <w:sz w:val="20"/>
        </w:rPr>
        <w:t>The Carrier shall not dispose of damaged goods or salvage without written instructions. The Carrier shall take reasonable steps to mitigate loss, secure goods, and preserve evidence.</w:t>
      </w:r>
    </w:p>
    <w:p>
      <w:pPr>
        <w:pStyle w:val="Heading1"/>
        <w:spacing w:before="160" w:after="60" w:line="276" w:lineRule="auto"/>
      </w:pPr>
      <w:r>
        <w:rPr>
          <w:rFonts w:ascii="Aptos" w:hAnsi="Aptos"/>
          <w:b/>
          <w:i w:val="0"/>
          <w:color w:val="1F3A5F"/>
          <w:sz w:val="26"/>
        </w:rPr>
        <w:t>10. Invoicing, Reconciliation, Payment, Withholding, and Debit Notes</w:t>
      </w:r>
    </w:p>
    <w:p>
      <w:pPr>
        <w:spacing w:before="40" w:after="40" w:line="276" w:lineRule="auto"/>
      </w:pPr>
      <w:r>
        <w:rPr>
          <w:rFonts w:ascii="Aptos" w:hAnsi="Aptos"/>
          <w:b/>
          <w:i w:val="0"/>
          <w:color w:val="1F3A5F"/>
          <w:sz w:val="20"/>
        </w:rPr>
        <w:t xml:space="preserve">10.1  Billing Frequency. </w:t>
      </w:r>
      <w:r>
        <w:rPr>
          <w:rFonts w:ascii="Aptos" w:hAnsi="Aptos"/>
          <w:b w:val="0"/>
          <w:i w:val="0"/>
          <w:sz w:val="20"/>
        </w:rPr>
        <w:t>The Carrier shall invoice weekly or monthly as stated in Schedule A. Each invoice shall contain shipment-level details, trip references, HSN/SAC classification where applicable, taxable value, GST, POD status, and all supporting records in the format prescribed by the Aggregator.</w:t>
      </w:r>
    </w:p>
    <w:p>
      <w:pPr>
        <w:spacing w:before="40" w:after="40" w:line="276" w:lineRule="auto"/>
      </w:pPr>
      <w:r>
        <w:rPr>
          <w:rFonts w:ascii="Aptos" w:hAnsi="Aptos"/>
          <w:b/>
          <w:i w:val="0"/>
          <w:color w:val="1F3A5F"/>
          <w:sz w:val="20"/>
        </w:rPr>
        <w:t xml:space="preserve">10.2  Completeness Standard. </w:t>
      </w:r>
      <w:r>
        <w:rPr>
          <w:rFonts w:ascii="Aptos" w:hAnsi="Aptos"/>
          <w:b w:val="0"/>
          <w:i w:val="0"/>
          <w:sz w:val="20"/>
        </w:rPr>
        <w:t>An invoice shall be deemed received only when it is accurate, GST-compliant, supported by mandatory documents, and uploaded in the designated system. Incomplete or non-compliant invoices may be rejected without triggering the payment clock.</w:t>
      </w:r>
    </w:p>
    <w:p>
      <w:pPr>
        <w:spacing w:before="40" w:after="40" w:line="276" w:lineRule="auto"/>
      </w:pPr>
      <w:r>
        <w:rPr>
          <w:rFonts w:ascii="Aptos" w:hAnsi="Aptos"/>
          <w:b/>
          <w:i w:val="0"/>
          <w:color w:val="1F3A5F"/>
          <w:sz w:val="20"/>
        </w:rPr>
        <w:t xml:space="preserve">10.3  Credit Period. </w:t>
      </w:r>
      <w:r>
        <w:rPr>
          <w:rFonts w:ascii="Aptos" w:hAnsi="Aptos"/>
          <w:b w:val="0"/>
          <w:i w:val="0"/>
          <w:sz w:val="20"/>
        </w:rPr>
        <w:t>Undisputed amounts shall be paid within 45 days from the later of invoice receipt date and completion of reconciliation, unless the Carrier has opted for an early payment discount cycle under Clause 7.1.</w:t>
      </w:r>
    </w:p>
    <w:p>
      <w:pPr>
        <w:spacing w:before="40" w:after="40" w:line="276" w:lineRule="auto"/>
      </w:pPr>
      <w:r>
        <w:rPr>
          <w:rFonts w:ascii="Aptos" w:hAnsi="Aptos"/>
          <w:b/>
          <w:i w:val="0"/>
          <w:color w:val="1F3A5F"/>
          <w:sz w:val="20"/>
        </w:rPr>
        <w:t xml:space="preserve">10.4  Right to Withhold. </w:t>
      </w:r>
      <w:r>
        <w:rPr>
          <w:rFonts w:ascii="Aptos" w:hAnsi="Aptos"/>
          <w:b w:val="0"/>
          <w:i w:val="0"/>
          <w:sz w:val="20"/>
        </w:rPr>
        <w:t>The Aggregator may withhold any amount reasonably linked to pending claims, unresolved customer disputes, missing PODs, suspected fraud, tax exposure, insurance non-compliance, COD exposure, penalties, or credit notes expected from the Carrier.</w:t>
      </w:r>
    </w:p>
    <w:p>
      <w:pPr>
        <w:spacing w:before="40" w:after="40" w:line="276" w:lineRule="auto"/>
      </w:pPr>
      <w:r>
        <w:rPr>
          <w:rFonts w:ascii="Aptos" w:hAnsi="Aptos"/>
          <w:b/>
          <w:i w:val="0"/>
          <w:color w:val="1F3A5F"/>
          <w:sz w:val="20"/>
        </w:rPr>
        <w:t xml:space="preserve">10.5  Debit Notes and Self-Invoice Adjustments. </w:t>
      </w:r>
      <w:r>
        <w:rPr>
          <w:rFonts w:ascii="Aptos" w:hAnsi="Aptos"/>
          <w:b w:val="0"/>
          <w:i w:val="0"/>
          <w:sz w:val="20"/>
        </w:rPr>
        <w:t>The Aggregator may raise debit notes or effect self-adjustments for penalties, claim deductions, excess charges, service credits reversals, volume rebates, unapproved surcharges, fuel de-escalation, and customer chargebacks. The Carrier shall reconcile any objection within 7 Business Days, failing which the adjustment shall be final for invoicing purposes pending formal dispute resolution.</w:t>
      </w:r>
    </w:p>
    <w:p>
      <w:pPr>
        <w:spacing w:before="40" w:after="40" w:line="276" w:lineRule="auto"/>
      </w:pPr>
      <w:r>
        <w:rPr>
          <w:rFonts w:ascii="Aptos" w:hAnsi="Aptos"/>
          <w:b/>
          <w:i w:val="0"/>
          <w:color w:val="1F3A5F"/>
          <w:sz w:val="20"/>
        </w:rPr>
        <w:t xml:space="preserve">10.6  No Set-Off by Carrier. </w:t>
      </w:r>
      <w:r>
        <w:rPr>
          <w:rFonts w:ascii="Aptos" w:hAnsi="Aptos"/>
          <w:b w:val="0"/>
          <w:i w:val="0"/>
          <w:sz w:val="20"/>
        </w:rPr>
        <w:t>The Carrier shall not suspend performance or set off disputed amounts against COD collections, open Shipments, or operational obligations.</w:t>
      </w:r>
    </w:p>
    <w:p>
      <w:pPr>
        <w:spacing w:before="40" w:after="40" w:line="276" w:lineRule="auto"/>
      </w:pPr>
      <w:r>
        <w:rPr>
          <w:rFonts w:ascii="Aptos" w:hAnsi="Aptos"/>
          <w:b/>
          <w:i w:val="0"/>
          <w:color w:val="1F3A5F"/>
          <w:sz w:val="20"/>
        </w:rPr>
        <w:t xml:space="preserve">10.7  Taxes. </w:t>
      </w:r>
      <w:r>
        <w:rPr>
          <w:rFonts w:ascii="Aptos" w:hAnsi="Aptos"/>
          <w:b w:val="0"/>
          <w:i w:val="0"/>
          <w:sz w:val="20"/>
        </w:rPr>
        <w:t>Each Party shall bear its own taxes as imposed by law. The Aggregator may deduct TDS or similar withholding. If input tax credit is denied to the Aggregator due to the Carrier's default, the Carrier shall reimburse the denied credit, interest, and penalties.</w:t>
      </w:r>
    </w:p>
    <w:p>
      <w:pPr>
        <w:pStyle w:val="Heading1"/>
        <w:spacing w:before="160" w:after="60" w:line="276" w:lineRule="auto"/>
      </w:pPr>
      <w:r>
        <w:rPr>
          <w:rFonts w:ascii="Aptos" w:hAnsi="Aptos"/>
          <w:b/>
          <w:i w:val="0"/>
          <w:color w:val="1F3A5F"/>
          <w:sz w:val="26"/>
        </w:rPr>
        <w:t>11. Insurance, Compliance, Data, and Confidentiality</w:t>
      </w:r>
    </w:p>
    <w:p>
      <w:pPr>
        <w:spacing w:before="40" w:after="40" w:line="276" w:lineRule="auto"/>
      </w:pPr>
      <w:r>
        <w:rPr>
          <w:rFonts w:ascii="Aptos" w:hAnsi="Aptos"/>
          <w:b/>
          <w:i w:val="0"/>
          <w:color w:val="1F3A5F"/>
          <w:sz w:val="20"/>
        </w:rPr>
        <w:t xml:space="preserve">11.1  Insurance Minimums. </w:t>
      </w:r>
      <w:r>
        <w:rPr>
          <w:rFonts w:ascii="Aptos" w:hAnsi="Aptos"/>
          <w:b w:val="0"/>
          <w:i w:val="0"/>
          <w:sz w:val="20"/>
        </w:rPr>
        <w:t>The Carrier shall maintain at its own cost the insurances set out in Schedule E, including motor, third-party, carrier legal liability/transit cover, employee compensation, public liability where relevant, and cyber/data liability if the Carrier processes personal data through its systems.</w:t>
      </w:r>
    </w:p>
    <w:p>
      <w:pPr>
        <w:spacing w:before="40" w:after="40" w:line="276" w:lineRule="auto"/>
      </w:pPr>
      <w:r>
        <w:rPr>
          <w:rFonts w:ascii="Aptos" w:hAnsi="Aptos"/>
          <w:b/>
          <w:i w:val="0"/>
          <w:color w:val="1F3A5F"/>
          <w:sz w:val="20"/>
        </w:rPr>
        <w:t xml:space="preserve">11.2  No Limitation by Insurance. </w:t>
      </w:r>
      <w:r>
        <w:rPr>
          <w:rFonts w:ascii="Aptos" w:hAnsi="Aptos"/>
          <w:b w:val="0"/>
          <w:i w:val="0"/>
          <w:sz w:val="20"/>
        </w:rPr>
        <w:t>Insurance shall not limit the Carrier's contractual liability. Deductibles, exclusions, underinsurance, or claim repudiation by insurers shall remain the Carrier's risk.</w:t>
      </w:r>
    </w:p>
    <w:p>
      <w:pPr>
        <w:spacing w:before="40" w:after="40" w:line="276" w:lineRule="auto"/>
      </w:pPr>
      <w:r>
        <w:rPr>
          <w:rFonts w:ascii="Aptos" w:hAnsi="Aptos"/>
          <w:b/>
          <w:i w:val="0"/>
          <w:color w:val="1F3A5F"/>
          <w:sz w:val="20"/>
        </w:rPr>
        <w:t xml:space="preserve">11.3  Data Protection. </w:t>
      </w:r>
      <w:r>
        <w:rPr>
          <w:rFonts w:ascii="Aptos" w:hAnsi="Aptos"/>
          <w:b w:val="0"/>
          <w:i w:val="0"/>
          <w:sz w:val="20"/>
        </w:rPr>
        <w:t>The Carrier shall process personal data strictly on a need-to-know basis, implement reasonable technical and organizational controls, restrict access, maintain audit logs, and notify the Aggregator of any suspected breach within 12 hours.</w:t>
      </w:r>
    </w:p>
    <w:p>
      <w:pPr>
        <w:spacing w:before="40" w:after="40" w:line="276" w:lineRule="auto"/>
      </w:pPr>
      <w:r>
        <w:rPr>
          <w:rFonts w:ascii="Aptos" w:hAnsi="Aptos"/>
          <w:b/>
          <w:i w:val="0"/>
          <w:color w:val="1F3A5F"/>
          <w:sz w:val="20"/>
        </w:rPr>
        <w:t xml:space="preserve">11.4  Confidentiality. </w:t>
      </w:r>
      <w:r>
        <w:rPr>
          <w:rFonts w:ascii="Aptos" w:hAnsi="Aptos"/>
          <w:b w:val="0"/>
          <w:i w:val="0"/>
          <w:sz w:val="20"/>
        </w:rPr>
        <w:t>The Carrier shall keep confidential all pricing, customer identities, route maps, lane data, SOPs, dashboards, shipment contents, API specifications, and commercial terms, and shall not use such information except to perform the Services.</w:t>
      </w:r>
    </w:p>
    <w:p>
      <w:pPr>
        <w:spacing w:before="40" w:after="40" w:line="276" w:lineRule="auto"/>
      </w:pPr>
      <w:r>
        <w:rPr>
          <w:rFonts w:ascii="Aptos" w:hAnsi="Aptos"/>
          <w:b/>
          <w:i w:val="0"/>
          <w:color w:val="1F3A5F"/>
          <w:sz w:val="20"/>
        </w:rPr>
        <w:t xml:space="preserve">11.5  Non-Circumvention and Non-Solicitation. </w:t>
      </w:r>
      <w:r>
        <w:rPr>
          <w:rFonts w:ascii="Aptos" w:hAnsi="Aptos"/>
          <w:b w:val="0"/>
          <w:i w:val="0"/>
          <w:sz w:val="20"/>
        </w:rPr>
        <w:t>During the Term and for 18 months thereafter, the Carrier shall not directly or indirectly solicit, contract with, or provide substantially similar services to any customer introduced by the Aggregator for the relevant lanes or service categories without the Aggregator's written consent.</w:t>
      </w:r>
    </w:p>
    <w:p>
      <w:pPr>
        <w:spacing w:before="40" w:after="40" w:line="276" w:lineRule="auto"/>
      </w:pPr>
      <w:r>
        <w:rPr>
          <w:rFonts w:ascii="Aptos" w:hAnsi="Aptos"/>
          <w:b/>
          <w:i w:val="0"/>
          <w:color w:val="1F3A5F"/>
          <w:sz w:val="20"/>
        </w:rPr>
        <w:t xml:space="preserve">11.6  Regulatory Compliance. </w:t>
      </w:r>
      <w:r>
        <w:rPr>
          <w:rFonts w:ascii="Aptos" w:hAnsi="Aptos"/>
          <w:b w:val="0"/>
          <w:i w:val="0"/>
          <w:sz w:val="20"/>
        </w:rPr>
        <w:t>The Carrier shall comply with all Applicable Law including motor vehicle rules, road safety rules, labour laws, wage and social security requirements, anti-bribery laws, sanctions, environmental rules, and customer-specific security protocols.</w:t>
      </w:r>
    </w:p>
    <w:p>
      <w:pPr>
        <w:pStyle w:val="Heading1"/>
        <w:spacing w:before="160" w:after="60" w:line="276" w:lineRule="auto"/>
      </w:pPr>
      <w:r>
        <w:rPr>
          <w:rFonts w:ascii="Aptos" w:hAnsi="Aptos"/>
          <w:b/>
          <w:i w:val="0"/>
          <w:color w:val="1F3A5F"/>
          <w:sz w:val="26"/>
        </w:rPr>
        <w:t>12. Audit Rights, Business Continuity, and Operational Governance</w:t>
      </w:r>
    </w:p>
    <w:p>
      <w:pPr>
        <w:spacing w:before="40" w:after="40" w:line="276" w:lineRule="auto"/>
      </w:pPr>
      <w:r>
        <w:rPr>
          <w:rFonts w:ascii="Aptos" w:hAnsi="Aptos"/>
          <w:b/>
          <w:i w:val="0"/>
          <w:color w:val="1F3A5F"/>
          <w:sz w:val="20"/>
        </w:rPr>
        <w:t xml:space="preserve">12.1  Audit Right. </w:t>
      </w:r>
      <w:r>
        <w:rPr>
          <w:rFonts w:ascii="Aptos" w:hAnsi="Aptos"/>
          <w:b w:val="0"/>
          <w:i w:val="0"/>
          <w:sz w:val="20"/>
        </w:rPr>
        <w:t>The Aggregator or its auditors may inspect the Carrier's records, facilities, vehicles, controls, driver rosters, route evidence, insurance documents, financial reconciliation data, and subcontractor records on reasonable notice, and immediately in cases of fraud, safety incidents, or regulatory exposure.</w:t>
      </w:r>
    </w:p>
    <w:p>
      <w:pPr>
        <w:spacing w:before="40" w:after="40" w:line="276" w:lineRule="auto"/>
      </w:pPr>
      <w:r>
        <w:rPr>
          <w:rFonts w:ascii="Aptos" w:hAnsi="Aptos"/>
          <w:b/>
          <w:i w:val="0"/>
          <w:color w:val="1F3A5F"/>
          <w:sz w:val="20"/>
        </w:rPr>
        <w:t xml:space="preserve">12.2  Record Retention. </w:t>
      </w:r>
      <w:r>
        <w:rPr>
          <w:rFonts w:ascii="Aptos" w:hAnsi="Aptos"/>
          <w:b w:val="0"/>
          <w:i w:val="0"/>
          <w:sz w:val="20"/>
        </w:rPr>
        <w:t>The Carrier shall maintain operational and commercial records for at least eight (8) years from creation or such longer period as required by law or a customer program.</w:t>
      </w:r>
    </w:p>
    <w:p>
      <w:pPr>
        <w:spacing w:before="40" w:after="40" w:line="276" w:lineRule="auto"/>
      </w:pPr>
      <w:r>
        <w:rPr>
          <w:rFonts w:ascii="Aptos" w:hAnsi="Aptos"/>
          <w:b/>
          <w:i w:val="0"/>
          <w:color w:val="1F3A5F"/>
          <w:sz w:val="20"/>
        </w:rPr>
        <w:t xml:space="preserve">12.3  BCP/DR. </w:t>
      </w:r>
      <w:r>
        <w:rPr>
          <w:rFonts w:ascii="Aptos" w:hAnsi="Aptos"/>
          <w:b w:val="0"/>
          <w:i w:val="0"/>
          <w:sz w:val="20"/>
        </w:rPr>
        <w:t>The Carrier shall maintain business continuity and disaster recovery arrangements proportionate to the Services, including alternate vehicles, backup communication channels, alternate branch contacts, and escalation rosters.</w:t>
      </w:r>
    </w:p>
    <w:p>
      <w:pPr>
        <w:spacing w:before="40" w:after="40" w:line="276" w:lineRule="auto"/>
      </w:pPr>
      <w:r>
        <w:rPr>
          <w:rFonts w:ascii="Aptos" w:hAnsi="Aptos"/>
          <w:b/>
          <w:i w:val="0"/>
          <w:color w:val="1F3A5F"/>
          <w:sz w:val="20"/>
        </w:rPr>
        <w:t xml:space="preserve">12.4  QBR and MBR. </w:t>
      </w:r>
      <w:r>
        <w:rPr>
          <w:rFonts w:ascii="Aptos" w:hAnsi="Aptos"/>
          <w:b w:val="0"/>
          <w:i w:val="0"/>
          <w:sz w:val="20"/>
        </w:rPr>
        <w:t>The Parties shall conduct monthly business reviews and quarterly business reviews covering scorecards, claims, root causes, compliance expiries, improvement actions, customer feedback, and pricing assumptions. Minutes prepared by the Aggregator and not disputed within 5 Business Days shall be deemed accepted.</w:t>
      </w:r>
    </w:p>
    <w:p>
      <w:pPr>
        <w:pStyle w:val="Heading1"/>
        <w:spacing w:before="160" w:after="60" w:line="276" w:lineRule="auto"/>
      </w:pPr>
      <w:r>
        <w:rPr>
          <w:rFonts w:ascii="Aptos" w:hAnsi="Aptos"/>
          <w:b/>
          <w:i w:val="0"/>
          <w:color w:val="1F3A5F"/>
          <w:sz w:val="26"/>
        </w:rPr>
        <w:t>13. Indemnities, Limitation of Liability, Force Majeure, Term, and Termination</w:t>
      </w:r>
    </w:p>
    <w:p>
      <w:pPr>
        <w:spacing w:before="40" w:after="40" w:line="276" w:lineRule="auto"/>
      </w:pPr>
      <w:r>
        <w:rPr>
          <w:rFonts w:ascii="Aptos" w:hAnsi="Aptos"/>
          <w:b/>
          <w:i w:val="0"/>
          <w:color w:val="1F3A5F"/>
          <w:sz w:val="20"/>
        </w:rPr>
        <w:t xml:space="preserve">13.1  Carrier Indemnity. </w:t>
      </w:r>
      <w:r>
        <w:rPr>
          <w:rFonts w:ascii="Aptos" w:hAnsi="Aptos"/>
          <w:b w:val="0"/>
          <w:i w:val="0"/>
          <w:sz w:val="20"/>
        </w:rPr>
        <w:t>The Carrier shall indemnify, defend, and hold harmless the Aggregator, its affiliates, customers, and personnel from all Claims arising from or relating to breach of this Agreement, Loss Events, injury, death, property damage, labour claims, tax default, fraud, misconduct, data breach, confidentiality breach, unauthorized subcontracting, and violation of law by the Carrier or its representatives.</w:t>
      </w:r>
    </w:p>
    <w:p>
      <w:pPr>
        <w:spacing w:before="40" w:after="40" w:line="276" w:lineRule="auto"/>
      </w:pPr>
      <w:r>
        <w:rPr>
          <w:rFonts w:ascii="Aptos" w:hAnsi="Aptos"/>
          <w:b/>
          <w:i w:val="0"/>
          <w:color w:val="1F3A5F"/>
          <w:sz w:val="20"/>
        </w:rPr>
        <w:t xml:space="preserve">13.2  Aggregator Indemnity. </w:t>
      </w:r>
      <w:r>
        <w:rPr>
          <w:rFonts w:ascii="Aptos" w:hAnsi="Aptos"/>
          <w:b w:val="0"/>
          <w:i w:val="0"/>
          <w:sz w:val="20"/>
        </w:rPr>
        <w:t>The Aggregator shall indemnify the Carrier only against third-party claims directly caused by the Aggregator's written instructions that are illegal on their face and that the Carrier had expressly objected to in writing before performance.</w:t>
      </w:r>
    </w:p>
    <w:p>
      <w:pPr>
        <w:spacing w:before="40" w:after="40" w:line="276" w:lineRule="auto"/>
      </w:pPr>
      <w:r>
        <w:rPr>
          <w:rFonts w:ascii="Aptos" w:hAnsi="Aptos"/>
          <w:b/>
          <w:i w:val="0"/>
          <w:color w:val="1F3A5F"/>
          <w:sz w:val="20"/>
        </w:rPr>
        <w:t xml:space="preserve">13.3  Exclusion of Consequential Damages. </w:t>
      </w:r>
      <w:r>
        <w:rPr>
          <w:rFonts w:ascii="Aptos" w:hAnsi="Aptos"/>
          <w:b w:val="0"/>
          <w:i w:val="0"/>
          <w:sz w:val="20"/>
        </w:rPr>
        <w:t>Except for fraud, confidentiality breach, data breach, COD default, third-party claims, and indemnified matters, neither Party shall be liable to the other for indirect or consequential damages such as loss of profit or loss of business opportunity.</w:t>
      </w:r>
    </w:p>
    <w:p>
      <w:pPr>
        <w:spacing w:before="40" w:after="40" w:line="276" w:lineRule="auto"/>
      </w:pPr>
      <w:r>
        <w:rPr>
          <w:rFonts w:ascii="Aptos" w:hAnsi="Aptos"/>
          <w:b/>
          <w:i w:val="0"/>
          <w:color w:val="1F3A5F"/>
          <w:sz w:val="20"/>
        </w:rPr>
        <w:t xml:space="preserve">13.4  Aggregator Liability Cap. </w:t>
      </w:r>
      <w:r>
        <w:rPr>
          <w:rFonts w:ascii="Aptos" w:hAnsi="Aptos"/>
          <w:b w:val="0"/>
          <w:i w:val="0"/>
          <w:sz w:val="20"/>
        </w:rPr>
        <w:t>The Aggregator's aggregate liability arising under this Agreement shall not exceed the net freight actually paid to the Carrier during the three months immediately preceding the event giving rise to liability.</w:t>
      </w:r>
    </w:p>
    <w:p>
      <w:pPr>
        <w:spacing w:before="40" w:after="40" w:line="276" w:lineRule="auto"/>
      </w:pPr>
      <w:r>
        <w:rPr>
          <w:rFonts w:ascii="Aptos" w:hAnsi="Aptos"/>
          <w:b/>
          <w:i w:val="0"/>
          <w:color w:val="1F3A5F"/>
          <w:sz w:val="20"/>
        </w:rPr>
        <w:t xml:space="preserve">13.5  Term. </w:t>
      </w:r>
      <w:r>
        <w:rPr>
          <w:rFonts w:ascii="Aptos" w:hAnsi="Aptos"/>
          <w:b w:val="0"/>
          <w:i w:val="0"/>
          <w:sz w:val="20"/>
        </w:rPr>
        <w:t>This Agreement shall commence on the Effective Date and continue for an initial term of two (2) years, automatically renewing for successive one-year terms unless either Party gives at least sixty (60) days' prior notice of non-renewal.</w:t>
      </w:r>
    </w:p>
    <w:p>
      <w:pPr>
        <w:spacing w:before="40" w:after="40" w:line="276" w:lineRule="auto"/>
      </w:pPr>
      <w:r>
        <w:rPr>
          <w:rFonts w:ascii="Aptos" w:hAnsi="Aptos"/>
          <w:b/>
          <w:i w:val="0"/>
          <w:color w:val="1F3A5F"/>
          <w:sz w:val="20"/>
        </w:rPr>
        <w:t xml:space="preserve">13.6  Termination for Convenience. </w:t>
      </w:r>
      <w:r>
        <w:rPr>
          <w:rFonts w:ascii="Aptos" w:hAnsi="Aptos"/>
          <w:b w:val="0"/>
          <w:i w:val="0"/>
          <w:sz w:val="20"/>
        </w:rPr>
        <w:t>The Aggregator may terminate this Agreement or any lane addendum for convenience upon thirty (30) days' written notice. The Carrier may terminate for convenience upon ninety (90) days' written notice, provided it continues uninterrupted service during the notice period.</w:t>
      </w:r>
    </w:p>
    <w:p>
      <w:pPr>
        <w:spacing w:before="40" w:after="40" w:line="276" w:lineRule="auto"/>
      </w:pPr>
      <w:r>
        <w:rPr>
          <w:rFonts w:ascii="Aptos" w:hAnsi="Aptos"/>
          <w:b/>
          <w:i w:val="0"/>
          <w:color w:val="1F3A5F"/>
          <w:sz w:val="20"/>
        </w:rPr>
        <w:t xml:space="preserve">13.7  Termination for Cause. </w:t>
      </w:r>
      <w:r>
        <w:rPr>
          <w:rFonts w:ascii="Aptos" w:hAnsi="Aptos"/>
          <w:b w:val="0"/>
          <w:i w:val="0"/>
          <w:sz w:val="20"/>
        </w:rPr>
        <w:t>The Aggregator may terminate immediately for fraud, repeated service failure, insurance lapse, unauthorized subcontracting, insolvency, criminal investigation affecting service integrity, regulatory prohibition, material breach not cured within 7 days, or any event threatening customer continuity.</w:t>
      </w:r>
    </w:p>
    <w:p>
      <w:pPr>
        <w:spacing w:before="40" w:after="40" w:line="276" w:lineRule="auto"/>
      </w:pPr>
      <w:r>
        <w:rPr>
          <w:rFonts w:ascii="Aptos" w:hAnsi="Aptos"/>
          <w:b/>
          <w:i w:val="0"/>
          <w:color w:val="1F3A5F"/>
          <w:sz w:val="20"/>
        </w:rPr>
        <w:t xml:space="preserve">13.8  Force Majeure. </w:t>
      </w:r>
      <w:r>
        <w:rPr>
          <w:rFonts w:ascii="Aptos" w:hAnsi="Aptos"/>
          <w:b w:val="0"/>
          <w:i w:val="0"/>
          <w:sz w:val="20"/>
        </w:rPr>
        <w:t>A Party affected by a Force Majeure Event shall promptly notify the other Party, mitigate impact, and resume performance as soon as possible. Force Majeure shall not excuse payment obligations accrued prior to the event or COD remittance of already collected funds.</w:t>
      </w:r>
    </w:p>
    <w:p>
      <w:pPr>
        <w:spacing w:before="40" w:after="40" w:line="276" w:lineRule="auto"/>
      </w:pPr>
      <w:r>
        <w:rPr>
          <w:rFonts w:ascii="Aptos" w:hAnsi="Aptos"/>
          <w:b/>
          <w:i w:val="0"/>
          <w:color w:val="1F3A5F"/>
          <w:sz w:val="20"/>
        </w:rPr>
        <w:t xml:space="preserve">13.9  Transition Assistance. </w:t>
      </w:r>
      <w:r>
        <w:rPr>
          <w:rFonts w:ascii="Aptos" w:hAnsi="Aptos"/>
          <w:b w:val="0"/>
          <w:i w:val="0"/>
          <w:sz w:val="20"/>
        </w:rPr>
        <w:t>Upon expiry or termination, the Carrier shall complete in-transit Shipments, hand over PODs, deliver all Shipment and reconciliation data, remit COD, return all property, and provide orderly transition assistance for up to thirty (30) days at pre-existing rates unless termination followed a Fraud Event.</w:t>
      </w:r>
    </w:p>
    <w:p>
      <w:pPr>
        <w:pStyle w:val="Heading1"/>
        <w:spacing w:before="160" w:after="60" w:line="276" w:lineRule="auto"/>
      </w:pPr>
      <w:r>
        <w:rPr>
          <w:rFonts w:ascii="Aptos" w:hAnsi="Aptos"/>
          <w:b/>
          <w:i w:val="0"/>
          <w:color w:val="1F3A5F"/>
          <w:sz w:val="26"/>
        </w:rPr>
        <w:t>14. Dispute Resolution and Miscellaneous</w:t>
      </w:r>
    </w:p>
    <w:p>
      <w:pPr>
        <w:spacing w:before="40" w:after="40" w:line="276" w:lineRule="auto"/>
      </w:pPr>
      <w:r>
        <w:rPr>
          <w:rFonts w:ascii="Aptos" w:hAnsi="Aptos"/>
          <w:b/>
          <w:i w:val="0"/>
          <w:color w:val="1F3A5F"/>
          <w:sz w:val="20"/>
        </w:rPr>
        <w:t xml:space="preserve">14.1  Good Faith Escalation. </w:t>
      </w:r>
      <w:r>
        <w:rPr>
          <w:rFonts w:ascii="Aptos" w:hAnsi="Aptos"/>
          <w:b w:val="0"/>
          <w:i w:val="0"/>
          <w:sz w:val="20"/>
        </w:rPr>
        <w:t>Operational and billing disputes shall first be escalated to the operational SPOCs and finance SPOCs, then to the business heads, with a 15 Business Day good-faith resolution period.</w:t>
      </w:r>
    </w:p>
    <w:p>
      <w:pPr>
        <w:spacing w:before="40" w:after="40" w:line="276" w:lineRule="auto"/>
      </w:pPr>
      <w:r>
        <w:rPr>
          <w:rFonts w:ascii="Aptos" w:hAnsi="Aptos"/>
          <w:b/>
          <w:i w:val="0"/>
          <w:color w:val="1F3A5F"/>
          <w:sz w:val="20"/>
        </w:rPr>
        <w:t xml:space="preserve">14.2  Arbitration. </w:t>
      </w:r>
      <w:r>
        <w:rPr>
          <w:rFonts w:ascii="Aptos" w:hAnsi="Aptos"/>
          <w:b w:val="0"/>
          <w:i w:val="0"/>
          <w:sz w:val="20"/>
        </w:rPr>
        <w:t>If not resolved, disputes shall be finally resolved by a sole arbitrator appointed mutually, seated in [City, India], proceedings in English, under the Arbitration and Conciliation Act, 1996, as amended. Courts at [City] shall have exclusive jurisdiction for interim relief and enforcement.</w:t>
      </w:r>
    </w:p>
    <w:p>
      <w:pPr>
        <w:spacing w:before="40" w:after="40" w:line="276" w:lineRule="auto"/>
      </w:pPr>
      <w:r>
        <w:rPr>
          <w:rFonts w:ascii="Aptos" w:hAnsi="Aptos"/>
          <w:b/>
          <w:i w:val="0"/>
          <w:color w:val="1F3A5F"/>
          <w:sz w:val="20"/>
        </w:rPr>
        <w:t xml:space="preserve">14.3  Specific Relief. </w:t>
      </w:r>
      <w:r>
        <w:rPr>
          <w:rFonts w:ascii="Aptos" w:hAnsi="Aptos"/>
          <w:b w:val="0"/>
          <w:i w:val="0"/>
          <w:sz w:val="20"/>
        </w:rPr>
        <w:t>The Aggregator shall be entitled to injunctive and equitable relief for confidentiality breach, non-solicitation breach, misuse of customer data, or threatened service abandonment.</w:t>
      </w:r>
    </w:p>
    <w:p>
      <w:pPr>
        <w:spacing w:before="40" w:after="40" w:line="276" w:lineRule="auto"/>
      </w:pPr>
      <w:r>
        <w:rPr>
          <w:rFonts w:ascii="Aptos" w:hAnsi="Aptos"/>
          <w:b/>
          <w:i w:val="0"/>
          <w:color w:val="1F3A5F"/>
          <w:sz w:val="20"/>
        </w:rPr>
        <w:t xml:space="preserve">14.4  Assignment. </w:t>
      </w:r>
      <w:r>
        <w:rPr>
          <w:rFonts w:ascii="Aptos" w:hAnsi="Aptos"/>
          <w:b w:val="0"/>
          <w:i w:val="0"/>
          <w:sz w:val="20"/>
        </w:rPr>
        <w:t>The Aggregator may assign this Agreement to an Affiliate or as part of a business transfer upon notice. The Carrier may not assign this Agreement without prior written consent.</w:t>
      </w:r>
    </w:p>
    <w:p>
      <w:pPr>
        <w:spacing w:before="40" w:after="40" w:line="276" w:lineRule="auto"/>
      </w:pPr>
      <w:r>
        <w:rPr>
          <w:rFonts w:ascii="Aptos" w:hAnsi="Aptos"/>
          <w:b/>
          <w:i w:val="0"/>
          <w:color w:val="1F3A5F"/>
          <w:sz w:val="20"/>
        </w:rPr>
        <w:t xml:space="preserve">14.5  Amendment. </w:t>
      </w:r>
      <w:r>
        <w:rPr>
          <w:rFonts w:ascii="Aptos" w:hAnsi="Aptos"/>
          <w:b w:val="0"/>
          <w:i w:val="0"/>
          <w:sz w:val="20"/>
        </w:rPr>
        <w:t>No amendment shall be valid unless in writing and signed by authorized representatives of both Parties; however, SOPs, routing protocols, and reporting templates may be updated by the Aggregator on notice where they do not directly alter signed commercial rates.</w:t>
      </w:r>
    </w:p>
    <w:p>
      <w:pPr>
        <w:spacing w:before="40" w:after="40" w:line="276" w:lineRule="auto"/>
      </w:pPr>
      <w:r>
        <w:rPr>
          <w:rFonts w:ascii="Aptos" w:hAnsi="Aptos"/>
          <w:b/>
          <w:i w:val="0"/>
          <w:color w:val="1F3A5F"/>
          <w:sz w:val="20"/>
        </w:rPr>
        <w:t xml:space="preserve">14.6  Severability and Survival. </w:t>
      </w:r>
      <w:r>
        <w:rPr>
          <w:rFonts w:ascii="Aptos" w:hAnsi="Aptos"/>
          <w:b w:val="0"/>
          <w:i w:val="0"/>
          <w:sz w:val="20"/>
        </w:rPr>
        <w:t>If any provision is held unenforceable, the remainder shall continue in effect. Clauses relating to payment, claims, confidentiality, indemnity, audit, dispute resolution, non-solicitation, and data protection survive termination.</w:t>
      </w:r>
    </w:p>
    <w:p>
      <w:pPr>
        <w:spacing w:before="40" w:after="40" w:line="276" w:lineRule="auto"/>
      </w:pPr>
      <w:r>
        <w:rPr>
          <w:rFonts w:ascii="Aptos" w:hAnsi="Aptos"/>
          <w:b/>
          <w:i w:val="0"/>
          <w:color w:val="1F3A5F"/>
          <w:sz w:val="20"/>
        </w:rPr>
        <w:t xml:space="preserve">14.7  Entire Agreement and Counterparts. </w:t>
      </w:r>
      <w:r>
        <w:rPr>
          <w:rFonts w:ascii="Aptos" w:hAnsi="Aptos"/>
          <w:b w:val="0"/>
          <w:i w:val="0"/>
          <w:sz w:val="20"/>
        </w:rPr>
        <w:t>This Agreement, together with all schedules and addenda, constitutes the entire agreement between the Parties on its subject matter and may be executed in counterparts including electronically.</w:t>
      </w:r>
    </w:p>
    <w:p>
      <w:r>
        <w:br w:type="page"/>
      </w:r>
    </w:p>
    <w:p>
      <w:pPr>
        <w:pStyle w:val="Heading1"/>
        <w:spacing w:before="160" w:after="60" w:line="276" w:lineRule="auto"/>
      </w:pPr>
      <w:r>
        <w:rPr>
          <w:rFonts w:ascii="Aptos" w:hAnsi="Aptos"/>
          <w:b/>
          <w:i w:val="0"/>
          <w:color w:val="1F3A5F"/>
          <w:sz w:val="26"/>
        </w:rPr>
        <w:t>Schedules</w:t>
      </w:r>
    </w:p>
    <w:p>
      <w:pPr>
        <w:pStyle w:val="Heading2"/>
        <w:spacing w:before="100" w:after="60" w:line="276" w:lineRule="auto"/>
      </w:pPr>
      <w:r>
        <w:rPr>
          <w:rFonts w:ascii="Aptos" w:hAnsi="Aptos"/>
          <w:b/>
          <w:i w:val="0"/>
          <w:color w:val="2F5597"/>
          <w:sz w:val="23"/>
        </w:rPr>
        <w:t>Schedule A - Rate Card, Accessorials, and Fuel Index</w:t>
      </w:r>
    </w:p>
    <w:p>
      <w:pPr>
        <w:spacing w:before="0" w:after="40" w:line="276" w:lineRule="auto"/>
      </w:pPr>
      <w:r>
        <w:rPr>
          <w:rFonts w:ascii="Aptos" w:hAnsi="Aptos"/>
          <w:b w:val="0"/>
          <w:i w:val="0"/>
          <w:sz w:val="20"/>
        </w:rPr>
        <w:t>The table below provides an illustrative commercial structure. Actual customer-, lane-, and commodity-specific rates may be inserted in annexures. All values shown are sample values for drafting purposes.</w:t>
      </w:r>
    </w:p>
    <w:tbl>
      <w:tblPr>
        <w:tblStyle w:val="TableGrid"/>
        <w:tblW w:type="auto" w:w="0"/>
        <w:jc w:val="center"/>
        <w:tblLook w:firstColumn="1" w:firstRow="1" w:lastColumn="0" w:lastRow="0" w:noHBand="0" w:noVBand="1" w:val="04A0"/>
      </w:tblPr>
      <w:tblGrid>
        <w:gridCol w:w="1416"/>
        <w:gridCol w:w="1416"/>
        <w:gridCol w:w="1416"/>
        <w:gridCol w:w="1416"/>
        <w:gridCol w:w="1416"/>
        <w:gridCol w:w="1416"/>
        <w:gridCol w:w="1416"/>
      </w:tblGrid>
      <w:tr>
        <w:tc>
          <w:tcPr>
            <w:tcW w:type="dxa" w:w="1416"/>
            <w:shd w:fill="D9EAF7"/>
            <w:tcMar>
              <w:top w:w="90" w:type="dxa"/>
              <w:start w:w="90" w:type="dxa"/>
              <w:bottom w:w="90" w:type="dxa"/>
              <w:end w:w="90" w:type="dxa"/>
            </w:tcMar>
            <w:vAlign w:val="center"/>
          </w:tcPr>
          <w:p>
            <w:pPr>
              <w:jc w:val="center"/>
            </w:pPr>
            <w:r>
              <w:rPr>
                <w:rFonts w:ascii="Aptos" w:hAnsi="Aptos"/>
                <w:b/>
                <w:i w:val="0"/>
                <w:color w:val="1F3A5F"/>
                <w:sz w:val="19"/>
              </w:rPr>
              <w:t>Service Type</w:t>
            </w:r>
          </w:p>
        </w:tc>
        <w:tc>
          <w:tcPr>
            <w:tcW w:type="dxa" w:w="1416"/>
            <w:shd w:fill="D9EAF7"/>
            <w:tcMar>
              <w:top w:w="90" w:type="dxa"/>
              <w:start w:w="90" w:type="dxa"/>
              <w:bottom w:w="90" w:type="dxa"/>
              <w:end w:w="90" w:type="dxa"/>
            </w:tcMar>
            <w:vAlign w:val="center"/>
          </w:tcPr>
          <w:p>
            <w:pPr>
              <w:jc w:val="center"/>
            </w:pPr>
            <w:r>
              <w:rPr>
                <w:rFonts w:ascii="Aptos" w:hAnsi="Aptos"/>
                <w:b/>
                <w:i w:val="0"/>
                <w:color w:val="1F3A5F"/>
                <w:sz w:val="19"/>
              </w:rPr>
              <w:t>Sample Basis</w:t>
            </w:r>
          </w:p>
        </w:tc>
        <w:tc>
          <w:tcPr>
            <w:tcW w:type="dxa" w:w="1416"/>
            <w:shd w:fill="D9EAF7"/>
            <w:tcMar>
              <w:top w:w="90" w:type="dxa"/>
              <w:start w:w="90" w:type="dxa"/>
              <w:bottom w:w="90" w:type="dxa"/>
              <w:end w:w="90" w:type="dxa"/>
            </w:tcMar>
            <w:vAlign w:val="center"/>
          </w:tcPr>
          <w:p>
            <w:pPr>
              <w:jc w:val="center"/>
            </w:pPr>
            <w:r>
              <w:rPr>
                <w:rFonts w:ascii="Aptos" w:hAnsi="Aptos"/>
                <w:b/>
                <w:i w:val="0"/>
                <w:color w:val="1F3A5F"/>
                <w:sz w:val="19"/>
              </w:rPr>
              <w:t>Base Rate</w:t>
            </w:r>
          </w:p>
        </w:tc>
        <w:tc>
          <w:tcPr>
            <w:tcW w:type="dxa" w:w="1416"/>
            <w:shd w:fill="D9EAF7"/>
            <w:tcMar>
              <w:top w:w="90" w:type="dxa"/>
              <w:start w:w="90" w:type="dxa"/>
              <w:bottom w:w="90" w:type="dxa"/>
              <w:end w:w="90" w:type="dxa"/>
            </w:tcMar>
            <w:vAlign w:val="center"/>
          </w:tcPr>
          <w:p>
            <w:pPr>
              <w:jc w:val="center"/>
            </w:pPr>
            <w:r>
              <w:rPr>
                <w:rFonts w:ascii="Aptos" w:hAnsi="Aptos"/>
                <w:b/>
                <w:i w:val="0"/>
                <w:color w:val="1F3A5F"/>
                <w:sz w:val="19"/>
              </w:rPr>
              <w:t>Free Time / Included</w:t>
            </w:r>
          </w:p>
        </w:tc>
        <w:tc>
          <w:tcPr>
            <w:tcW w:type="dxa" w:w="1416"/>
            <w:shd w:fill="D9EAF7"/>
            <w:tcMar>
              <w:top w:w="90" w:type="dxa"/>
              <w:start w:w="90" w:type="dxa"/>
              <w:bottom w:w="90" w:type="dxa"/>
              <w:end w:w="90" w:type="dxa"/>
            </w:tcMar>
            <w:vAlign w:val="center"/>
          </w:tcPr>
          <w:p>
            <w:pPr>
              <w:jc w:val="center"/>
            </w:pPr>
            <w:r>
              <w:rPr>
                <w:rFonts w:ascii="Aptos" w:hAnsi="Aptos"/>
                <w:b/>
                <w:i w:val="0"/>
                <w:color w:val="1F3A5F"/>
                <w:sz w:val="19"/>
              </w:rPr>
              <w:t>Charge Beyond Free Time</w:t>
            </w:r>
          </w:p>
        </w:tc>
        <w:tc>
          <w:tcPr>
            <w:tcW w:type="dxa" w:w="1416"/>
            <w:shd w:fill="D9EAF7"/>
            <w:tcMar>
              <w:top w:w="90" w:type="dxa"/>
              <w:start w:w="90" w:type="dxa"/>
              <w:bottom w:w="90" w:type="dxa"/>
              <w:end w:w="90" w:type="dxa"/>
            </w:tcMar>
            <w:vAlign w:val="center"/>
          </w:tcPr>
          <w:p>
            <w:pPr>
              <w:jc w:val="center"/>
            </w:pPr>
            <w:r>
              <w:rPr>
                <w:rFonts w:ascii="Aptos" w:hAnsi="Aptos"/>
                <w:b/>
                <w:i w:val="0"/>
                <w:color w:val="1F3A5F"/>
                <w:sz w:val="19"/>
              </w:rPr>
              <w:t>Surcharge Cap</w:t>
            </w:r>
          </w:p>
        </w:tc>
        <w:tc>
          <w:tcPr>
            <w:tcW w:type="dxa" w:w="1416"/>
            <w:shd w:fill="D9EAF7"/>
            <w:tcMar>
              <w:top w:w="90" w:type="dxa"/>
              <w:start w:w="90" w:type="dxa"/>
              <w:bottom w:w="90" w:type="dxa"/>
              <w:end w:w="90" w:type="dxa"/>
            </w:tcMar>
            <w:vAlign w:val="center"/>
          </w:tcPr>
          <w:p>
            <w:pPr>
              <w:jc w:val="center"/>
            </w:pPr>
            <w:r>
              <w:rPr>
                <w:rFonts w:ascii="Aptos" w:hAnsi="Aptos"/>
                <w:b/>
                <w:i w:val="0"/>
                <w:color w:val="1F3A5F"/>
                <w:sz w:val="19"/>
              </w:rPr>
              <w:t>Comments</w:t>
            </w:r>
          </w:p>
        </w:tc>
      </w:tr>
      <w:tr>
        <w:tc>
          <w:tcPr>
            <w:tcW w:type="dxa" w:w="1416"/>
            <w:tcMar>
              <w:top w:w="90" w:type="dxa"/>
              <w:start w:w="90" w:type="dxa"/>
              <w:bottom w:w="90" w:type="dxa"/>
              <w:end w:w="90" w:type="dxa"/>
            </w:tcMar>
            <w:vAlign w:val="center"/>
          </w:tcPr>
          <w:p>
            <w:pPr>
              <w:jc w:val="left"/>
            </w:pPr>
            <w:r>
              <w:rPr>
                <w:rFonts w:ascii="Aptos" w:hAnsi="Aptos"/>
                <w:b w:val="0"/>
                <w:i w:val="0"/>
                <w:sz w:val="18"/>
              </w:rPr>
              <w:t>Parcel B2B Express</w:t>
            </w:r>
          </w:p>
        </w:tc>
        <w:tc>
          <w:tcPr>
            <w:tcW w:type="dxa" w:w="1416"/>
            <w:tcMar>
              <w:top w:w="90" w:type="dxa"/>
              <w:start w:w="90" w:type="dxa"/>
              <w:bottom w:w="90" w:type="dxa"/>
              <w:end w:w="90" w:type="dxa"/>
            </w:tcMar>
            <w:vAlign w:val="center"/>
          </w:tcPr>
          <w:p>
            <w:pPr>
              <w:jc w:val="left"/>
            </w:pPr>
            <w:r>
              <w:rPr>
                <w:rFonts w:ascii="Aptos" w:hAnsi="Aptos"/>
                <w:b w:val="0"/>
                <w:i w:val="0"/>
                <w:sz w:val="18"/>
              </w:rPr>
              <w:t>Per Shipment up to 5 kg</w:t>
            </w:r>
          </w:p>
        </w:tc>
        <w:tc>
          <w:tcPr>
            <w:tcW w:type="dxa" w:w="1416"/>
            <w:tcMar>
              <w:top w:w="90" w:type="dxa"/>
              <w:start w:w="90" w:type="dxa"/>
              <w:bottom w:w="90" w:type="dxa"/>
              <w:end w:w="90" w:type="dxa"/>
            </w:tcMar>
            <w:vAlign w:val="center"/>
          </w:tcPr>
          <w:p>
            <w:pPr>
              <w:jc w:val="center"/>
            </w:pPr>
            <w:r>
              <w:rPr>
                <w:rFonts w:ascii="Aptos" w:hAnsi="Aptos"/>
                <w:b w:val="0"/>
                <w:i w:val="0"/>
                <w:sz w:val="18"/>
              </w:rPr>
              <w:t>INR 82</w:t>
            </w:r>
          </w:p>
        </w:tc>
        <w:tc>
          <w:tcPr>
            <w:tcW w:type="dxa" w:w="1416"/>
            <w:tcMar>
              <w:top w:w="90" w:type="dxa"/>
              <w:start w:w="90" w:type="dxa"/>
              <w:bottom w:w="90" w:type="dxa"/>
              <w:end w:w="90" w:type="dxa"/>
            </w:tcMar>
            <w:vAlign w:val="center"/>
          </w:tcPr>
          <w:p>
            <w:pPr>
              <w:jc w:val="left"/>
            </w:pPr>
            <w:r>
              <w:rPr>
                <w:rFonts w:ascii="Aptos" w:hAnsi="Aptos"/>
                <w:b w:val="0"/>
                <w:i w:val="0"/>
                <w:sz w:val="18"/>
              </w:rPr>
              <w:t>1 delivery attempt</w:t>
            </w:r>
          </w:p>
        </w:tc>
        <w:tc>
          <w:tcPr>
            <w:tcW w:type="dxa" w:w="1416"/>
            <w:tcMar>
              <w:top w:w="90" w:type="dxa"/>
              <w:start w:w="90" w:type="dxa"/>
              <w:bottom w:w="90" w:type="dxa"/>
              <w:end w:w="90" w:type="dxa"/>
            </w:tcMar>
            <w:vAlign w:val="center"/>
          </w:tcPr>
          <w:p>
            <w:pPr>
              <w:jc w:val="center"/>
            </w:pPr>
            <w:r>
              <w:rPr>
                <w:rFonts w:ascii="Aptos" w:hAnsi="Aptos"/>
                <w:b w:val="0"/>
                <w:i w:val="0"/>
                <w:sz w:val="18"/>
              </w:rPr>
              <w:t>INR 18 reattempt</w:t>
            </w:r>
          </w:p>
        </w:tc>
        <w:tc>
          <w:tcPr>
            <w:tcW w:type="dxa" w:w="1416"/>
            <w:tcMar>
              <w:top w:w="90" w:type="dxa"/>
              <w:start w:w="90" w:type="dxa"/>
              <w:bottom w:w="90" w:type="dxa"/>
              <w:end w:w="90" w:type="dxa"/>
            </w:tcMar>
            <w:vAlign w:val="center"/>
          </w:tcPr>
          <w:p>
            <w:pPr>
              <w:jc w:val="center"/>
            </w:pPr>
            <w:r>
              <w:rPr>
                <w:rFonts w:ascii="Aptos" w:hAnsi="Aptos"/>
                <w:b w:val="0"/>
                <w:i w:val="0"/>
                <w:sz w:val="18"/>
              </w:rPr>
              <w:t>Peak uplift max 7%</w:t>
            </w:r>
          </w:p>
        </w:tc>
        <w:tc>
          <w:tcPr>
            <w:tcW w:type="dxa" w:w="1416"/>
            <w:tcMar>
              <w:top w:w="90" w:type="dxa"/>
              <w:start w:w="90" w:type="dxa"/>
              <w:bottom w:w="90" w:type="dxa"/>
              <w:end w:w="90" w:type="dxa"/>
            </w:tcMar>
            <w:vAlign w:val="center"/>
          </w:tcPr>
          <w:p>
            <w:pPr>
              <w:jc w:val="left"/>
            </w:pPr>
            <w:r>
              <w:rPr>
                <w:rFonts w:ascii="Aptos" w:hAnsi="Aptos"/>
                <w:b w:val="0"/>
                <w:i w:val="0"/>
                <w:sz w:val="18"/>
              </w:rPr>
              <w:t>ODA and COD extra only if approved</w:t>
            </w:r>
          </w:p>
        </w:tc>
      </w:tr>
      <w:tr>
        <w:tc>
          <w:tcPr>
            <w:tcW w:type="dxa" w:w="1416"/>
            <w:tcMar>
              <w:top w:w="90" w:type="dxa"/>
              <w:start w:w="90" w:type="dxa"/>
              <w:bottom w:w="90" w:type="dxa"/>
              <w:end w:w="90" w:type="dxa"/>
            </w:tcMar>
            <w:vAlign w:val="center"/>
          </w:tcPr>
          <w:p>
            <w:pPr>
              <w:jc w:val="left"/>
            </w:pPr>
            <w:r>
              <w:rPr>
                <w:rFonts w:ascii="Aptos" w:hAnsi="Aptos"/>
                <w:b w:val="0"/>
                <w:i w:val="0"/>
                <w:sz w:val="18"/>
              </w:rPr>
              <w:t>Parcel Reverse</w:t>
            </w:r>
          </w:p>
        </w:tc>
        <w:tc>
          <w:tcPr>
            <w:tcW w:type="dxa" w:w="1416"/>
            <w:tcMar>
              <w:top w:w="90" w:type="dxa"/>
              <w:start w:w="90" w:type="dxa"/>
              <w:bottom w:w="90" w:type="dxa"/>
              <w:end w:w="90" w:type="dxa"/>
            </w:tcMar>
            <w:vAlign w:val="center"/>
          </w:tcPr>
          <w:p>
            <w:pPr>
              <w:jc w:val="left"/>
            </w:pPr>
            <w:r>
              <w:rPr>
                <w:rFonts w:ascii="Aptos" w:hAnsi="Aptos"/>
                <w:b w:val="0"/>
                <w:i w:val="0"/>
                <w:sz w:val="18"/>
              </w:rPr>
              <w:t>Per Shipment up to 5 kg</w:t>
            </w:r>
          </w:p>
        </w:tc>
        <w:tc>
          <w:tcPr>
            <w:tcW w:type="dxa" w:w="1416"/>
            <w:tcMar>
              <w:top w:w="90" w:type="dxa"/>
              <w:start w:w="90" w:type="dxa"/>
              <w:bottom w:w="90" w:type="dxa"/>
              <w:end w:w="90" w:type="dxa"/>
            </w:tcMar>
            <w:vAlign w:val="center"/>
          </w:tcPr>
          <w:p>
            <w:pPr>
              <w:jc w:val="center"/>
            </w:pPr>
            <w:r>
              <w:rPr>
                <w:rFonts w:ascii="Aptos" w:hAnsi="Aptos"/>
                <w:b w:val="0"/>
                <w:i w:val="0"/>
                <w:sz w:val="18"/>
              </w:rPr>
              <w:t>INR 74</w:t>
            </w:r>
          </w:p>
        </w:tc>
        <w:tc>
          <w:tcPr>
            <w:tcW w:type="dxa" w:w="1416"/>
            <w:tcMar>
              <w:top w:w="90" w:type="dxa"/>
              <w:start w:w="90" w:type="dxa"/>
              <w:bottom w:w="90" w:type="dxa"/>
              <w:end w:w="90" w:type="dxa"/>
            </w:tcMar>
            <w:vAlign w:val="center"/>
          </w:tcPr>
          <w:p>
            <w:pPr>
              <w:jc w:val="left"/>
            </w:pPr>
            <w:r>
              <w:rPr>
                <w:rFonts w:ascii="Aptos" w:hAnsi="Aptos"/>
                <w:b w:val="0"/>
                <w:i w:val="0"/>
                <w:sz w:val="18"/>
              </w:rPr>
              <w:t>1 pickup attempt</w:t>
            </w:r>
          </w:p>
        </w:tc>
        <w:tc>
          <w:tcPr>
            <w:tcW w:type="dxa" w:w="1416"/>
            <w:tcMar>
              <w:top w:w="90" w:type="dxa"/>
              <w:start w:w="90" w:type="dxa"/>
              <w:bottom w:w="90" w:type="dxa"/>
              <w:end w:w="90" w:type="dxa"/>
            </w:tcMar>
            <w:vAlign w:val="center"/>
          </w:tcPr>
          <w:p>
            <w:pPr>
              <w:jc w:val="center"/>
            </w:pPr>
            <w:r>
              <w:rPr>
                <w:rFonts w:ascii="Aptos" w:hAnsi="Aptos"/>
                <w:b w:val="0"/>
                <w:i w:val="0"/>
                <w:sz w:val="18"/>
              </w:rPr>
              <w:t>INR 15 reattempt</w:t>
            </w:r>
          </w:p>
        </w:tc>
        <w:tc>
          <w:tcPr>
            <w:tcW w:type="dxa" w:w="1416"/>
            <w:tcMar>
              <w:top w:w="90" w:type="dxa"/>
              <w:start w:w="90" w:type="dxa"/>
              <w:bottom w:w="90" w:type="dxa"/>
              <w:end w:w="90" w:type="dxa"/>
            </w:tcMar>
            <w:vAlign w:val="center"/>
          </w:tcPr>
          <w:p>
            <w:pPr>
              <w:jc w:val="center"/>
            </w:pPr>
            <w:r>
              <w:rPr>
                <w:rFonts w:ascii="Aptos" w:hAnsi="Aptos"/>
                <w:b w:val="0"/>
                <w:i w:val="0"/>
                <w:sz w:val="18"/>
              </w:rPr>
              <w:t>Peak uplift max 5%</w:t>
            </w:r>
          </w:p>
        </w:tc>
        <w:tc>
          <w:tcPr>
            <w:tcW w:type="dxa" w:w="1416"/>
            <w:tcMar>
              <w:top w:w="90" w:type="dxa"/>
              <w:start w:w="90" w:type="dxa"/>
              <w:bottom w:w="90" w:type="dxa"/>
              <w:end w:w="90" w:type="dxa"/>
            </w:tcMar>
            <w:vAlign w:val="center"/>
          </w:tcPr>
          <w:p>
            <w:pPr>
              <w:jc w:val="left"/>
            </w:pPr>
            <w:r>
              <w:rPr>
                <w:rFonts w:ascii="Aptos" w:hAnsi="Aptos"/>
                <w:b w:val="0"/>
                <w:i w:val="0"/>
                <w:sz w:val="18"/>
              </w:rPr>
              <w:t>QC scan mandatory</w:t>
            </w:r>
          </w:p>
        </w:tc>
      </w:tr>
      <w:tr>
        <w:tc>
          <w:tcPr>
            <w:tcW w:type="dxa" w:w="1416"/>
            <w:tcMar>
              <w:top w:w="90" w:type="dxa"/>
              <w:start w:w="90" w:type="dxa"/>
              <w:bottom w:w="90" w:type="dxa"/>
              <w:end w:w="90" w:type="dxa"/>
            </w:tcMar>
            <w:vAlign w:val="center"/>
          </w:tcPr>
          <w:p>
            <w:pPr>
              <w:jc w:val="left"/>
            </w:pPr>
            <w:r>
              <w:rPr>
                <w:rFonts w:ascii="Aptos" w:hAnsi="Aptos"/>
                <w:b w:val="0"/>
                <w:i w:val="0"/>
                <w:sz w:val="18"/>
              </w:rPr>
              <w:t>LCV City Distribution</w:t>
            </w:r>
          </w:p>
        </w:tc>
        <w:tc>
          <w:tcPr>
            <w:tcW w:type="dxa" w:w="1416"/>
            <w:tcMar>
              <w:top w:w="90" w:type="dxa"/>
              <w:start w:w="90" w:type="dxa"/>
              <w:bottom w:w="90" w:type="dxa"/>
              <w:end w:w="90" w:type="dxa"/>
            </w:tcMar>
            <w:vAlign w:val="center"/>
          </w:tcPr>
          <w:p>
            <w:pPr>
              <w:jc w:val="left"/>
            </w:pPr>
            <w:r>
              <w:rPr>
                <w:rFonts w:ascii="Aptos" w:hAnsi="Aptos"/>
                <w:b w:val="0"/>
                <w:i w:val="0"/>
                <w:sz w:val="18"/>
              </w:rPr>
              <w:t>Per trip up to 8 hrs / 80 km</w:t>
            </w:r>
          </w:p>
        </w:tc>
        <w:tc>
          <w:tcPr>
            <w:tcW w:type="dxa" w:w="1416"/>
            <w:tcMar>
              <w:top w:w="90" w:type="dxa"/>
              <w:start w:w="90" w:type="dxa"/>
              <w:bottom w:w="90" w:type="dxa"/>
              <w:end w:w="90" w:type="dxa"/>
            </w:tcMar>
            <w:vAlign w:val="center"/>
          </w:tcPr>
          <w:p>
            <w:pPr>
              <w:jc w:val="center"/>
            </w:pPr>
            <w:r>
              <w:rPr>
                <w:rFonts w:ascii="Aptos" w:hAnsi="Aptos"/>
                <w:b w:val="0"/>
                <w:i w:val="0"/>
                <w:sz w:val="18"/>
              </w:rPr>
              <w:t>INR 3,850</w:t>
            </w:r>
          </w:p>
        </w:tc>
        <w:tc>
          <w:tcPr>
            <w:tcW w:type="dxa" w:w="1416"/>
            <w:tcMar>
              <w:top w:w="90" w:type="dxa"/>
              <w:start w:w="90" w:type="dxa"/>
              <w:bottom w:w="90" w:type="dxa"/>
              <w:end w:w="90" w:type="dxa"/>
            </w:tcMar>
            <w:vAlign w:val="center"/>
          </w:tcPr>
          <w:p>
            <w:pPr>
              <w:jc w:val="left"/>
            </w:pPr>
            <w:r>
              <w:rPr>
                <w:rFonts w:ascii="Aptos" w:hAnsi="Aptos"/>
                <w:b w:val="0"/>
                <w:i w:val="0"/>
                <w:sz w:val="18"/>
              </w:rPr>
              <w:t>First 60 min waiting</w:t>
            </w:r>
          </w:p>
        </w:tc>
        <w:tc>
          <w:tcPr>
            <w:tcW w:type="dxa" w:w="1416"/>
            <w:tcMar>
              <w:top w:w="90" w:type="dxa"/>
              <w:start w:w="90" w:type="dxa"/>
              <w:bottom w:w="90" w:type="dxa"/>
              <w:end w:w="90" w:type="dxa"/>
            </w:tcMar>
            <w:vAlign w:val="center"/>
          </w:tcPr>
          <w:p>
            <w:pPr>
              <w:jc w:val="center"/>
            </w:pPr>
            <w:r>
              <w:rPr>
                <w:rFonts w:ascii="Aptos" w:hAnsi="Aptos"/>
                <w:b w:val="0"/>
                <w:i w:val="0"/>
                <w:sz w:val="18"/>
              </w:rPr>
              <w:t>INR 350 per extra hour</w:t>
            </w:r>
          </w:p>
        </w:tc>
        <w:tc>
          <w:tcPr>
            <w:tcW w:type="dxa" w:w="1416"/>
            <w:tcMar>
              <w:top w:w="90" w:type="dxa"/>
              <w:start w:w="90" w:type="dxa"/>
              <w:bottom w:w="90" w:type="dxa"/>
              <w:end w:w="90" w:type="dxa"/>
            </w:tcMar>
            <w:vAlign w:val="center"/>
          </w:tcPr>
          <w:p>
            <w:pPr>
              <w:jc w:val="center"/>
            </w:pPr>
            <w:r>
              <w:rPr>
                <w:rFonts w:ascii="Aptos" w:hAnsi="Aptos"/>
                <w:b w:val="0"/>
                <w:i w:val="0"/>
                <w:sz w:val="18"/>
              </w:rPr>
              <w:t>Peak uplift max 10%</w:t>
            </w:r>
          </w:p>
        </w:tc>
        <w:tc>
          <w:tcPr>
            <w:tcW w:type="dxa" w:w="1416"/>
            <w:tcMar>
              <w:top w:w="90" w:type="dxa"/>
              <w:start w:w="90" w:type="dxa"/>
              <w:bottom w:w="90" w:type="dxa"/>
              <w:end w:w="90" w:type="dxa"/>
            </w:tcMar>
            <w:vAlign w:val="center"/>
          </w:tcPr>
          <w:p>
            <w:pPr>
              <w:jc w:val="left"/>
            </w:pPr>
            <w:r>
              <w:rPr>
                <w:rFonts w:ascii="Aptos" w:hAnsi="Aptos"/>
                <w:b w:val="0"/>
                <w:i w:val="0"/>
                <w:sz w:val="18"/>
              </w:rPr>
              <w:t>Driver helper inclusive</w:t>
            </w:r>
          </w:p>
        </w:tc>
      </w:tr>
      <w:tr>
        <w:tc>
          <w:tcPr>
            <w:tcW w:type="dxa" w:w="1416"/>
            <w:tcMar>
              <w:top w:w="90" w:type="dxa"/>
              <w:start w:w="90" w:type="dxa"/>
              <w:bottom w:w="90" w:type="dxa"/>
              <w:end w:w="90" w:type="dxa"/>
            </w:tcMar>
            <w:vAlign w:val="center"/>
          </w:tcPr>
          <w:p>
            <w:pPr>
              <w:jc w:val="left"/>
            </w:pPr>
            <w:r>
              <w:rPr>
                <w:rFonts w:ascii="Aptos" w:hAnsi="Aptos"/>
                <w:b w:val="0"/>
                <w:i w:val="0"/>
                <w:sz w:val="18"/>
              </w:rPr>
              <w:t>HCV Linehaul 9T</w:t>
            </w:r>
          </w:p>
        </w:tc>
        <w:tc>
          <w:tcPr>
            <w:tcW w:type="dxa" w:w="1416"/>
            <w:tcMar>
              <w:top w:w="90" w:type="dxa"/>
              <w:start w:w="90" w:type="dxa"/>
              <w:bottom w:w="90" w:type="dxa"/>
              <w:end w:w="90" w:type="dxa"/>
            </w:tcMar>
            <w:vAlign w:val="center"/>
          </w:tcPr>
          <w:p>
            <w:pPr>
              <w:jc w:val="left"/>
            </w:pPr>
            <w:r>
              <w:rPr>
                <w:rFonts w:ascii="Aptos" w:hAnsi="Aptos"/>
                <w:b w:val="0"/>
                <w:i w:val="0"/>
                <w:sz w:val="18"/>
              </w:rPr>
              <w:t>Per km</w:t>
            </w:r>
          </w:p>
        </w:tc>
        <w:tc>
          <w:tcPr>
            <w:tcW w:type="dxa" w:w="1416"/>
            <w:tcMar>
              <w:top w:w="90" w:type="dxa"/>
              <w:start w:w="90" w:type="dxa"/>
              <w:bottom w:w="90" w:type="dxa"/>
              <w:end w:w="90" w:type="dxa"/>
            </w:tcMar>
            <w:vAlign w:val="center"/>
          </w:tcPr>
          <w:p>
            <w:pPr>
              <w:jc w:val="center"/>
            </w:pPr>
            <w:r>
              <w:rPr>
                <w:rFonts w:ascii="Aptos" w:hAnsi="Aptos"/>
                <w:b w:val="0"/>
                <w:i w:val="0"/>
                <w:sz w:val="18"/>
              </w:rPr>
              <w:t>INR 38.50</w:t>
            </w:r>
          </w:p>
        </w:tc>
        <w:tc>
          <w:tcPr>
            <w:tcW w:type="dxa" w:w="1416"/>
            <w:tcMar>
              <w:top w:w="90" w:type="dxa"/>
              <w:start w:w="90" w:type="dxa"/>
              <w:bottom w:w="90" w:type="dxa"/>
              <w:end w:w="90" w:type="dxa"/>
            </w:tcMar>
            <w:vAlign w:val="center"/>
          </w:tcPr>
          <w:p>
            <w:pPr>
              <w:jc w:val="left"/>
            </w:pPr>
            <w:r>
              <w:rPr>
                <w:rFonts w:ascii="Aptos" w:hAnsi="Aptos"/>
                <w:b w:val="0"/>
                <w:i w:val="0"/>
                <w:sz w:val="18"/>
              </w:rPr>
              <w:t>2 hrs loading + 2 hrs unloading</w:t>
            </w:r>
          </w:p>
        </w:tc>
        <w:tc>
          <w:tcPr>
            <w:tcW w:type="dxa" w:w="1416"/>
            <w:tcMar>
              <w:top w:w="90" w:type="dxa"/>
              <w:start w:w="90" w:type="dxa"/>
              <w:bottom w:w="90" w:type="dxa"/>
              <w:end w:w="90" w:type="dxa"/>
            </w:tcMar>
            <w:vAlign w:val="center"/>
          </w:tcPr>
          <w:p>
            <w:pPr>
              <w:jc w:val="center"/>
            </w:pPr>
            <w:r>
              <w:rPr>
                <w:rFonts w:ascii="Aptos" w:hAnsi="Aptos"/>
                <w:b w:val="0"/>
                <w:i w:val="0"/>
                <w:sz w:val="18"/>
              </w:rPr>
              <w:t>INR 450 per extra hour</w:t>
            </w:r>
          </w:p>
        </w:tc>
        <w:tc>
          <w:tcPr>
            <w:tcW w:type="dxa" w:w="1416"/>
            <w:tcMar>
              <w:top w:w="90" w:type="dxa"/>
              <w:start w:w="90" w:type="dxa"/>
              <w:bottom w:w="90" w:type="dxa"/>
              <w:end w:w="90" w:type="dxa"/>
            </w:tcMar>
            <w:vAlign w:val="center"/>
          </w:tcPr>
          <w:p>
            <w:pPr>
              <w:jc w:val="center"/>
            </w:pPr>
            <w:r>
              <w:rPr>
                <w:rFonts w:ascii="Aptos" w:hAnsi="Aptos"/>
                <w:b w:val="0"/>
                <w:i w:val="0"/>
                <w:sz w:val="18"/>
              </w:rPr>
              <w:t>Fuel linked</w:t>
            </w:r>
          </w:p>
        </w:tc>
        <w:tc>
          <w:tcPr>
            <w:tcW w:type="dxa" w:w="1416"/>
            <w:tcMar>
              <w:top w:w="90" w:type="dxa"/>
              <w:start w:w="90" w:type="dxa"/>
              <w:bottom w:w="90" w:type="dxa"/>
              <w:end w:w="90" w:type="dxa"/>
            </w:tcMar>
            <w:vAlign w:val="center"/>
          </w:tcPr>
          <w:p>
            <w:pPr>
              <w:jc w:val="left"/>
            </w:pPr>
            <w:r>
              <w:rPr>
                <w:rFonts w:ascii="Aptos" w:hAnsi="Aptos"/>
                <w:b w:val="0"/>
                <w:i w:val="0"/>
                <w:sz w:val="18"/>
              </w:rPr>
              <w:t>Toll included</w:t>
            </w:r>
          </w:p>
        </w:tc>
      </w:tr>
      <w:tr>
        <w:tc>
          <w:tcPr>
            <w:tcW w:type="dxa" w:w="1416"/>
            <w:tcMar>
              <w:top w:w="90" w:type="dxa"/>
              <w:start w:w="90" w:type="dxa"/>
              <w:bottom w:w="90" w:type="dxa"/>
              <w:end w:w="90" w:type="dxa"/>
            </w:tcMar>
            <w:vAlign w:val="center"/>
          </w:tcPr>
          <w:p>
            <w:pPr>
              <w:jc w:val="left"/>
            </w:pPr>
            <w:r>
              <w:rPr>
                <w:rFonts w:ascii="Aptos" w:hAnsi="Aptos"/>
                <w:b w:val="0"/>
                <w:i w:val="0"/>
                <w:sz w:val="18"/>
              </w:rPr>
              <w:t>HCV Linehaul 16T</w:t>
            </w:r>
          </w:p>
        </w:tc>
        <w:tc>
          <w:tcPr>
            <w:tcW w:type="dxa" w:w="1416"/>
            <w:tcMar>
              <w:top w:w="90" w:type="dxa"/>
              <w:start w:w="90" w:type="dxa"/>
              <w:bottom w:w="90" w:type="dxa"/>
              <w:end w:w="90" w:type="dxa"/>
            </w:tcMar>
            <w:vAlign w:val="center"/>
          </w:tcPr>
          <w:p>
            <w:pPr>
              <w:jc w:val="left"/>
            </w:pPr>
            <w:r>
              <w:rPr>
                <w:rFonts w:ascii="Aptos" w:hAnsi="Aptos"/>
                <w:b w:val="0"/>
                <w:i w:val="0"/>
                <w:sz w:val="18"/>
              </w:rPr>
              <w:t>Per km</w:t>
            </w:r>
          </w:p>
        </w:tc>
        <w:tc>
          <w:tcPr>
            <w:tcW w:type="dxa" w:w="1416"/>
            <w:tcMar>
              <w:top w:w="90" w:type="dxa"/>
              <w:start w:w="90" w:type="dxa"/>
              <w:bottom w:w="90" w:type="dxa"/>
              <w:end w:w="90" w:type="dxa"/>
            </w:tcMar>
            <w:vAlign w:val="center"/>
          </w:tcPr>
          <w:p>
            <w:pPr>
              <w:jc w:val="center"/>
            </w:pPr>
            <w:r>
              <w:rPr>
                <w:rFonts w:ascii="Aptos" w:hAnsi="Aptos"/>
                <w:b w:val="0"/>
                <w:i w:val="0"/>
                <w:sz w:val="18"/>
              </w:rPr>
              <w:t>INR 52.00</w:t>
            </w:r>
          </w:p>
        </w:tc>
        <w:tc>
          <w:tcPr>
            <w:tcW w:type="dxa" w:w="1416"/>
            <w:tcMar>
              <w:top w:w="90" w:type="dxa"/>
              <w:start w:w="90" w:type="dxa"/>
              <w:bottom w:w="90" w:type="dxa"/>
              <w:end w:w="90" w:type="dxa"/>
            </w:tcMar>
            <w:vAlign w:val="center"/>
          </w:tcPr>
          <w:p>
            <w:pPr>
              <w:jc w:val="left"/>
            </w:pPr>
            <w:r>
              <w:rPr>
                <w:rFonts w:ascii="Aptos" w:hAnsi="Aptos"/>
                <w:b w:val="0"/>
                <w:i w:val="0"/>
                <w:sz w:val="18"/>
              </w:rPr>
              <w:t>2 hrs loading + 2 hrs unloading</w:t>
            </w:r>
          </w:p>
        </w:tc>
        <w:tc>
          <w:tcPr>
            <w:tcW w:type="dxa" w:w="1416"/>
            <w:tcMar>
              <w:top w:w="90" w:type="dxa"/>
              <w:start w:w="90" w:type="dxa"/>
              <w:bottom w:w="90" w:type="dxa"/>
              <w:end w:w="90" w:type="dxa"/>
            </w:tcMar>
            <w:vAlign w:val="center"/>
          </w:tcPr>
          <w:p>
            <w:pPr>
              <w:jc w:val="center"/>
            </w:pPr>
            <w:r>
              <w:rPr>
                <w:rFonts w:ascii="Aptos" w:hAnsi="Aptos"/>
                <w:b w:val="0"/>
                <w:i w:val="0"/>
                <w:sz w:val="18"/>
              </w:rPr>
              <w:t>INR 600 per extra hour</w:t>
            </w:r>
          </w:p>
        </w:tc>
        <w:tc>
          <w:tcPr>
            <w:tcW w:type="dxa" w:w="1416"/>
            <w:tcMar>
              <w:top w:w="90" w:type="dxa"/>
              <w:start w:w="90" w:type="dxa"/>
              <w:bottom w:w="90" w:type="dxa"/>
              <w:end w:w="90" w:type="dxa"/>
            </w:tcMar>
            <w:vAlign w:val="center"/>
          </w:tcPr>
          <w:p>
            <w:pPr>
              <w:jc w:val="center"/>
            </w:pPr>
            <w:r>
              <w:rPr>
                <w:rFonts w:ascii="Aptos" w:hAnsi="Aptos"/>
                <w:b w:val="0"/>
                <w:i w:val="0"/>
                <w:sz w:val="18"/>
              </w:rPr>
              <w:t>Fuel linked</w:t>
            </w:r>
          </w:p>
        </w:tc>
        <w:tc>
          <w:tcPr>
            <w:tcW w:type="dxa" w:w="1416"/>
            <w:tcMar>
              <w:top w:w="90" w:type="dxa"/>
              <w:start w:w="90" w:type="dxa"/>
              <w:bottom w:w="90" w:type="dxa"/>
              <w:end w:w="90" w:type="dxa"/>
            </w:tcMar>
            <w:vAlign w:val="center"/>
          </w:tcPr>
          <w:p>
            <w:pPr>
              <w:jc w:val="left"/>
            </w:pPr>
            <w:r>
              <w:rPr>
                <w:rFonts w:ascii="Aptos" w:hAnsi="Aptos"/>
                <w:b w:val="0"/>
                <w:i w:val="0"/>
                <w:sz w:val="18"/>
              </w:rPr>
              <w:t>Toll included</w:t>
            </w:r>
          </w:p>
        </w:tc>
      </w:tr>
      <w:tr>
        <w:tc>
          <w:tcPr>
            <w:tcW w:type="dxa" w:w="1416"/>
            <w:tcMar>
              <w:top w:w="90" w:type="dxa"/>
              <w:start w:w="90" w:type="dxa"/>
              <w:bottom w:w="90" w:type="dxa"/>
              <w:end w:w="90" w:type="dxa"/>
            </w:tcMar>
            <w:vAlign w:val="center"/>
          </w:tcPr>
          <w:p>
            <w:pPr>
              <w:jc w:val="left"/>
            </w:pPr>
            <w:r>
              <w:rPr>
                <w:rFonts w:ascii="Aptos" w:hAnsi="Aptos"/>
                <w:b w:val="0"/>
                <w:i w:val="0"/>
                <w:sz w:val="18"/>
              </w:rPr>
              <w:t>Dedicated Fleet</w:t>
            </w:r>
          </w:p>
        </w:tc>
        <w:tc>
          <w:tcPr>
            <w:tcW w:type="dxa" w:w="1416"/>
            <w:tcMar>
              <w:top w:w="90" w:type="dxa"/>
              <w:start w:w="90" w:type="dxa"/>
              <w:bottom w:w="90" w:type="dxa"/>
              <w:end w:w="90" w:type="dxa"/>
            </w:tcMar>
            <w:vAlign w:val="center"/>
          </w:tcPr>
          <w:p>
            <w:pPr>
              <w:jc w:val="left"/>
            </w:pPr>
            <w:r>
              <w:rPr>
                <w:rFonts w:ascii="Aptos" w:hAnsi="Aptos"/>
                <w:b w:val="0"/>
                <w:i w:val="0"/>
                <w:sz w:val="18"/>
              </w:rPr>
              <w:t>Per vehicle per day</w:t>
            </w:r>
          </w:p>
        </w:tc>
        <w:tc>
          <w:tcPr>
            <w:tcW w:type="dxa" w:w="1416"/>
            <w:tcMar>
              <w:top w:w="90" w:type="dxa"/>
              <w:start w:w="90" w:type="dxa"/>
              <w:bottom w:w="90" w:type="dxa"/>
              <w:end w:w="90" w:type="dxa"/>
            </w:tcMar>
            <w:vAlign w:val="center"/>
          </w:tcPr>
          <w:p>
            <w:pPr>
              <w:jc w:val="center"/>
            </w:pPr>
            <w:r>
              <w:rPr>
                <w:rFonts w:ascii="Aptos" w:hAnsi="Aptos"/>
                <w:b w:val="0"/>
                <w:i w:val="0"/>
                <w:sz w:val="18"/>
              </w:rPr>
              <w:t>INR 7,900</w:t>
            </w:r>
          </w:p>
        </w:tc>
        <w:tc>
          <w:tcPr>
            <w:tcW w:type="dxa" w:w="1416"/>
            <w:tcMar>
              <w:top w:w="90" w:type="dxa"/>
              <w:start w:w="90" w:type="dxa"/>
              <w:bottom w:w="90" w:type="dxa"/>
              <w:end w:w="90" w:type="dxa"/>
            </w:tcMar>
            <w:vAlign w:val="center"/>
          </w:tcPr>
          <w:p>
            <w:pPr>
              <w:jc w:val="left"/>
            </w:pPr>
            <w:r>
              <w:rPr>
                <w:rFonts w:ascii="Aptos" w:hAnsi="Aptos"/>
                <w:b w:val="0"/>
                <w:i w:val="0"/>
                <w:sz w:val="18"/>
              </w:rPr>
              <w:t>10 hrs / 120 km</w:t>
            </w:r>
          </w:p>
        </w:tc>
        <w:tc>
          <w:tcPr>
            <w:tcW w:type="dxa" w:w="1416"/>
            <w:tcMar>
              <w:top w:w="90" w:type="dxa"/>
              <w:start w:w="90" w:type="dxa"/>
              <w:bottom w:w="90" w:type="dxa"/>
              <w:end w:w="90" w:type="dxa"/>
            </w:tcMar>
            <w:vAlign w:val="center"/>
          </w:tcPr>
          <w:p>
            <w:pPr>
              <w:jc w:val="center"/>
            </w:pPr>
            <w:r>
              <w:rPr>
                <w:rFonts w:ascii="Aptos" w:hAnsi="Aptos"/>
                <w:b w:val="0"/>
                <w:i w:val="0"/>
                <w:sz w:val="18"/>
              </w:rPr>
              <w:t>INR 18 per extra km; INR 450 per extra hr</w:t>
            </w:r>
          </w:p>
        </w:tc>
        <w:tc>
          <w:tcPr>
            <w:tcW w:type="dxa" w:w="1416"/>
            <w:tcMar>
              <w:top w:w="90" w:type="dxa"/>
              <w:start w:w="90" w:type="dxa"/>
              <w:bottom w:w="90" w:type="dxa"/>
              <w:end w:w="90" w:type="dxa"/>
            </w:tcMar>
            <w:vAlign w:val="center"/>
          </w:tcPr>
          <w:p>
            <w:pPr>
              <w:jc w:val="center"/>
            </w:pPr>
            <w:r>
              <w:rPr>
                <w:rFonts w:ascii="Aptos" w:hAnsi="Aptos"/>
                <w:b w:val="0"/>
                <w:i w:val="0"/>
                <w:sz w:val="18"/>
              </w:rPr>
              <w:t>Fuel linked</w:t>
            </w:r>
          </w:p>
        </w:tc>
        <w:tc>
          <w:tcPr>
            <w:tcW w:type="dxa" w:w="1416"/>
            <w:tcMar>
              <w:top w:w="90" w:type="dxa"/>
              <w:start w:w="90" w:type="dxa"/>
              <w:bottom w:w="90" w:type="dxa"/>
              <w:end w:w="90" w:type="dxa"/>
            </w:tcMar>
            <w:vAlign w:val="center"/>
          </w:tcPr>
          <w:p>
            <w:pPr>
              <w:jc w:val="left"/>
            </w:pPr>
            <w:r>
              <w:rPr>
                <w:rFonts w:ascii="Aptos" w:hAnsi="Aptos"/>
                <w:b w:val="0"/>
                <w:i w:val="0"/>
                <w:sz w:val="18"/>
              </w:rPr>
              <w:t>Fill factor discount may apply</w:t>
            </w:r>
          </w:p>
        </w:tc>
      </w:tr>
    </w:tbl>
    <w:p>
      <w:pPr>
        <w:spacing w:before="0" w:after="40" w:line="276" w:lineRule="auto"/>
      </w:pPr>
      <w:r>
        <w:rPr>
          <w:rFonts w:ascii="Aptos" w:hAnsi="Aptos"/>
          <w:b w:val="0"/>
          <w:i w:val="0"/>
          <w:sz w:val="20"/>
        </w:rPr>
        <w:t>Fuel Index: the linehaul component shall escalate or de-escalate by 0.75% for every full INR 2.00/litre increase or decrease in average retail diesel price from the Base Diesel Price, subject to a collar of +/-2.25% per month and a floor/ceiling of -9.00% / +9.00% in any rolling quarter.</w:t>
      </w:r>
    </w:p>
    <w:p>
      <w:pPr>
        <w:spacing w:before="0" w:after="40" w:line="276" w:lineRule="auto"/>
      </w:pPr>
      <w:r>
        <w:rPr>
          <w:rFonts w:ascii="Aptos" w:hAnsi="Aptos"/>
          <w:b w:val="0"/>
          <w:i w:val="0"/>
          <w:sz w:val="20"/>
        </w:rPr>
        <w:t>Volumetric Formula: volumetric weight (kg) = length x breadth x height in cm / 5000, unless a customer-specific formula is stated in the relevant annexure.</w:t>
      </w:r>
    </w:p>
    <w:p>
      <w:pPr>
        <w:pStyle w:val="Heading2"/>
        <w:spacing w:before="100" w:after="60" w:line="276" w:lineRule="auto"/>
      </w:pPr>
      <w:r>
        <w:rPr>
          <w:rFonts w:ascii="Aptos" w:hAnsi="Aptos"/>
          <w:b/>
          <w:i w:val="0"/>
          <w:color w:val="2F5597"/>
          <w:sz w:val="23"/>
        </w:rPr>
        <w:t>Schedule B - SLA Matrix and Penalty Table</w:t>
      </w:r>
    </w:p>
    <w:tbl>
      <w:tblPr>
        <w:tblStyle w:val="TableGrid"/>
        <w:tblW w:type="auto" w:w="0"/>
        <w:jc w:val="center"/>
        <w:tblLook w:firstColumn="1" w:firstRow="1" w:lastColumn="0" w:lastRow="0" w:noHBand="0" w:noVBand="1" w:val="04A0"/>
      </w:tblPr>
      <w:tblGrid>
        <w:gridCol w:w="1652"/>
        <w:gridCol w:w="1652"/>
        <w:gridCol w:w="1652"/>
        <w:gridCol w:w="1652"/>
        <w:gridCol w:w="1652"/>
        <w:gridCol w:w="1652"/>
      </w:tblGrid>
      <w:tr>
        <w:tc>
          <w:tcPr>
            <w:tcW w:type="dxa" w:w="1652"/>
            <w:shd w:fill="D9EAF7"/>
            <w:tcMar>
              <w:top w:w="90" w:type="dxa"/>
              <w:start w:w="90" w:type="dxa"/>
              <w:bottom w:w="90" w:type="dxa"/>
              <w:end w:w="90" w:type="dxa"/>
            </w:tcMar>
            <w:vAlign w:val="center"/>
          </w:tcPr>
          <w:p>
            <w:pPr>
              <w:jc w:val="center"/>
            </w:pPr>
            <w:r>
              <w:rPr>
                <w:rFonts w:ascii="Aptos" w:hAnsi="Aptos"/>
                <w:b/>
                <w:i w:val="0"/>
                <w:color w:val="1F3A5F"/>
                <w:sz w:val="19"/>
              </w:rPr>
              <w:t>Metric/Event</w:t>
            </w:r>
          </w:p>
        </w:tc>
        <w:tc>
          <w:tcPr>
            <w:tcW w:type="dxa" w:w="1652"/>
            <w:shd w:fill="D9EAF7"/>
            <w:tcMar>
              <w:top w:w="90" w:type="dxa"/>
              <w:start w:w="90" w:type="dxa"/>
              <w:bottom w:w="90" w:type="dxa"/>
              <w:end w:w="90" w:type="dxa"/>
            </w:tcMar>
            <w:vAlign w:val="center"/>
          </w:tcPr>
          <w:p>
            <w:pPr>
              <w:jc w:val="center"/>
            </w:pPr>
            <w:r>
              <w:rPr>
                <w:rFonts w:ascii="Aptos" w:hAnsi="Aptos"/>
                <w:b/>
                <w:i w:val="0"/>
                <w:color w:val="1F3A5F"/>
                <w:sz w:val="19"/>
              </w:rPr>
              <w:t>Target</w:t>
            </w:r>
          </w:p>
        </w:tc>
        <w:tc>
          <w:tcPr>
            <w:tcW w:type="dxa" w:w="1652"/>
            <w:shd w:fill="D9EAF7"/>
            <w:tcMar>
              <w:top w:w="90" w:type="dxa"/>
              <w:start w:w="90" w:type="dxa"/>
              <w:bottom w:w="90" w:type="dxa"/>
              <w:end w:w="90" w:type="dxa"/>
            </w:tcMar>
            <w:vAlign w:val="center"/>
          </w:tcPr>
          <w:p>
            <w:pPr>
              <w:jc w:val="center"/>
            </w:pPr>
            <w:r>
              <w:rPr>
                <w:rFonts w:ascii="Aptos" w:hAnsi="Aptos"/>
                <w:b/>
                <w:i w:val="0"/>
                <w:color w:val="1F3A5F"/>
                <w:sz w:val="19"/>
              </w:rPr>
              <w:t>Breach Band 1</w:t>
            </w:r>
          </w:p>
        </w:tc>
        <w:tc>
          <w:tcPr>
            <w:tcW w:type="dxa" w:w="1652"/>
            <w:shd w:fill="D9EAF7"/>
            <w:tcMar>
              <w:top w:w="90" w:type="dxa"/>
              <w:start w:w="90" w:type="dxa"/>
              <w:bottom w:w="90" w:type="dxa"/>
              <w:end w:w="90" w:type="dxa"/>
            </w:tcMar>
            <w:vAlign w:val="center"/>
          </w:tcPr>
          <w:p>
            <w:pPr>
              <w:jc w:val="center"/>
            </w:pPr>
            <w:r>
              <w:rPr>
                <w:rFonts w:ascii="Aptos" w:hAnsi="Aptos"/>
                <w:b/>
                <w:i w:val="0"/>
                <w:color w:val="1F3A5F"/>
                <w:sz w:val="19"/>
              </w:rPr>
              <w:t>Breach Band 2</w:t>
            </w:r>
          </w:p>
        </w:tc>
        <w:tc>
          <w:tcPr>
            <w:tcW w:type="dxa" w:w="1652"/>
            <w:shd w:fill="D9EAF7"/>
            <w:tcMar>
              <w:top w:w="90" w:type="dxa"/>
              <w:start w:w="90" w:type="dxa"/>
              <w:bottom w:w="90" w:type="dxa"/>
              <w:end w:w="90" w:type="dxa"/>
            </w:tcMar>
            <w:vAlign w:val="center"/>
          </w:tcPr>
          <w:p>
            <w:pPr>
              <w:jc w:val="center"/>
            </w:pPr>
            <w:r>
              <w:rPr>
                <w:rFonts w:ascii="Aptos" w:hAnsi="Aptos"/>
                <w:b/>
                <w:i w:val="0"/>
                <w:color w:val="1F3A5F"/>
                <w:sz w:val="19"/>
              </w:rPr>
              <w:t>Breach Band 3</w:t>
            </w:r>
          </w:p>
        </w:tc>
        <w:tc>
          <w:tcPr>
            <w:tcW w:type="dxa" w:w="1652"/>
            <w:shd w:fill="D9EAF7"/>
            <w:tcMar>
              <w:top w:w="90" w:type="dxa"/>
              <w:start w:w="90" w:type="dxa"/>
              <w:bottom w:w="90" w:type="dxa"/>
              <w:end w:w="90" w:type="dxa"/>
            </w:tcMar>
            <w:vAlign w:val="center"/>
          </w:tcPr>
          <w:p>
            <w:pPr>
              <w:jc w:val="center"/>
            </w:pPr>
            <w:r>
              <w:rPr>
                <w:rFonts w:ascii="Aptos" w:hAnsi="Aptos"/>
                <w:b/>
                <w:i w:val="0"/>
                <w:color w:val="1F3A5F"/>
                <w:sz w:val="19"/>
              </w:rPr>
              <w:t>Penalty / Effect</w:t>
            </w:r>
          </w:p>
        </w:tc>
      </w:tr>
      <w:tr>
        <w:tc>
          <w:tcPr>
            <w:tcW w:type="dxa" w:w="1652"/>
            <w:tcMar>
              <w:top w:w="90" w:type="dxa"/>
              <w:start w:w="90" w:type="dxa"/>
              <w:bottom w:w="90" w:type="dxa"/>
              <w:end w:w="90" w:type="dxa"/>
            </w:tcMar>
            <w:vAlign w:val="center"/>
          </w:tcPr>
          <w:p>
            <w:pPr>
              <w:jc w:val="left"/>
            </w:pPr>
            <w:r>
              <w:rPr>
                <w:rFonts w:ascii="Aptos" w:hAnsi="Aptos"/>
                <w:b w:val="0"/>
                <w:i w:val="0"/>
                <w:sz w:val="18"/>
              </w:rPr>
              <w:t>Tender acceptance ratio</w:t>
            </w:r>
          </w:p>
        </w:tc>
        <w:tc>
          <w:tcPr>
            <w:tcW w:type="dxa" w:w="1652"/>
            <w:tcMar>
              <w:top w:w="90" w:type="dxa"/>
              <w:start w:w="90" w:type="dxa"/>
              <w:bottom w:w="90" w:type="dxa"/>
              <w:end w:w="90" w:type="dxa"/>
            </w:tcMar>
            <w:vAlign w:val="center"/>
          </w:tcPr>
          <w:p>
            <w:pPr>
              <w:jc w:val="center"/>
            </w:pPr>
            <w:r>
              <w:rPr>
                <w:rFonts w:ascii="Aptos" w:hAnsi="Aptos"/>
                <w:b w:val="0"/>
                <w:i w:val="0"/>
                <w:sz w:val="18"/>
              </w:rPr>
              <w:t>&gt;= 95.0%</w:t>
            </w:r>
          </w:p>
        </w:tc>
        <w:tc>
          <w:tcPr>
            <w:tcW w:type="dxa" w:w="1652"/>
            <w:tcMar>
              <w:top w:w="90" w:type="dxa"/>
              <w:start w:w="90" w:type="dxa"/>
              <w:bottom w:w="90" w:type="dxa"/>
              <w:end w:w="90" w:type="dxa"/>
            </w:tcMar>
            <w:vAlign w:val="center"/>
          </w:tcPr>
          <w:p>
            <w:pPr>
              <w:jc w:val="center"/>
            </w:pPr>
            <w:r>
              <w:rPr>
                <w:rFonts w:ascii="Aptos" w:hAnsi="Aptos"/>
                <w:b w:val="0"/>
                <w:i w:val="0"/>
                <w:sz w:val="18"/>
              </w:rPr>
              <w:t>93.0-94.99%</w:t>
            </w:r>
          </w:p>
        </w:tc>
        <w:tc>
          <w:tcPr>
            <w:tcW w:type="dxa" w:w="1652"/>
            <w:tcMar>
              <w:top w:w="90" w:type="dxa"/>
              <w:start w:w="90" w:type="dxa"/>
              <w:bottom w:w="90" w:type="dxa"/>
              <w:end w:w="90" w:type="dxa"/>
            </w:tcMar>
            <w:vAlign w:val="center"/>
          </w:tcPr>
          <w:p>
            <w:pPr>
              <w:jc w:val="center"/>
            </w:pPr>
            <w:r>
              <w:rPr>
                <w:rFonts w:ascii="Aptos" w:hAnsi="Aptos"/>
                <w:b w:val="0"/>
                <w:i w:val="0"/>
                <w:sz w:val="18"/>
              </w:rPr>
              <w:t>90.0-92.99%</w:t>
            </w:r>
          </w:p>
        </w:tc>
        <w:tc>
          <w:tcPr>
            <w:tcW w:type="dxa" w:w="1652"/>
            <w:tcMar>
              <w:top w:w="90" w:type="dxa"/>
              <w:start w:w="90" w:type="dxa"/>
              <w:bottom w:w="90" w:type="dxa"/>
              <w:end w:w="90" w:type="dxa"/>
            </w:tcMar>
            <w:vAlign w:val="center"/>
          </w:tcPr>
          <w:p>
            <w:pPr>
              <w:jc w:val="center"/>
            </w:pPr>
            <w:r>
              <w:rPr>
                <w:rFonts w:ascii="Aptos" w:hAnsi="Aptos"/>
                <w:b w:val="0"/>
                <w:i w:val="0"/>
                <w:sz w:val="18"/>
              </w:rPr>
              <w:t>&lt; 90.0%</w:t>
            </w:r>
          </w:p>
        </w:tc>
        <w:tc>
          <w:tcPr>
            <w:tcW w:type="dxa" w:w="1652"/>
            <w:tcMar>
              <w:top w:w="90" w:type="dxa"/>
              <w:start w:w="90" w:type="dxa"/>
              <w:bottom w:w="90" w:type="dxa"/>
              <w:end w:w="90" w:type="dxa"/>
            </w:tcMar>
            <w:vAlign w:val="center"/>
          </w:tcPr>
          <w:p>
            <w:pPr>
              <w:jc w:val="center"/>
            </w:pPr>
            <w:r>
              <w:rPr>
                <w:rFonts w:ascii="Aptos" w:hAnsi="Aptos"/>
                <w:b w:val="0"/>
                <w:i w:val="0"/>
                <w:sz w:val="18"/>
              </w:rPr>
              <w:t>0.25% / 0.75% / 1.50% of monthly freight</w:t>
            </w:r>
          </w:p>
        </w:tc>
      </w:tr>
      <w:tr>
        <w:tc>
          <w:tcPr>
            <w:tcW w:type="dxa" w:w="1652"/>
            <w:tcMar>
              <w:top w:w="90" w:type="dxa"/>
              <w:start w:w="90" w:type="dxa"/>
              <w:bottom w:w="90" w:type="dxa"/>
              <w:end w:w="90" w:type="dxa"/>
            </w:tcMar>
            <w:vAlign w:val="center"/>
          </w:tcPr>
          <w:p>
            <w:pPr>
              <w:jc w:val="left"/>
            </w:pPr>
            <w:r>
              <w:rPr>
                <w:rFonts w:ascii="Aptos" w:hAnsi="Aptos"/>
                <w:b w:val="0"/>
                <w:i w:val="0"/>
                <w:sz w:val="18"/>
              </w:rPr>
              <w:t>On-time pickup</w:t>
            </w:r>
          </w:p>
        </w:tc>
        <w:tc>
          <w:tcPr>
            <w:tcW w:type="dxa" w:w="1652"/>
            <w:tcMar>
              <w:top w:w="90" w:type="dxa"/>
              <w:start w:w="90" w:type="dxa"/>
              <w:bottom w:w="90" w:type="dxa"/>
              <w:end w:w="90" w:type="dxa"/>
            </w:tcMar>
            <w:vAlign w:val="center"/>
          </w:tcPr>
          <w:p>
            <w:pPr>
              <w:jc w:val="center"/>
            </w:pPr>
            <w:r>
              <w:rPr>
                <w:rFonts w:ascii="Aptos" w:hAnsi="Aptos"/>
                <w:b w:val="0"/>
                <w:i w:val="0"/>
                <w:sz w:val="18"/>
              </w:rPr>
              <w:t>&gt;= 97.0%</w:t>
            </w:r>
          </w:p>
        </w:tc>
        <w:tc>
          <w:tcPr>
            <w:tcW w:type="dxa" w:w="1652"/>
            <w:tcMar>
              <w:top w:w="90" w:type="dxa"/>
              <w:start w:w="90" w:type="dxa"/>
              <w:bottom w:w="90" w:type="dxa"/>
              <w:end w:w="90" w:type="dxa"/>
            </w:tcMar>
            <w:vAlign w:val="center"/>
          </w:tcPr>
          <w:p>
            <w:pPr>
              <w:jc w:val="center"/>
            </w:pPr>
            <w:r>
              <w:rPr>
                <w:rFonts w:ascii="Aptos" w:hAnsi="Aptos"/>
                <w:b w:val="0"/>
                <w:i w:val="0"/>
                <w:sz w:val="18"/>
              </w:rPr>
              <w:t>95.0-96.99%</w:t>
            </w:r>
          </w:p>
        </w:tc>
        <w:tc>
          <w:tcPr>
            <w:tcW w:type="dxa" w:w="1652"/>
            <w:tcMar>
              <w:top w:w="90" w:type="dxa"/>
              <w:start w:w="90" w:type="dxa"/>
              <w:bottom w:w="90" w:type="dxa"/>
              <w:end w:w="90" w:type="dxa"/>
            </w:tcMar>
            <w:vAlign w:val="center"/>
          </w:tcPr>
          <w:p>
            <w:pPr>
              <w:jc w:val="center"/>
            </w:pPr>
            <w:r>
              <w:rPr>
                <w:rFonts w:ascii="Aptos" w:hAnsi="Aptos"/>
                <w:b w:val="0"/>
                <w:i w:val="0"/>
                <w:sz w:val="18"/>
              </w:rPr>
              <w:t>92.0-94.99%</w:t>
            </w:r>
          </w:p>
        </w:tc>
        <w:tc>
          <w:tcPr>
            <w:tcW w:type="dxa" w:w="1652"/>
            <w:tcMar>
              <w:top w:w="90" w:type="dxa"/>
              <w:start w:w="90" w:type="dxa"/>
              <w:bottom w:w="90" w:type="dxa"/>
              <w:end w:w="90" w:type="dxa"/>
            </w:tcMar>
            <w:vAlign w:val="center"/>
          </w:tcPr>
          <w:p>
            <w:pPr>
              <w:jc w:val="center"/>
            </w:pPr>
            <w:r>
              <w:rPr>
                <w:rFonts w:ascii="Aptos" w:hAnsi="Aptos"/>
                <w:b w:val="0"/>
                <w:i w:val="0"/>
                <w:sz w:val="18"/>
              </w:rPr>
              <w:t>&lt; 92.0%</w:t>
            </w:r>
          </w:p>
        </w:tc>
        <w:tc>
          <w:tcPr>
            <w:tcW w:type="dxa" w:w="1652"/>
            <w:tcMar>
              <w:top w:w="90" w:type="dxa"/>
              <w:start w:w="90" w:type="dxa"/>
              <w:bottom w:w="90" w:type="dxa"/>
              <w:end w:w="90" w:type="dxa"/>
            </w:tcMar>
            <w:vAlign w:val="center"/>
          </w:tcPr>
          <w:p>
            <w:pPr>
              <w:jc w:val="center"/>
            </w:pPr>
            <w:r>
              <w:rPr>
                <w:rFonts w:ascii="Aptos" w:hAnsi="Aptos"/>
                <w:b w:val="0"/>
                <w:i w:val="0"/>
                <w:sz w:val="18"/>
              </w:rPr>
              <w:t>INR 250 / INR 500 / 10% freight per impacted shipment</w:t>
            </w:r>
          </w:p>
        </w:tc>
      </w:tr>
      <w:tr>
        <w:tc>
          <w:tcPr>
            <w:tcW w:type="dxa" w:w="1652"/>
            <w:tcMar>
              <w:top w:w="90" w:type="dxa"/>
              <w:start w:w="90" w:type="dxa"/>
              <w:bottom w:w="90" w:type="dxa"/>
              <w:end w:w="90" w:type="dxa"/>
            </w:tcMar>
            <w:vAlign w:val="center"/>
          </w:tcPr>
          <w:p>
            <w:pPr>
              <w:jc w:val="left"/>
            </w:pPr>
            <w:r>
              <w:rPr>
                <w:rFonts w:ascii="Aptos" w:hAnsi="Aptos"/>
                <w:b w:val="0"/>
                <w:i w:val="0"/>
                <w:sz w:val="18"/>
              </w:rPr>
              <w:t>On-time delivery</w:t>
            </w:r>
          </w:p>
        </w:tc>
        <w:tc>
          <w:tcPr>
            <w:tcW w:type="dxa" w:w="1652"/>
            <w:tcMar>
              <w:top w:w="90" w:type="dxa"/>
              <w:start w:w="90" w:type="dxa"/>
              <w:bottom w:w="90" w:type="dxa"/>
              <w:end w:w="90" w:type="dxa"/>
            </w:tcMar>
            <w:vAlign w:val="center"/>
          </w:tcPr>
          <w:p>
            <w:pPr>
              <w:jc w:val="center"/>
            </w:pPr>
            <w:r>
              <w:rPr>
                <w:rFonts w:ascii="Aptos" w:hAnsi="Aptos"/>
                <w:b w:val="0"/>
                <w:i w:val="0"/>
                <w:sz w:val="18"/>
              </w:rPr>
              <w:t>&gt;= 96.0%</w:t>
            </w:r>
          </w:p>
        </w:tc>
        <w:tc>
          <w:tcPr>
            <w:tcW w:type="dxa" w:w="1652"/>
            <w:tcMar>
              <w:top w:w="90" w:type="dxa"/>
              <w:start w:w="90" w:type="dxa"/>
              <w:bottom w:w="90" w:type="dxa"/>
              <w:end w:w="90" w:type="dxa"/>
            </w:tcMar>
            <w:vAlign w:val="center"/>
          </w:tcPr>
          <w:p>
            <w:pPr>
              <w:jc w:val="center"/>
            </w:pPr>
            <w:r>
              <w:rPr>
                <w:rFonts w:ascii="Aptos" w:hAnsi="Aptos"/>
                <w:b w:val="0"/>
                <w:i w:val="0"/>
                <w:sz w:val="18"/>
              </w:rPr>
              <w:t>94.0-95.99%</w:t>
            </w:r>
          </w:p>
        </w:tc>
        <w:tc>
          <w:tcPr>
            <w:tcW w:type="dxa" w:w="1652"/>
            <w:tcMar>
              <w:top w:w="90" w:type="dxa"/>
              <w:start w:w="90" w:type="dxa"/>
              <w:bottom w:w="90" w:type="dxa"/>
              <w:end w:w="90" w:type="dxa"/>
            </w:tcMar>
            <w:vAlign w:val="center"/>
          </w:tcPr>
          <w:p>
            <w:pPr>
              <w:jc w:val="center"/>
            </w:pPr>
            <w:r>
              <w:rPr>
                <w:rFonts w:ascii="Aptos" w:hAnsi="Aptos"/>
                <w:b w:val="0"/>
                <w:i w:val="0"/>
                <w:sz w:val="18"/>
              </w:rPr>
              <w:t>90.0-93.99%</w:t>
            </w:r>
          </w:p>
        </w:tc>
        <w:tc>
          <w:tcPr>
            <w:tcW w:type="dxa" w:w="1652"/>
            <w:tcMar>
              <w:top w:w="90" w:type="dxa"/>
              <w:start w:w="90" w:type="dxa"/>
              <w:bottom w:w="90" w:type="dxa"/>
              <w:end w:w="90" w:type="dxa"/>
            </w:tcMar>
            <w:vAlign w:val="center"/>
          </w:tcPr>
          <w:p>
            <w:pPr>
              <w:jc w:val="center"/>
            </w:pPr>
            <w:r>
              <w:rPr>
                <w:rFonts w:ascii="Aptos" w:hAnsi="Aptos"/>
                <w:b w:val="0"/>
                <w:i w:val="0"/>
                <w:sz w:val="18"/>
              </w:rPr>
              <w:t>&lt; 90.0%</w:t>
            </w:r>
          </w:p>
        </w:tc>
        <w:tc>
          <w:tcPr>
            <w:tcW w:type="dxa" w:w="1652"/>
            <w:tcMar>
              <w:top w:w="90" w:type="dxa"/>
              <w:start w:w="90" w:type="dxa"/>
              <w:bottom w:w="90" w:type="dxa"/>
              <w:end w:w="90" w:type="dxa"/>
            </w:tcMar>
            <w:vAlign w:val="center"/>
          </w:tcPr>
          <w:p>
            <w:pPr>
              <w:jc w:val="center"/>
            </w:pPr>
            <w:r>
              <w:rPr>
                <w:rFonts w:ascii="Aptos" w:hAnsi="Aptos"/>
                <w:b w:val="0"/>
                <w:i w:val="0"/>
                <w:sz w:val="18"/>
              </w:rPr>
              <w:t>3% / 7% / 12% freight per impacted shipment</w:t>
            </w:r>
          </w:p>
        </w:tc>
      </w:tr>
      <w:tr>
        <w:tc>
          <w:tcPr>
            <w:tcW w:type="dxa" w:w="1652"/>
            <w:tcMar>
              <w:top w:w="90" w:type="dxa"/>
              <w:start w:w="90" w:type="dxa"/>
              <w:bottom w:w="90" w:type="dxa"/>
              <w:end w:w="90" w:type="dxa"/>
            </w:tcMar>
            <w:vAlign w:val="center"/>
          </w:tcPr>
          <w:p>
            <w:pPr>
              <w:jc w:val="left"/>
            </w:pPr>
            <w:r>
              <w:rPr>
                <w:rFonts w:ascii="Aptos" w:hAnsi="Aptos"/>
                <w:b w:val="0"/>
                <w:i w:val="0"/>
                <w:sz w:val="18"/>
              </w:rPr>
              <w:t>First-attempt success</w:t>
            </w:r>
          </w:p>
        </w:tc>
        <w:tc>
          <w:tcPr>
            <w:tcW w:type="dxa" w:w="1652"/>
            <w:tcMar>
              <w:top w:w="90" w:type="dxa"/>
              <w:start w:w="90" w:type="dxa"/>
              <w:bottom w:w="90" w:type="dxa"/>
              <w:end w:w="90" w:type="dxa"/>
            </w:tcMar>
            <w:vAlign w:val="center"/>
          </w:tcPr>
          <w:p>
            <w:pPr>
              <w:jc w:val="center"/>
            </w:pPr>
            <w:r>
              <w:rPr>
                <w:rFonts w:ascii="Aptos" w:hAnsi="Aptos"/>
                <w:b w:val="0"/>
                <w:i w:val="0"/>
                <w:sz w:val="18"/>
              </w:rPr>
              <w:t>&gt;= 92.0%</w:t>
            </w:r>
          </w:p>
        </w:tc>
        <w:tc>
          <w:tcPr>
            <w:tcW w:type="dxa" w:w="1652"/>
            <w:tcMar>
              <w:top w:w="90" w:type="dxa"/>
              <w:start w:w="90" w:type="dxa"/>
              <w:bottom w:w="90" w:type="dxa"/>
              <w:end w:w="90" w:type="dxa"/>
            </w:tcMar>
            <w:vAlign w:val="center"/>
          </w:tcPr>
          <w:p>
            <w:pPr>
              <w:jc w:val="center"/>
            </w:pPr>
            <w:r>
              <w:rPr>
                <w:rFonts w:ascii="Aptos" w:hAnsi="Aptos"/>
                <w:b w:val="0"/>
                <w:i w:val="0"/>
                <w:sz w:val="18"/>
              </w:rPr>
              <w:t>90.0-91.99%</w:t>
            </w:r>
          </w:p>
        </w:tc>
        <w:tc>
          <w:tcPr>
            <w:tcW w:type="dxa" w:w="1652"/>
            <w:tcMar>
              <w:top w:w="90" w:type="dxa"/>
              <w:start w:w="90" w:type="dxa"/>
              <w:bottom w:w="90" w:type="dxa"/>
              <w:end w:w="90" w:type="dxa"/>
            </w:tcMar>
            <w:vAlign w:val="center"/>
          </w:tcPr>
          <w:p>
            <w:pPr>
              <w:jc w:val="center"/>
            </w:pPr>
            <w:r>
              <w:rPr>
                <w:rFonts w:ascii="Aptos" w:hAnsi="Aptos"/>
                <w:b w:val="0"/>
                <w:i w:val="0"/>
                <w:sz w:val="18"/>
              </w:rPr>
              <w:t>87.0-89.99%</w:t>
            </w:r>
          </w:p>
        </w:tc>
        <w:tc>
          <w:tcPr>
            <w:tcW w:type="dxa" w:w="1652"/>
            <w:tcMar>
              <w:top w:w="90" w:type="dxa"/>
              <w:start w:w="90" w:type="dxa"/>
              <w:bottom w:w="90" w:type="dxa"/>
              <w:end w:w="90" w:type="dxa"/>
            </w:tcMar>
            <w:vAlign w:val="center"/>
          </w:tcPr>
          <w:p>
            <w:pPr>
              <w:jc w:val="center"/>
            </w:pPr>
            <w:r>
              <w:rPr>
                <w:rFonts w:ascii="Aptos" w:hAnsi="Aptos"/>
                <w:b w:val="0"/>
                <w:i w:val="0"/>
                <w:sz w:val="18"/>
              </w:rPr>
              <w:t>&lt; 87.0%</w:t>
            </w:r>
          </w:p>
        </w:tc>
        <w:tc>
          <w:tcPr>
            <w:tcW w:type="dxa" w:w="1652"/>
            <w:tcMar>
              <w:top w:w="90" w:type="dxa"/>
              <w:start w:w="90" w:type="dxa"/>
              <w:bottom w:w="90" w:type="dxa"/>
              <w:end w:w="90" w:type="dxa"/>
            </w:tcMar>
            <w:vAlign w:val="center"/>
          </w:tcPr>
          <w:p>
            <w:pPr>
              <w:jc w:val="center"/>
            </w:pPr>
            <w:r>
              <w:rPr>
                <w:rFonts w:ascii="Aptos" w:hAnsi="Aptos"/>
                <w:b w:val="0"/>
                <w:i w:val="0"/>
                <w:sz w:val="18"/>
              </w:rPr>
              <w:t>0.25% / 0.75% / 1.25% of monthly parcel freight</w:t>
            </w:r>
          </w:p>
        </w:tc>
      </w:tr>
      <w:tr>
        <w:tc>
          <w:tcPr>
            <w:tcW w:type="dxa" w:w="1652"/>
            <w:tcMar>
              <w:top w:w="90" w:type="dxa"/>
              <w:start w:w="90" w:type="dxa"/>
              <w:bottom w:w="90" w:type="dxa"/>
              <w:end w:w="90" w:type="dxa"/>
            </w:tcMar>
            <w:vAlign w:val="center"/>
          </w:tcPr>
          <w:p>
            <w:pPr>
              <w:jc w:val="left"/>
            </w:pPr>
            <w:r>
              <w:rPr>
                <w:rFonts w:ascii="Aptos" w:hAnsi="Aptos"/>
                <w:b w:val="0"/>
                <w:i w:val="0"/>
                <w:sz w:val="18"/>
              </w:rPr>
              <w:t>POD within 24 hrs</w:t>
            </w:r>
          </w:p>
        </w:tc>
        <w:tc>
          <w:tcPr>
            <w:tcW w:type="dxa" w:w="1652"/>
            <w:tcMar>
              <w:top w:w="90" w:type="dxa"/>
              <w:start w:w="90" w:type="dxa"/>
              <w:bottom w:w="90" w:type="dxa"/>
              <w:end w:w="90" w:type="dxa"/>
            </w:tcMar>
            <w:vAlign w:val="center"/>
          </w:tcPr>
          <w:p>
            <w:pPr>
              <w:jc w:val="center"/>
            </w:pPr>
            <w:r>
              <w:rPr>
                <w:rFonts w:ascii="Aptos" w:hAnsi="Aptos"/>
                <w:b w:val="0"/>
                <w:i w:val="0"/>
                <w:sz w:val="18"/>
              </w:rPr>
              <w:t>&gt;= 99.0%</w:t>
            </w:r>
          </w:p>
        </w:tc>
        <w:tc>
          <w:tcPr>
            <w:tcW w:type="dxa" w:w="1652"/>
            <w:tcMar>
              <w:top w:w="90" w:type="dxa"/>
              <w:start w:w="90" w:type="dxa"/>
              <w:bottom w:w="90" w:type="dxa"/>
              <w:end w:w="90" w:type="dxa"/>
            </w:tcMar>
            <w:vAlign w:val="center"/>
          </w:tcPr>
          <w:p>
            <w:pPr>
              <w:jc w:val="center"/>
            </w:pPr>
            <w:r>
              <w:rPr>
                <w:rFonts w:ascii="Aptos" w:hAnsi="Aptos"/>
                <w:b w:val="0"/>
                <w:i w:val="0"/>
                <w:sz w:val="18"/>
              </w:rPr>
              <w:t>97.0-98.99%</w:t>
            </w:r>
          </w:p>
        </w:tc>
        <w:tc>
          <w:tcPr>
            <w:tcW w:type="dxa" w:w="1652"/>
            <w:tcMar>
              <w:top w:w="90" w:type="dxa"/>
              <w:start w:w="90" w:type="dxa"/>
              <w:bottom w:w="90" w:type="dxa"/>
              <w:end w:w="90" w:type="dxa"/>
            </w:tcMar>
            <w:vAlign w:val="center"/>
          </w:tcPr>
          <w:p>
            <w:pPr>
              <w:jc w:val="center"/>
            </w:pPr>
            <w:r>
              <w:rPr>
                <w:rFonts w:ascii="Aptos" w:hAnsi="Aptos"/>
                <w:b w:val="0"/>
                <w:i w:val="0"/>
                <w:sz w:val="18"/>
              </w:rPr>
              <w:t>95.0-96.99%</w:t>
            </w:r>
          </w:p>
        </w:tc>
        <w:tc>
          <w:tcPr>
            <w:tcW w:type="dxa" w:w="1652"/>
            <w:tcMar>
              <w:top w:w="90" w:type="dxa"/>
              <w:start w:w="90" w:type="dxa"/>
              <w:bottom w:w="90" w:type="dxa"/>
              <w:end w:w="90" w:type="dxa"/>
            </w:tcMar>
            <w:vAlign w:val="center"/>
          </w:tcPr>
          <w:p>
            <w:pPr>
              <w:jc w:val="center"/>
            </w:pPr>
            <w:r>
              <w:rPr>
                <w:rFonts w:ascii="Aptos" w:hAnsi="Aptos"/>
                <w:b w:val="0"/>
                <w:i w:val="0"/>
                <w:sz w:val="18"/>
              </w:rPr>
              <w:t>&lt; 95.0%</w:t>
            </w:r>
          </w:p>
        </w:tc>
        <w:tc>
          <w:tcPr>
            <w:tcW w:type="dxa" w:w="1652"/>
            <w:tcMar>
              <w:top w:w="90" w:type="dxa"/>
              <w:start w:w="90" w:type="dxa"/>
              <w:bottom w:w="90" w:type="dxa"/>
              <w:end w:w="90" w:type="dxa"/>
            </w:tcMar>
            <w:vAlign w:val="center"/>
          </w:tcPr>
          <w:p>
            <w:pPr>
              <w:jc w:val="center"/>
            </w:pPr>
            <w:r>
              <w:rPr>
                <w:rFonts w:ascii="Aptos" w:hAnsi="Aptos"/>
                <w:b w:val="0"/>
                <w:i w:val="0"/>
                <w:sz w:val="18"/>
              </w:rPr>
              <w:t>INR 100 / INR 250 / 5% freight per delayed POD</w:t>
            </w:r>
          </w:p>
        </w:tc>
      </w:tr>
      <w:tr>
        <w:tc>
          <w:tcPr>
            <w:tcW w:type="dxa" w:w="1652"/>
            <w:tcMar>
              <w:top w:w="90" w:type="dxa"/>
              <w:start w:w="90" w:type="dxa"/>
              <w:bottom w:w="90" w:type="dxa"/>
              <w:end w:w="90" w:type="dxa"/>
            </w:tcMar>
            <w:vAlign w:val="center"/>
          </w:tcPr>
          <w:p>
            <w:pPr>
              <w:jc w:val="left"/>
            </w:pPr>
            <w:r>
              <w:rPr>
                <w:rFonts w:ascii="Aptos" w:hAnsi="Aptos"/>
                <w:b w:val="0"/>
                <w:i w:val="0"/>
                <w:sz w:val="18"/>
              </w:rPr>
              <w:t>Claim ratio vs freight</w:t>
            </w:r>
          </w:p>
        </w:tc>
        <w:tc>
          <w:tcPr>
            <w:tcW w:type="dxa" w:w="1652"/>
            <w:tcMar>
              <w:top w:w="90" w:type="dxa"/>
              <w:start w:w="90" w:type="dxa"/>
              <w:bottom w:w="90" w:type="dxa"/>
              <w:end w:w="90" w:type="dxa"/>
            </w:tcMar>
            <w:vAlign w:val="center"/>
          </w:tcPr>
          <w:p>
            <w:pPr>
              <w:jc w:val="center"/>
            </w:pPr>
            <w:r>
              <w:rPr>
                <w:rFonts w:ascii="Aptos" w:hAnsi="Aptos"/>
                <w:b w:val="0"/>
                <w:i w:val="0"/>
                <w:sz w:val="18"/>
              </w:rPr>
              <w:t>&lt;= 0.30%</w:t>
            </w:r>
          </w:p>
        </w:tc>
        <w:tc>
          <w:tcPr>
            <w:tcW w:type="dxa" w:w="1652"/>
            <w:tcMar>
              <w:top w:w="90" w:type="dxa"/>
              <w:start w:w="90" w:type="dxa"/>
              <w:bottom w:w="90" w:type="dxa"/>
              <w:end w:w="90" w:type="dxa"/>
            </w:tcMar>
            <w:vAlign w:val="center"/>
          </w:tcPr>
          <w:p>
            <w:pPr>
              <w:jc w:val="center"/>
            </w:pPr>
            <w:r>
              <w:rPr>
                <w:rFonts w:ascii="Aptos" w:hAnsi="Aptos"/>
                <w:b w:val="0"/>
                <w:i w:val="0"/>
                <w:sz w:val="18"/>
              </w:rPr>
              <w:t>0.31-0.75%</w:t>
            </w:r>
          </w:p>
        </w:tc>
        <w:tc>
          <w:tcPr>
            <w:tcW w:type="dxa" w:w="1652"/>
            <w:tcMar>
              <w:top w:w="90" w:type="dxa"/>
              <w:start w:w="90" w:type="dxa"/>
              <w:bottom w:w="90" w:type="dxa"/>
              <w:end w:w="90" w:type="dxa"/>
            </w:tcMar>
            <w:vAlign w:val="center"/>
          </w:tcPr>
          <w:p>
            <w:pPr>
              <w:jc w:val="center"/>
            </w:pPr>
            <w:r>
              <w:rPr>
                <w:rFonts w:ascii="Aptos" w:hAnsi="Aptos"/>
                <w:b w:val="0"/>
                <w:i w:val="0"/>
                <w:sz w:val="18"/>
              </w:rPr>
              <w:t>0.76-1.25%</w:t>
            </w:r>
          </w:p>
        </w:tc>
        <w:tc>
          <w:tcPr>
            <w:tcW w:type="dxa" w:w="1652"/>
            <w:tcMar>
              <w:top w:w="90" w:type="dxa"/>
              <w:start w:w="90" w:type="dxa"/>
              <w:bottom w:w="90" w:type="dxa"/>
              <w:end w:w="90" w:type="dxa"/>
            </w:tcMar>
            <w:vAlign w:val="center"/>
          </w:tcPr>
          <w:p>
            <w:pPr>
              <w:jc w:val="center"/>
            </w:pPr>
            <w:r>
              <w:rPr>
                <w:rFonts w:ascii="Aptos" w:hAnsi="Aptos"/>
                <w:b w:val="0"/>
                <w:i w:val="0"/>
                <w:sz w:val="18"/>
              </w:rPr>
              <w:t>&gt; 1.25%</w:t>
            </w:r>
          </w:p>
        </w:tc>
        <w:tc>
          <w:tcPr>
            <w:tcW w:type="dxa" w:w="1652"/>
            <w:tcMar>
              <w:top w:w="90" w:type="dxa"/>
              <w:start w:w="90" w:type="dxa"/>
              <w:bottom w:w="90" w:type="dxa"/>
              <w:end w:w="90" w:type="dxa"/>
            </w:tcMar>
            <w:vAlign w:val="center"/>
          </w:tcPr>
          <w:p>
            <w:pPr>
              <w:jc w:val="center"/>
            </w:pPr>
            <w:r>
              <w:rPr>
                <w:rFonts w:ascii="Aptos" w:hAnsi="Aptos"/>
                <w:b w:val="0"/>
                <w:i w:val="0"/>
                <w:sz w:val="18"/>
              </w:rPr>
              <w:t>0.50% / 1.50% / 3.00% of monthly freight</w:t>
            </w:r>
          </w:p>
        </w:tc>
      </w:tr>
      <w:tr>
        <w:tc>
          <w:tcPr>
            <w:tcW w:type="dxa" w:w="1652"/>
            <w:tcMar>
              <w:top w:w="90" w:type="dxa"/>
              <w:start w:w="90" w:type="dxa"/>
              <w:bottom w:w="90" w:type="dxa"/>
              <w:end w:w="90" w:type="dxa"/>
            </w:tcMar>
            <w:vAlign w:val="center"/>
          </w:tcPr>
          <w:p>
            <w:pPr>
              <w:jc w:val="left"/>
            </w:pPr>
            <w:r>
              <w:rPr>
                <w:rFonts w:ascii="Aptos" w:hAnsi="Aptos"/>
                <w:b w:val="0"/>
                <w:i w:val="0"/>
                <w:sz w:val="18"/>
              </w:rPr>
              <w:t>GPS/API uptime</w:t>
            </w:r>
          </w:p>
        </w:tc>
        <w:tc>
          <w:tcPr>
            <w:tcW w:type="dxa" w:w="1652"/>
            <w:tcMar>
              <w:top w:w="90" w:type="dxa"/>
              <w:start w:w="90" w:type="dxa"/>
              <w:bottom w:w="90" w:type="dxa"/>
              <w:end w:w="90" w:type="dxa"/>
            </w:tcMar>
            <w:vAlign w:val="center"/>
          </w:tcPr>
          <w:p>
            <w:pPr>
              <w:jc w:val="center"/>
            </w:pPr>
            <w:r>
              <w:rPr>
                <w:rFonts w:ascii="Aptos" w:hAnsi="Aptos"/>
                <w:b w:val="0"/>
                <w:i w:val="0"/>
                <w:sz w:val="18"/>
              </w:rPr>
              <w:t>&gt;= 98.5%</w:t>
            </w:r>
          </w:p>
        </w:tc>
        <w:tc>
          <w:tcPr>
            <w:tcW w:type="dxa" w:w="1652"/>
            <w:tcMar>
              <w:top w:w="90" w:type="dxa"/>
              <w:start w:w="90" w:type="dxa"/>
              <w:bottom w:w="90" w:type="dxa"/>
              <w:end w:w="90" w:type="dxa"/>
            </w:tcMar>
            <w:vAlign w:val="center"/>
          </w:tcPr>
          <w:p>
            <w:pPr>
              <w:jc w:val="center"/>
            </w:pPr>
            <w:r>
              <w:rPr>
                <w:rFonts w:ascii="Aptos" w:hAnsi="Aptos"/>
                <w:b w:val="0"/>
                <w:i w:val="0"/>
                <w:sz w:val="18"/>
              </w:rPr>
              <w:t>97.0-98.49%</w:t>
            </w:r>
          </w:p>
        </w:tc>
        <w:tc>
          <w:tcPr>
            <w:tcW w:type="dxa" w:w="1652"/>
            <w:tcMar>
              <w:top w:w="90" w:type="dxa"/>
              <w:start w:w="90" w:type="dxa"/>
              <w:bottom w:w="90" w:type="dxa"/>
              <w:end w:w="90" w:type="dxa"/>
            </w:tcMar>
            <w:vAlign w:val="center"/>
          </w:tcPr>
          <w:p>
            <w:pPr>
              <w:jc w:val="center"/>
            </w:pPr>
            <w:r>
              <w:rPr>
                <w:rFonts w:ascii="Aptos" w:hAnsi="Aptos"/>
                <w:b w:val="0"/>
                <w:i w:val="0"/>
                <w:sz w:val="18"/>
              </w:rPr>
              <w:t>95.0-96.99%</w:t>
            </w:r>
          </w:p>
        </w:tc>
        <w:tc>
          <w:tcPr>
            <w:tcW w:type="dxa" w:w="1652"/>
            <w:tcMar>
              <w:top w:w="90" w:type="dxa"/>
              <w:start w:w="90" w:type="dxa"/>
              <w:bottom w:w="90" w:type="dxa"/>
              <w:end w:w="90" w:type="dxa"/>
            </w:tcMar>
            <w:vAlign w:val="center"/>
          </w:tcPr>
          <w:p>
            <w:pPr>
              <w:jc w:val="center"/>
            </w:pPr>
            <w:r>
              <w:rPr>
                <w:rFonts w:ascii="Aptos" w:hAnsi="Aptos"/>
                <w:b w:val="0"/>
                <w:i w:val="0"/>
                <w:sz w:val="18"/>
              </w:rPr>
              <w:t>&lt; 95.0%</w:t>
            </w:r>
          </w:p>
        </w:tc>
        <w:tc>
          <w:tcPr>
            <w:tcW w:type="dxa" w:w="1652"/>
            <w:tcMar>
              <w:top w:w="90" w:type="dxa"/>
              <w:start w:w="90" w:type="dxa"/>
              <w:bottom w:w="90" w:type="dxa"/>
              <w:end w:w="90" w:type="dxa"/>
            </w:tcMar>
            <w:vAlign w:val="center"/>
          </w:tcPr>
          <w:p>
            <w:pPr>
              <w:jc w:val="center"/>
            </w:pPr>
            <w:r>
              <w:rPr>
                <w:rFonts w:ascii="Aptos" w:hAnsi="Aptos"/>
                <w:b w:val="0"/>
                <w:i w:val="0"/>
                <w:sz w:val="18"/>
              </w:rPr>
              <w:t>0.50% / 1.25% / 2.50% of monthly freight</w:t>
            </w:r>
          </w:p>
        </w:tc>
      </w:tr>
      <w:tr>
        <w:tc>
          <w:tcPr>
            <w:tcW w:type="dxa" w:w="1652"/>
            <w:tcMar>
              <w:top w:w="90" w:type="dxa"/>
              <w:start w:w="90" w:type="dxa"/>
              <w:bottom w:w="90" w:type="dxa"/>
              <w:end w:w="90" w:type="dxa"/>
            </w:tcMar>
            <w:vAlign w:val="center"/>
          </w:tcPr>
          <w:p>
            <w:pPr>
              <w:jc w:val="left"/>
            </w:pPr>
            <w:r>
              <w:rPr>
                <w:rFonts w:ascii="Aptos" w:hAnsi="Aptos"/>
                <w:b w:val="0"/>
                <w:i w:val="0"/>
                <w:sz w:val="18"/>
              </w:rPr>
              <w:t>COD remittance</w:t>
            </w:r>
          </w:p>
        </w:tc>
        <w:tc>
          <w:tcPr>
            <w:tcW w:type="dxa" w:w="1652"/>
            <w:tcMar>
              <w:top w:w="90" w:type="dxa"/>
              <w:start w:w="90" w:type="dxa"/>
              <w:bottom w:w="90" w:type="dxa"/>
              <w:end w:w="90" w:type="dxa"/>
            </w:tcMar>
            <w:vAlign w:val="center"/>
          </w:tcPr>
          <w:p>
            <w:pPr>
              <w:jc w:val="center"/>
            </w:pPr>
            <w:r>
              <w:rPr>
                <w:rFonts w:ascii="Aptos" w:hAnsi="Aptos"/>
                <w:b w:val="0"/>
                <w:i w:val="0"/>
                <w:sz w:val="18"/>
              </w:rPr>
              <w:t>T+1 Business Day</w:t>
            </w:r>
          </w:p>
        </w:tc>
        <w:tc>
          <w:tcPr>
            <w:tcW w:type="dxa" w:w="1652"/>
            <w:tcMar>
              <w:top w:w="90" w:type="dxa"/>
              <w:start w:w="90" w:type="dxa"/>
              <w:bottom w:w="90" w:type="dxa"/>
              <w:end w:w="90" w:type="dxa"/>
            </w:tcMar>
            <w:vAlign w:val="center"/>
          </w:tcPr>
          <w:p>
            <w:pPr>
              <w:jc w:val="center"/>
            </w:pPr>
            <w:r>
              <w:rPr>
                <w:rFonts w:ascii="Aptos" w:hAnsi="Aptos"/>
                <w:b w:val="0"/>
                <w:i w:val="0"/>
                <w:sz w:val="18"/>
              </w:rPr>
              <w:t>T+2</w:t>
            </w:r>
          </w:p>
        </w:tc>
        <w:tc>
          <w:tcPr>
            <w:tcW w:type="dxa" w:w="1652"/>
            <w:tcMar>
              <w:top w:w="90" w:type="dxa"/>
              <w:start w:w="90" w:type="dxa"/>
              <w:bottom w:w="90" w:type="dxa"/>
              <w:end w:w="90" w:type="dxa"/>
            </w:tcMar>
            <w:vAlign w:val="center"/>
          </w:tcPr>
          <w:p>
            <w:pPr>
              <w:jc w:val="center"/>
            </w:pPr>
            <w:r>
              <w:rPr>
                <w:rFonts w:ascii="Aptos" w:hAnsi="Aptos"/>
                <w:b w:val="0"/>
                <w:i w:val="0"/>
                <w:sz w:val="18"/>
              </w:rPr>
              <w:t>T+3</w:t>
            </w:r>
          </w:p>
        </w:tc>
        <w:tc>
          <w:tcPr>
            <w:tcW w:type="dxa" w:w="1652"/>
            <w:tcMar>
              <w:top w:w="90" w:type="dxa"/>
              <w:start w:w="90" w:type="dxa"/>
              <w:bottom w:w="90" w:type="dxa"/>
              <w:end w:w="90" w:type="dxa"/>
            </w:tcMar>
            <w:vAlign w:val="center"/>
          </w:tcPr>
          <w:p>
            <w:pPr>
              <w:jc w:val="center"/>
            </w:pPr>
            <w:r>
              <w:rPr>
                <w:rFonts w:ascii="Aptos" w:hAnsi="Aptos"/>
                <w:b w:val="0"/>
                <w:i w:val="0"/>
                <w:sz w:val="18"/>
              </w:rPr>
              <w:t>T+4 or more</w:t>
            </w:r>
          </w:p>
        </w:tc>
        <w:tc>
          <w:tcPr>
            <w:tcW w:type="dxa" w:w="1652"/>
            <w:tcMar>
              <w:top w:w="90" w:type="dxa"/>
              <w:start w:w="90" w:type="dxa"/>
              <w:bottom w:w="90" w:type="dxa"/>
              <w:end w:w="90" w:type="dxa"/>
            </w:tcMar>
            <w:vAlign w:val="center"/>
          </w:tcPr>
          <w:p>
            <w:pPr>
              <w:jc w:val="center"/>
            </w:pPr>
            <w:r>
              <w:rPr>
                <w:rFonts w:ascii="Aptos" w:hAnsi="Aptos"/>
                <w:b w:val="0"/>
                <w:i w:val="0"/>
                <w:sz w:val="18"/>
              </w:rPr>
              <w:t>24% p.a. interest + INR 500 + 10% shortage penalty where applicable</w:t>
            </w:r>
          </w:p>
        </w:tc>
      </w:tr>
    </w:tbl>
    <w:p>
      <w:pPr>
        <w:spacing w:before="0" w:after="40" w:line="276" w:lineRule="auto"/>
      </w:pPr>
      <w:r>
        <w:rPr>
          <w:rFonts w:ascii="Aptos" w:hAnsi="Aptos"/>
          <w:b w:val="0"/>
          <w:i w:val="0"/>
          <w:sz w:val="20"/>
        </w:rPr>
        <w:t>Penalty hierarchy rule: where both per-shipment penalty and monthly scorecard penalty apply for the same root event, both may apply unless expressly stated otherwise; however, the Aggregator shall avoid double charging for the exact same monetary customer chargeback if already passed through at actuals.</w:t>
      </w:r>
    </w:p>
    <w:p>
      <w:pPr>
        <w:spacing w:before="0" w:after="40" w:line="276" w:lineRule="auto"/>
      </w:pPr>
      <w:r>
        <w:rPr>
          <w:rFonts w:ascii="Aptos" w:hAnsi="Aptos"/>
          <w:b w:val="0"/>
          <w:i w:val="0"/>
          <w:sz w:val="20"/>
        </w:rPr>
        <w:t>Critical event override: any theft, fraud, security breach, route spoofing, forged POD, or aviation/pharma safety incident may be treated outside the matrix and charged at actual loss plus applicable liquidated penalties.</w:t>
      </w:r>
    </w:p>
    <w:p>
      <w:pPr>
        <w:pStyle w:val="Heading2"/>
        <w:spacing w:before="100" w:after="60" w:line="276" w:lineRule="auto"/>
      </w:pPr>
      <w:r>
        <w:rPr>
          <w:rFonts w:ascii="Aptos" w:hAnsi="Aptos"/>
          <w:b/>
          <w:i w:val="0"/>
          <w:color w:val="2F5597"/>
          <w:sz w:val="23"/>
        </w:rPr>
        <w:t>Schedule C - Discount, Rebate, and Commercial Adjustment Matrix</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shd w:fill="D9EAF7"/>
            <w:tcMar>
              <w:top w:w="90" w:type="dxa"/>
              <w:start w:w="90" w:type="dxa"/>
              <w:bottom w:w="90" w:type="dxa"/>
              <w:end w:w="90" w:type="dxa"/>
            </w:tcMar>
          </w:tcPr>
          <w:p>
            <w:pPr>
              <w:jc w:val="center"/>
            </w:pPr>
            <w:r>
              <w:rPr>
                <w:rFonts w:ascii="Aptos" w:hAnsi="Aptos"/>
                <w:b/>
                <w:i w:val="0"/>
                <w:color w:val="1F3A5F"/>
                <w:sz w:val="19"/>
              </w:rPr>
              <w:t>Adjustment Type</w:t>
            </w:r>
          </w:p>
        </w:tc>
        <w:tc>
          <w:tcPr>
            <w:tcW w:type="dxa" w:w="1983"/>
            <w:shd w:fill="D9EAF7"/>
            <w:tcMar>
              <w:top w:w="90" w:type="dxa"/>
              <w:start w:w="90" w:type="dxa"/>
              <w:bottom w:w="90" w:type="dxa"/>
              <w:end w:w="90" w:type="dxa"/>
            </w:tcMar>
          </w:tcPr>
          <w:p>
            <w:pPr>
              <w:jc w:val="center"/>
            </w:pPr>
            <w:r>
              <w:rPr>
                <w:rFonts w:ascii="Aptos" w:hAnsi="Aptos"/>
                <w:b/>
                <w:i w:val="0"/>
                <w:color w:val="1F3A5F"/>
                <w:sz w:val="19"/>
              </w:rPr>
              <w:t>Trigger</w:t>
            </w:r>
          </w:p>
        </w:tc>
        <w:tc>
          <w:tcPr>
            <w:tcW w:type="dxa" w:w="1983"/>
            <w:shd w:fill="D9EAF7"/>
            <w:tcMar>
              <w:top w:w="90" w:type="dxa"/>
              <w:start w:w="90" w:type="dxa"/>
              <w:bottom w:w="90" w:type="dxa"/>
              <w:end w:w="90" w:type="dxa"/>
            </w:tcMar>
          </w:tcPr>
          <w:p>
            <w:pPr>
              <w:jc w:val="center"/>
            </w:pPr>
            <w:r>
              <w:rPr>
                <w:rFonts w:ascii="Aptos" w:hAnsi="Aptos"/>
                <w:b/>
                <w:i w:val="0"/>
                <w:color w:val="1F3A5F"/>
                <w:sz w:val="19"/>
              </w:rPr>
              <w:t>Value</w:t>
            </w:r>
          </w:p>
        </w:tc>
        <w:tc>
          <w:tcPr>
            <w:tcW w:type="dxa" w:w="1983"/>
            <w:shd w:fill="D9EAF7"/>
            <w:tcMar>
              <w:top w:w="90" w:type="dxa"/>
              <w:start w:w="90" w:type="dxa"/>
              <w:bottom w:w="90" w:type="dxa"/>
              <w:end w:w="90" w:type="dxa"/>
            </w:tcMar>
          </w:tcPr>
          <w:p>
            <w:pPr>
              <w:jc w:val="center"/>
            </w:pPr>
            <w:r>
              <w:rPr>
                <w:rFonts w:ascii="Aptos" w:hAnsi="Aptos"/>
                <w:b/>
                <w:i w:val="0"/>
                <w:color w:val="1F3A5F"/>
                <w:sz w:val="19"/>
              </w:rPr>
              <w:t>Condition</w:t>
            </w:r>
          </w:p>
        </w:tc>
        <w:tc>
          <w:tcPr>
            <w:tcW w:type="dxa" w:w="1983"/>
            <w:shd w:fill="D9EAF7"/>
            <w:tcMar>
              <w:top w:w="90" w:type="dxa"/>
              <w:start w:w="90" w:type="dxa"/>
              <w:bottom w:w="90" w:type="dxa"/>
              <w:end w:w="90" w:type="dxa"/>
            </w:tcMar>
          </w:tcPr>
          <w:p>
            <w:pPr>
              <w:jc w:val="center"/>
            </w:pPr>
            <w:r>
              <w:rPr>
                <w:rFonts w:ascii="Aptos" w:hAnsi="Aptos"/>
                <w:b/>
                <w:i w:val="0"/>
                <w:color w:val="1F3A5F"/>
                <w:sz w:val="19"/>
              </w:rPr>
              <w:t>Mechanism</w:t>
            </w:r>
          </w:p>
        </w:tc>
      </w:tr>
      <w:tr>
        <w:tc>
          <w:tcPr>
            <w:tcW w:type="dxa" w:w="1983"/>
            <w:tcMar>
              <w:top w:w="90" w:type="dxa"/>
              <w:start w:w="90" w:type="dxa"/>
              <w:bottom w:w="90" w:type="dxa"/>
              <w:end w:w="90" w:type="dxa"/>
            </w:tcMar>
          </w:tcPr>
          <w:p>
            <w:pPr>
              <w:jc w:val="left"/>
            </w:pPr>
            <w:r>
              <w:rPr>
                <w:rFonts w:ascii="Aptos" w:hAnsi="Aptos"/>
                <w:b w:val="0"/>
                <w:i w:val="0"/>
                <w:sz w:val="18"/>
              </w:rPr>
              <w:t>Early payment discount</w:t>
            </w:r>
          </w:p>
        </w:tc>
        <w:tc>
          <w:tcPr>
            <w:tcW w:type="dxa" w:w="1983"/>
            <w:tcMar>
              <w:top w:w="90" w:type="dxa"/>
              <w:start w:w="90" w:type="dxa"/>
              <w:bottom w:w="90" w:type="dxa"/>
              <w:end w:w="90" w:type="dxa"/>
            </w:tcMar>
          </w:tcPr>
          <w:p>
            <w:pPr>
              <w:jc w:val="left"/>
            </w:pPr>
            <w:r>
              <w:rPr>
                <w:rFonts w:ascii="Aptos" w:hAnsi="Aptos"/>
                <w:b w:val="0"/>
                <w:i w:val="0"/>
                <w:sz w:val="18"/>
              </w:rPr>
              <w:t>7-day payment</w:t>
            </w:r>
          </w:p>
        </w:tc>
        <w:tc>
          <w:tcPr>
            <w:tcW w:type="dxa" w:w="1983"/>
            <w:tcMar>
              <w:top w:w="90" w:type="dxa"/>
              <w:start w:w="90" w:type="dxa"/>
              <w:bottom w:w="90" w:type="dxa"/>
              <w:end w:w="90" w:type="dxa"/>
            </w:tcMar>
          </w:tcPr>
          <w:p>
            <w:pPr>
              <w:jc w:val="center"/>
            </w:pPr>
            <w:r>
              <w:rPr>
                <w:rFonts w:ascii="Aptos" w:hAnsi="Aptos"/>
                <w:b w:val="0"/>
                <w:i w:val="0"/>
                <w:sz w:val="18"/>
              </w:rPr>
              <w:t>1.25% of approved invoice</w:t>
            </w:r>
          </w:p>
        </w:tc>
        <w:tc>
          <w:tcPr>
            <w:tcW w:type="dxa" w:w="1983"/>
            <w:tcMar>
              <w:top w:w="90" w:type="dxa"/>
              <w:start w:w="90" w:type="dxa"/>
              <w:bottom w:w="90" w:type="dxa"/>
              <w:end w:w="90" w:type="dxa"/>
            </w:tcMar>
          </w:tcPr>
          <w:p>
            <w:pPr>
              <w:jc w:val="left"/>
            </w:pPr>
            <w:r>
              <w:rPr>
                <w:rFonts w:ascii="Aptos" w:hAnsi="Aptos"/>
                <w:b w:val="0"/>
                <w:i w:val="0"/>
                <w:sz w:val="18"/>
              </w:rPr>
              <w:t>Carrier opts in per month</w:t>
            </w:r>
          </w:p>
        </w:tc>
        <w:tc>
          <w:tcPr>
            <w:tcW w:type="dxa" w:w="1983"/>
            <w:tcMar>
              <w:top w:w="90" w:type="dxa"/>
              <w:start w:w="90" w:type="dxa"/>
              <w:bottom w:w="90" w:type="dxa"/>
              <w:end w:w="90" w:type="dxa"/>
            </w:tcMar>
          </w:tcPr>
          <w:p>
            <w:pPr>
              <w:jc w:val="center"/>
            </w:pPr>
            <w:r>
              <w:rPr>
                <w:rFonts w:ascii="Aptos" w:hAnsi="Aptos"/>
                <w:b w:val="0"/>
                <w:i w:val="0"/>
                <w:sz w:val="18"/>
              </w:rPr>
              <w:t>deducted at payment stage</w:t>
            </w:r>
          </w:p>
        </w:tc>
      </w:tr>
      <w:tr>
        <w:tc>
          <w:tcPr>
            <w:tcW w:type="dxa" w:w="1983"/>
            <w:tcMar>
              <w:top w:w="90" w:type="dxa"/>
              <w:start w:w="90" w:type="dxa"/>
              <w:bottom w:w="90" w:type="dxa"/>
              <w:end w:w="90" w:type="dxa"/>
            </w:tcMar>
          </w:tcPr>
          <w:p>
            <w:pPr>
              <w:jc w:val="left"/>
            </w:pPr>
            <w:r>
              <w:rPr>
                <w:rFonts w:ascii="Aptos" w:hAnsi="Aptos"/>
                <w:b w:val="0"/>
                <w:i w:val="0"/>
                <w:sz w:val="18"/>
              </w:rPr>
              <w:t>Early payment discount</w:t>
            </w:r>
          </w:p>
        </w:tc>
        <w:tc>
          <w:tcPr>
            <w:tcW w:type="dxa" w:w="1983"/>
            <w:tcMar>
              <w:top w:w="90" w:type="dxa"/>
              <w:start w:w="90" w:type="dxa"/>
              <w:bottom w:w="90" w:type="dxa"/>
              <w:end w:w="90" w:type="dxa"/>
            </w:tcMar>
          </w:tcPr>
          <w:p>
            <w:pPr>
              <w:jc w:val="left"/>
            </w:pPr>
            <w:r>
              <w:rPr>
                <w:rFonts w:ascii="Aptos" w:hAnsi="Aptos"/>
                <w:b w:val="0"/>
                <w:i w:val="0"/>
                <w:sz w:val="18"/>
              </w:rPr>
              <w:t>15-day payment</w:t>
            </w:r>
          </w:p>
        </w:tc>
        <w:tc>
          <w:tcPr>
            <w:tcW w:type="dxa" w:w="1983"/>
            <w:tcMar>
              <w:top w:w="90" w:type="dxa"/>
              <w:start w:w="90" w:type="dxa"/>
              <w:bottom w:w="90" w:type="dxa"/>
              <w:end w:w="90" w:type="dxa"/>
            </w:tcMar>
          </w:tcPr>
          <w:p>
            <w:pPr>
              <w:jc w:val="center"/>
            </w:pPr>
            <w:r>
              <w:rPr>
                <w:rFonts w:ascii="Aptos" w:hAnsi="Aptos"/>
                <w:b w:val="0"/>
                <w:i w:val="0"/>
                <w:sz w:val="18"/>
              </w:rPr>
              <w:t>0.90% of approved invoice</w:t>
            </w:r>
          </w:p>
        </w:tc>
        <w:tc>
          <w:tcPr>
            <w:tcW w:type="dxa" w:w="1983"/>
            <w:tcMar>
              <w:top w:w="90" w:type="dxa"/>
              <w:start w:w="90" w:type="dxa"/>
              <w:bottom w:w="90" w:type="dxa"/>
              <w:end w:w="90" w:type="dxa"/>
            </w:tcMar>
          </w:tcPr>
          <w:p>
            <w:pPr>
              <w:jc w:val="left"/>
            </w:pPr>
            <w:r>
              <w:rPr>
                <w:rFonts w:ascii="Aptos" w:hAnsi="Aptos"/>
                <w:b w:val="0"/>
                <w:i w:val="0"/>
                <w:sz w:val="18"/>
              </w:rPr>
              <w:t>Carrier opts in</w:t>
            </w:r>
          </w:p>
        </w:tc>
        <w:tc>
          <w:tcPr>
            <w:tcW w:type="dxa" w:w="1983"/>
            <w:tcMar>
              <w:top w:w="90" w:type="dxa"/>
              <w:start w:w="90" w:type="dxa"/>
              <w:bottom w:w="90" w:type="dxa"/>
              <w:end w:w="90" w:type="dxa"/>
            </w:tcMar>
          </w:tcPr>
          <w:p>
            <w:pPr>
              <w:jc w:val="center"/>
            </w:pPr>
            <w:r>
              <w:rPr>
                <w:rFonts w:ascii="Aptos" w:hAnsi="Aptos"/>
                <w:b w:val="0"/>
                <w:i w:val="0"/>
                <w:sz w:val="18"/>
              </w:rPr>
              <w:t>deducted at payment stage</w:t>
            </w:r>
          </w:p>
        </w:tc>
      </w:tr>
      <w:tr>
        <w:tc>
          <w:tcPr>
            <w:tcW w:type="dxa" w:w="1983"/>
            <w:tcMar>
              <w:top w:w="90" w:type="dxa"/>
              <w:start w:w="90" w:type="dxa"/>
              <w:bottom w:w="90" w:type="dxa"/>
              <w:end w:w="90" w:type="dxa"/>
            </w:tcMar>
          </w:tcPr>
          <w:p>
            <w:pPr>
              <w:jc w:val="left"/>
            </w:pPr>
            <w:r>
              <w:rPr>
                <w:rFonts w:ascii="Aptos" w:hAnsi="Aptos"/>
                <w:b w:val="0"/>
                <w:i w:val="0"/>
                <w:sz w:val="18"/>
              </w:rPr>
              <w:t>Volume rebate</w:t>
            </w:r>
          </w:p>
        </w:tc>
        <w:tc>
          <w:tcPr>
            <w:tcW w:type="dxa" w:w="1983"/>
            <w:tcMar>
              <w:top w:w="90" w:type="dxa"/>
              <w:start w:w="90" w:type="dxa"/>
              <w:bottom w:w="90" w:type="dxa"/>
              <w:end w:w="90" w:type="dxa"/>
            </w:tcMar>
          </w:tcPr>
          <w:p>
            <w:pPr>
              <w:jc w:val="left"/>
            </w:pPr>
            <w:r>
              <w:rPr>
                <w:rFonts w:ascii="Aptos" w:hAnsi="Aptos"/>
                <w:b w:val="0"/>
                <w:i w:val="0"/>
                <w:sz w:val="18"/>
              </w:rPr>
              <w:t>Monthly freight &gt; INR 5,000,000</w:t>
            </w:r>
          </w:p>
        </w:tc>
        <w:tc>
          <w:tcPr>
            <w:tcW w:type="dxa" w:w="1983"/>
            <w:tcMar>
              <w:top w:w="90" w:type="dxa"/>
              <w:start w:w="90" w:type="dxa"/>
              <w:bottom w:w="90" w:type="dxa"/>
              <w:end w:w="90" w:type="dxa"/>
            </w:tcMar>
          </w:tcPr>
          <w:p>
            <w:pPr>
              <w:jc w:val="center"/>
            </w:pPr>
            <w:r>
              <w:rPr>
                <w:rFonts w:ascii="Aptos" w:hAnsi="Aptos"/>
                <w:b w:val="0"/>
                <w:i w:val="0"/>
                <w:sz w:val="18"/>
              </w:rPr>
              <w:t>1.00%</w:t>
            </w:r>
          </w:p>
        </w:tc>
        <w:tc>
          <w:tcPr>
            <w:tcW w:type="dxa" w:w="1983"/>
            <w:tcMar>
              <w:top w:w="90" w:type="dxa"/>
              <w:start w:w="90" w:type="dxa"/>
              <w:bottom w:w="90" w:type="dxa"/>
              <w:end w:w="90" w:type="dxa"/>
            </w:tcMar>
          </w:tcPr>
          <w:p>
            <w:pPr>
              <w:jc w:val="left"/>
            </w:pPr>
            <w:r>
              <w:rPr>
                <w:rFonts w:ascii="Aptos" w:hAnsi="Aptos"/>
                <w:b w:val="0"/>
                <w:i w:val="0"/>
                <w:sz w:val="18"/>
              </w:rPr>
              <w:t>Composite score &gt;= 96%</w:t>
            </w:r>
          </w:p>
        </w:tc>
        <w:tc>
          <w:tcPr>
            <w:tcW w:type="dxa" w:w="1983"/>
            <w:tcMar>
              <w:top w:w="90" w:type="dxa"/>
              <w:start w:w="90" w:type="dxa"/>
              <w:bottom w:w="90" w:type="dxa"/>
              <w:end w:w="90" w:type="dxa"/>
            </w:tcMar>
          </w:tcPr>
          <w:p>
            <w:pPr>
              <w:jc w:val="center"/>
            </w:pPr>
            <w:r>
              <w:rPr>
                <w:rFonts w:ascii="Aptos" w:hAnsi="Aptos"/>
                <w:b w:val="0"/>
                <w:i w:val="0"/>
                <w:sz w:val="18"/>
              </w:rPr>
              <w:t>credit note / deduction</w:t>
            </w:r>
          </w:p>
        </w:tc>
      </w:tr>
      <w:tr>
        <w:tc>
          <w:tcPr>
            <w:tcW w:type="dxa" w:w="1983"/>
            <w:tcMar>
              <w:top w:w="90" w:type="dxa"/>
              <w:start w:w="90" w:type="dxa"/>
              <w:bottom w:w="90" w:type="dxa"/>
              <w:end w:w="90" w:type="dxa"/>
            </w:tcMar>
          </w:tcPr>
          <w:p>
            <w:pPr>
              <w:jc w:val="left"/>
            </w:pPr>
            <w:r>
              <w:rPr>
                <w:rFonts w:ascii="Aptos" w:hAnsi="Aptos"/>
                <w:b w:val="0"/>
                <w:i w:val="0"/>
                <w:sz w:val="18"/>
              </w:rPr>
              <w:t>Volume rebate</w:t>
            </w:r>
          </w:p>
        </w:tc>
        <w:tc>
          <w:tcPr>
            <w:tcW w:type="dxa" w:w="1983"/>
            <w:tcMar>
              <w:top w:w="90" w:type="dxa"/>
              <w:start w:w="90" w:type="dxa"/>
              <w:bottom w:w="90" w:type="dxa"/>
              <w:end w:w="90" w:type="dxa"/>
            </w:tcMar>
          </w:tcPr>
          <w:p>
            <w:pPr>
              <w:jc w:val="left"/>
            </w:pPr>
            <w:r>
              <w:rPr>
                <w:rFonts w:ascii="Aptos" w:hAnsi="Aptos"/>
                <w:b w:val="0"/>
                <w:i w:val="0"/>
                <w:sz w:val="18"/>
              </w:rPr>
              <w:t>Monthly freight &gt; INR 10,000,000</w:t>
            </w:r>
          </w:p>
        </w:tc>
        <w:tc>
          <w:tcPr>
            <w:tcW w:type="dxa" w:w="1983"/>
            <w:tcMar>
              <w:top w:w="90" w:type="dxa"/>
              <w:start w:w="90" w:type="dxa"/>
              <w:bottom w:w="90" w:type="dxa"/>
              <w:end w:w="90" w:type="dxa"/>
            </w:tcMar>
          </w:tcPr>
          <w:p>
            <w:pPr>
              <w:jc w:val="center"/>
            </w:pPr>
            <w:r>
              <w:rPr>
                <w:rFonts w:ascii="Aptos" w:hAnsi="Aptos"/>
                <w:b w:val="0"/>
                <w:i w:val="0"/>
                <w:sz w:val="18"/>
              </w:rPr>
              <w:t>1.75%</w:t>
            </w:r>
          </w:p>
        </w:tc>
        <w:tc>
          <w:tcPr>
            <w:tcW w:type="dxa" w:w="1983"/>
            <w:tcMar>
              <w:top w:w="90" w:type="dxa"/>
              <w:start w:w="90" w:type="dxa"/>
              <w:bottom w:w="90" w:type="dxa"/>
              <w:end w:w="90" w:type="dxa"/>
            </w:tcMar>
          </w:tcPr>
          <w:p>
            <w:pPr>
              <w:jc w:val="left"/>
            </w:pPr>
            <w:r>
              <w:rPr>
                <w:rFonts w:ascii="Aptos" w:hAnsi="Aptos"/>
                <w:b w:val="0"/>
                <w:i w:val="0"/>
                <w:sz w:val="18"/>
              </w:rPr>
              <w:t>Composite score &gt;= 96%</w:t>
            </w:r>
          </w:p>
        </w:tc>
        <w:tc>
          <w:tcPr>
            <w:tcW w:type="dxa" w:w="1983"/>
            <w:tcMar>
              <w:top w:w="90" w:type="dxa"/>
              <w:start w:w="90" w:type="dxa"/>
              <w:bottom w:w="90" w:type="dxa"/>
              <w:end w:w="90" w:type="dxa"/>
            </w:tcMar>
          </w:tcPr>
          <w:p>
            <w:pPr>
              <w:jc w:val="center"/>
            </w:pPr>
            <w:r>
              <w:rPr>
                <w:rFonts w:ascii="Aptos" w:hAnsi="Aptos"/>
                <w:b w:val="0"/>
                <w:i w:val="0"/>
                <w:sz w:val="18"/>
              </w:rPr>
              <w:t>credit note / deduction</w:t>
            </w:r>
          </w:p>
        </w:tc>
      </w:tr>
      <w:tr>
        <w:tc>
          <w:tcPr>
            <w:tcW w:type="dxa" w:w="1983"/>
            <w:tcMar>
              <w:top w:w="90" w:type="dxa"/>
              <w:start w:w="90" w:type="dxa"/>
              <w:bottom w:w="90" w:type="dxa"/>
              <w:end w:w="90" w:type="dxa"/>
            </w:tcMar>
          </w:tcPr>
          <w:p>
            <w:pPr>
              <w:jc w:val="left"/>
            </w:pPr>
            <w:r>
              <w:rPr>
                <w:rFonts w:ascii="Aptos" w:hAnsi="Aptos"/>
                <w:b w:val="0"/>
                <w:i w:val="0"/>
                <w:sz w:val="18"/>
              </w:rPr>
              <w:t>Volume rebate</w:t>
            </w:r>
          </w:p>
        </w:tc>
        <w:tc>
          <w:tcPr>
            <w:tcW w:type="dxa" w:w="1983"/>
            <w:tcMar>
              <w:top w:w="90" w:type="dxa"/>
              <w:start w:w="90" w:type="dxa"/>
              <w:bottom w:w="90" w:type="dxa"/>
              <w:end w:w="90" w:type="dxa"/>
            </w:tcMar>
          </w:tcPr>
          <w:p>
            <w:pPr>
              <w:jc w:val="left"/>
            </w:pPr>
            <w:r>
              <w:rPr>
                <w:rFonts w:ascii="Aptos" w:hAnsi="Aptos"/>
                <w:b w:val="0"/>
                <w:i w:val="0"/>
                <w:sz w:val="18"/>
              </w:rPr>
              <w:t>Monthly freight &gt; INR 20,000,000</w:t>
            </w:r>
          </w:p>
        </w:tc>
        <w:tc>
          <w:tcPr>
            <w:tcW w:type="dxa" w:w="1983"/>
            <w:tcMar>
              <w:top w:w="90" w:type="dxa"/>
              <w:start w:w="90" w:type="dxa"/>
              <w:bottom w:w="90" w:type="dxa"/>
              <w:end w:w="90" w:type="dxa"/>
            </w:tcMar>
          </w:tcPr>
          <w:p>
            <w:pPr>
              <w:jc w:val="center"/>
            </w:pPr>
            <w:r>
              <w:rPr>
                <w:rFonts w:ascii="Aptos" w:hAnsi="Aptos"/>
                <w:b w:val="0"/>
                <w:i w:val="0"/>
                <w:sz w:val="18"/>
              </w:rPr>
              <w:t>2.50%</w:t>
            </w:r>
          </w:p>
        </w:tc>
        <w:tc>
          <w:tcPr>
            <w:tcW w:type="dxa" w:w="1983"/>
            <w:tcMar>
              <w:top w:w="90" w:type="dxa"/>
              <w:start w:w="90" w:type="dxa"/>
              <w:bottom w:w="90" w:type="dxa"/>
              <w:end w:w="90" w:type="dxa"/>
            </w:tcMar>
          </w:tcPr>
          <w:p>
            <w:pPr>
              <w:jc w:val="left"/>
            </w:pPr>
            <w:r>
              <w:rPr>
                <w:rFonts w:ascii="Aptos" w:hAnsi="Aptos"/>
                <w:b w:val="0"/>
                <w:i w:val="0"/>
                <w:sz w:val="18"/>
              </w:rPr>
              <w:t>Composite score &gt;= 96%</w:t>
            </w:r>
          </w:p>
        </w:tc>
        <w:tc>
          <w:tcPr>
            <w:tcW w:type="dxa" w:w="1983"/>
            <w:tcMar>
              <w:top w:w="90" w:type="dxa"/>
              <w:start w:w="90" w:type="dxa"/>
              <w:bottom w:w="90" w:type="dxa"/>
              <w:end w:w="90" w:type="dxa"/>
            </w:tcMar>
          </w:tcPr>
          <w:p>
            <w:pPr>
              <w:jc w:val="center"/>
            </w:pPr>
            <w:r>
              <w:rPr>
                <w:rFonts w:ascii="Aptos" w:hAnsi="Aptos"/>
                <w:b w:val="0"/>
                <w:i w:val="0"/>
                <w:sz w:val="18"/>
              </w:rPr>
              <w:t>credit note / deduction</w:t>
            </w:r>
          </w:p>
        </w:tc>
      </w:tr>
      <w:tr>
        <w:tc>
          <w:tcPr>
            <w:tcW w:type="dxa" w:w="1983"/>
            <w:tcMar>
              <w:top w:w="90" w:type="dxa"/>
              <w:start w:w="90" w:type="dxa"/>
              <w:bottom w:w="90" w:type="dxa"/>
              <w:end w:w="90" w:type="dxa"/>
            </w:tcMar>
          </w:tcPr>
          <w:p>
            <w:pPr>
              <w:jc w:val="left"/>
            </w:pPr>
            <w:r>
              <w:rPr>
                <w:rFonts w:ascii="Aptos" w:hAnsi="Aptos"/>
                <w:b w:val="0"/>
                <w:i w:val="0"/>
                <w:sz w:val="18"/>
              </w:rPr>
              <w:t>Invoice accuracy discount</w:t>
            </w:r>
          </w:p>
        </w:tc>
        <w:tc>
          <w:tcPr>
            <w:tcW w:type="dxa" w:w="1983"/>
            <w:tcMar>
              <w:top w:w="90" w:type="dxa"/>
              <w:start w:w="90" w:type="dxa"/>
              <w:bottom w:w="90" w:type="dxa"/>
              <w:end w:w="90" w:type="dxa"/>
            </w:tcMar>
          </w:tcPr>
          <w:p>
            <w:pPr>
              <w:jc w:val="left"/>
            </w:pPr>
            <w:r>
              <w:rPr>
                <w:rFonts w:ascii="Aptos" w:hAnsi="Aptos"/>
                <w:b w:val="0"/>
                <w:i w:val="0"/>
                <w:sz w:val="18"/>
              </w:rPr>
              <w:t>Line discrepancy &gt; 2%</w:t>
            </w:r>
          </w:p>
        </w:tc>
        <w:tc>
          <w:tcPr>
            <w:tcW w:type="dxa" w:w="1983"/>
            <w:tcMar>
              <w:top w:w="90" w:type="dxa"/>
              <w:start w:w="90" w:type="dxa"/>
              <w:bottom w:w="90" w:type="dxa"/>
              <w:end w:w="90" w:type="dxa"/>
            </w:tcMar>
          </w:tcPr>
          <w:p>
            <w:pPr>
              <w:jc w:val="center"/>
            </w:pPr>
            <w:r>
              <w:rPr>
                <w:rFonts w:ascii="Aptos" w:hAnsi="Aptos"/>
                <w:b w:val="0"/>
                <w:i w:val="0"/>
                <w:sz w:val="18"/>
              </w:rPr>
              <w:t>0.25%</w:t>
            </w:r>
          </w:p>
        </w:tc>
        <w:tc>
          <w:tcPr>
            <w:tcW w:type="dxa" w:w="1983"/>
            <w:tcMar>
              <w:top w:w="90" w:type="dxa"/>
              <w:start w:w="90" w:type="dxa"/>
              <w:bottom w:w="90" w:type="dxa"/>
              <w:end w:w="90" w:type="dxa"/>
            </w:tcMar>
          </w:tcPr>
          <w:p>
            <w:pPr>
              <w:jc w:val="left"/>
            </w:pPr>
            <w:r>
              <w:rPr>
                <w:rFonts w:ascii="Aptos" w:hAnsi="Aptos"/>
                <w:b w:val="0"/>
                <w:i w:val="0"/>
                <w:sz w:val="18"/>
              </w:rPr>
              <w:t>invoice QA failure</w:t>
            </w:r>
          </w:p>
        </w:tc>
        <w:tc>
          <w:tcPr>
            <w:tcW w:type="dxa" w:w="1983"/>
            <w:tcMar>
              <w:top w:w="90" w:type="dxa"/>
              <w:start w:w="90" w:type="dxa"/>
              <w:bottom w:w="90" w:type="dxa"/>
              <w:end w:w="90" w:type="dxa"/>
            </w:tcMar>
          </w:tcPr>
          <w:p>
            <w:pPr>
              <w:jc w:val="center"/>
            </w:pPr>
            <w:r>
              <w:rPr>
                <w:rFonts w:ascii="Aptos" w:hAnsi="Aptos"/>
                <w:b w:val="0"/>
                <w:i w:val="0"/>
                <w:sz w:val="18"/>
              </w:rPr>
              <w:t>debit note</w:t>
            </w:r>
          </w:p>
        </w:tc>
      </w:tr>
      <w:tr>
        <w:tc>
          <w:tcPr>
            <w:tcW w:type="dxa" w:w="1983"/>
            <w:tcMar>
              <w:top w:w="90" w:type="dxa"/>
              <w:start w:w="90" w:type="dxa"/>
              <w:bottom w:w="90" w:type="dxa"/>
              <w:end w:w="90" w:type="dxa"/>
            </w:tcMar>
          </w:tcPr>
          <w:p>
            <w:pPr>
              <w:jc w:val="left"/>
            </w:pPr>
            <w:r>
              <w:rPr>
                <w:rFonts w:ascii="Aptos" w:hAnsi="Aptos"/>
                <w:b w:val="0"/>
                <w:i w:val="0"/>
                <w:sz w:val="18"/>
              </w:rPr>
              <w:t>Invoice accuracy discount</w:t>
            </w:r>
          </w:p>
        </w:tc>
        <w:tc>
          <w:tcPr>
            <w:tcW w:type="dxa" w:w="1983"/>
            <w:tcMar>
              <w:top w:w="90" w:type="dxa"/>
              <w:start w:w="90" w:type="dxa"/>
              <w:bottom w:w="90" w:type="dxa"/>
              <w:end w:w="90" w:type="dxa"/>
            </w:tcMar>
          </w:tcPr>
          <w:p>
            <w:pPr>
              <w:jc w:val="left"/>
            </w:pPr>
            <w:r>
              <w:rPr>
                <w:rFonts w:ascii="Aptos" w:hAnsi="Aptos"/>
                <w:b w:val="0"/>
                <w:i w:val="0"/>
                <w:sz w:val="18"/>
              </w:rPr>
              <w:t>Line discrepancy &gt; 5%</w:t>
            </w:r>
          </w:p>
        </w:tc>
        <w:tc>
          <w:tcPr>
            <w:tcW w:type="dxa" w:w="1983"/>
            <w:tcMar>
              <w:top w:w="90" w:type="dxa"/>
              <w:start w:w="90" w:type="dxa"/>
              <w:bottom w:w="90" w:type="dxa"/>
              <w:end w:w="90" w:type="dxa"/>
            </w:tcMar>
          </w:tcPr>
          <w:p>
            <w:pPr>
              <w:jc w:val="center"/>
            </w:pPr>
            <w:r>
              <w:rPr>
                <w:rFonts w:ascii="Aptos" w:hAnsi="Aptos"/>
                <w:b w:val="0"/>
                <w:i w:val="0"/>
                <w:sz w:val="18"/>
              </w:rPr>
              <w:t>0.75%</w:t>
            </w:r>
          </w:p>
        </w:tc>
        <w:tc>
          <w:tcPr>
            <w:tcW w:type="dxa" w:w="1983"/>
            <w:tcMar>
              <w:top w:w="90" w:type="dxa"/>
              <w:start w:w="90" w:type="dxa"/>
              <w:bottom w:w="90" w:type="dxa"/>
              <w:end w:w="90" w:type="dxa"/>
            </w:tcMar>
          </w:tcPr>
          <w:p>
            <w:pPr>
              <w:jc w:val="left"/>
            </w:pPr>
            <w:r>
              <w:rPr>
                <w:rFonts w:ascii="Aptos" w:hAnsi="Aptos"/>
                <w:b w:val="0"/>
                <w:i w:val="0"/>
                <w:sz w:val="18"/>
              </w:rPr>
              <w:t>invoice QA failure</w:t>
            </w:r>
          </w:p>
        </w:tc>
        <w:tc>
          <w:tcPr>
            <w:tcW w:type="dxa" w:w="1983"/>
            <w:tcMar>
              <w:top w:w="90" w:type="dxa"/>
              <w:start w:w="90" w:type="dxa"/>
              <w:bottom w:w="90" w:type="dxa"/>
              <w:end w:w="90" w:type="dxa"/>
            </w:tcMar>
          </w:tcPr>
          <w:p>
            <w:pPr>
              <w:jc w:val="center"/>
            </w:pPr>
            <w:r>
              <w:rPr>
                <w:rFonts w:ascii="Aptos" w:hAnsi="Aptos"/>
                <w:b w:val="0"/>
                <w:i w:val="0"/>
                <w:sz w:val="18"/>
              </w:rPr>
              <w:t>debit note</w:t>
            </w:r>
          </w:p>
        </w:tc>
      </w:tr>
      <w:tr>
        <w:tc>
          <w:tcPr>
            <w:tcW w:type="dxa" w:w="1983"/>
            <w:tcMar>
              <w:top w:w="90" w:type="dxa"/>
              <w:start w:w="90" w:type="dxa"/>
              <w:bottom w:w="90" w:type="dxa"/>
              <w:end w:w="90" w:type="dxa"/>
            </w:tcMar>
          </w:tcPr>
          <w:p>
            <w:pPr>
              <w:jc w:val="left"/>
            </w:pPr>
            <w:r>
              <w:rPr>
                <w:rFonts w:ascii="Aptos" w:hAnsi="Aptos"/>
                <w:b w:val="0"/>
                <w:i w:val="0"/>
                <w:sz w:val="18"/>
              </w:rPr>
              <w:t>Strategic customer discount</w:t>
            </w:r>
          </w:p>
        </w:tc>
        <w:tc>
          <w:tcPr>
            <w:tcW w:type="dxa" w:w="1983"/>
            <w:tcMar>
              <w:top w:w="90" w:type="dxa"/>
              <w:start w:w="90" w:type="dxa"/>
              <w:bottom w:w="90" w:type="dxa"/>
              <w:end w:w="90" w:type="dxa"/>
            </w:tcMar>
          </w:tcPr>
          <w:p>
            <w:pPr>
              <w:jc w:val="left"/>
            </w:pPr>
            <w:r>
              <w:rPr>
                <w:rFonts w:ascii="Aptos" w:hAnsi="Aptos"/>
                <w:b w:val="0"/>
                <w:i w:val="0"/>
                <w:sz w:val="18"/>
              </w:rPr>
              <w:t>Aggregator notice</w:t>
            </w:r>
          </w:p>
        </w:tc>
        <w:tc>
          <w:tcPr>
            <w:tcW w:type="dxa" w:w="1983"/>
            <w:tcMar>
              <w:top w:w="90" w:type="dxa"/>
              <w:start w:w="90" w:type="dxa"/>
              <w:bottom w:w="90" w:type="dxa"/>
              <w:end w:w="90" w:type="dxa"/>
            </w:tcMar>
          </w:tcPr>
          <w:p>
            <w:pPr>
              <w:jc w:val="center"/>
            </w:pPr>
            <w:r>
              <w:rPr>
                <w:rFonts w:ascii="Aptos" w:hAnsi="Aptos"/>
                <w:b w:val="0"/>
                <w:i w:val="0"/>
                <w:sz w:val="18"/>
              </w:rPr>
              <w:t>up to 2.00%</w:t>
            </w:r>
          </w:p>
        </w:tc>
        <w:tc>
          <w:tcPr>
            <w:tcW w:type="dxa" w:w="1983"/>
            <w:tcMar>
              <w:top w:w="90" w:type="dxa"/>
              <w:start w:w="90" w:type="dxa"/>
              <w:bottom w:w="90" w:type="dxa"/>
              <w:end w:w="90" w:type="dxa"/>
            </w:tcMar>
          </w:tcPr>
          <w:p>
            <w:pPr>
              <w:jc w:val="left"/>
            </w:pPr>
            <w:r>
              <w:rPr>
                <w:rFonts w:ascii="Aptos" w:hAnsi="Aptos"/>
                <w:b w:val="0"/>
                <w:i w:val="0"/>
                <w:sz w:val="18"/>
              </w:rPr>
              <w:t>max 90 days</w:t>
            </w:r>
          </w:p>
        </w:tc>
        <w:tc>
          <w:tcPr>
            <w:tcW w:type="dxa" w:w="1983"/>
            <w:tcMar>
              <w:top w:w="90" w:type="dxa"/>
              <w:start w:w="90" w:type="dxa"/>
              <w:bottom w:w="90" w:type="dxa"/>
              <w:end w:w="90" w:type="dxa"/>
            </w:tcMar>
          </w:tcPr>
          <w:p>
            <w:pPr>
              <w:jc w:val="center"/>
            </w:pPr>
            <w:r>
              <w:rPr>
                <w:rFonts w:ascii="Aptos" w:hAnsi="Aptos"/>
                <w:b w:val="0"/>
                <w:i w:val="0"/>
                <w:sz w:val="18"/>
              </w:rPr>
              <w:t>prospective invoice deduction</w:t>
            </w:r>
          </w:p>
        </w:tc>
      </w:tr>
      <w:tr>
        <w:tc>
          <w:tcPr>
            <w:tcW w:type="dxa" w:w="1983"/>
            <w:tcMar>
              <w:top w:w="90" w:type="dxa"/>
              <w:start w:w="90" w:type="dxa"/>
              <w:bottom w:w="90" w:type="dxa"/>
              <w:end w:w="90" w:type="dxa"/>
            </w:tcMar>
          </w:tcPr>
          <w:p>
            <w:pPr>
              <w:jc w:val="left"/>
            </w:pPr>
            <w:r>
              <w:rPr>
                <w:rFonts w:ascii="Aptos" w:hAnsi="Aptos"/>
                <w:b w:val="0"/>
                <w:i w:val="0"/>
                <w:sz w:val="18"/>
              </w:rPr>
              <w:t>Fill factor discount</w:t>
            </w:r>
          </w:p>
        </w:tc>
        <w:tc>
          <w:tcPr>
            <w:tcW w:type="dxa" w:w="1983"/>
            <w:tcMar>
              <w:top w:w="90" w:type="dxa"/>
              <w:start w:w="90" w:type="dxa"/>
              <w:bottom w:w="90" w:type="dxa"/>
              <w:end w:w="90" w:type="dxa"/>
            </w:tcMar>
          </w:tcPr>
          <w:p>
            <w:pPr>
              <w:jc w:val="left"/>
            </w:pPr>
            <w:r>
              <w:rPr>
                <w:rFonts w:ascii="Aptos" w:hAnsi="Aptos"/>
                <w:b w:val="0"/>
                <w:i w:val="0"/>
                <w:sz w:val="18"/>
              </w:rPr>
              <w:t>Avg fill factor &lt; 85%</w:t>
            </w:r>
          </w:p>
        </w:tc>
        <w:tc>
          <w:tcPr>
            <w:tcW w:type="dxa" w:w="1983"/>
            <w:tcMar>
              <w:top w:w="90" w:type="dxa"/>
              <w:start w:w="90" w:type="dxa"/>
              <w:bottom w:w="90" w:type="dxa"/>
              <w:end w:w="90" w:type="dxa"/>
            </w:tcMar>
          </w:tcPr>
          <w:p>
            <w:pPr>
              <w:jc w:val="center"/>
            </w:pPr>
            <w:r>
              <w:rPr>
                <w:rFonts w:ascii="Aptos" w:hAnsi="Aptos"/>
                <w:b w:val="0"/>
                <w:i w:val="0"/>
                <w:sz w:val="18"/>
              </w:rPr>
              <w:t>0.50%</w:t>
            </w:r>
          </w:p>
        </w:tc>
        <w:tc>
          <w:tcPr>
            <w:tcW w:type="dxa" w:w="1983"/>
            <w:tcMar>
              <w:top w:w="90" w:type="dxa"/>
              <w:start w:w="90" w:type="dxa"/>
              <w:bottom w:w="90" w:type="dxa"/>
              <w:end w:w="90" w:type="dxa"/>
            </w:tcMar>
          </w:tcPr>
          <w:p>
            <w:pPr>
              <w:jc w:val="left"/>
            </w:pPr>
            <w:r>
              <w:rPr>
                <w:rFonts w:ascii="Aptos" w:hAnsi="Aptos"/>
                <w:b w:val="0"/>
                <w:i w:val="0"/>
                <w:sz w:val="18"/>
              </w:rPr>
              <w:t>dedicated/milk-run only</w:t>
            </w:r>
          </w:p>
        </w:tc>
        <w:tc>
          <w:tcPr>
            <w:tcW w:type="dxa" w:w="1983"/>
            <w:tcMar>
              <w:top w:w="90" w:type="dxa"/>
              <w:start w:w="90" w:type="dxa"/>
              <w:bottom w:w="90" w:type="dxa"/>
              <w:end w:w="90" w:type="dxa"/>
            </w:tcMar>
          </w:tcPr>
          <w:p>
            <w:pPr>
              <w:jc w:val="center"/>
            </w:pPr>
            <w:r>
              <w:rPr>
                <w:rFonts w:ascii="Aptos" w:hAnsi="Aptos"/>
                <w:b w:val="0"/>
                <w:i w:val="0"/>
                <w:sz w:val="18"/>
              </w:rPr>
              <w:t>monthly debit note</w:t>
            </w:r>
          </w:p>
        </w:tc>
      </w:tr>
      <w:tr>
        <w:tc>
          <w:tcPr>
            <w:tcW w:type="dxa" w:w="1983"/>
            <w:tcMar>
              <w:top w:w="90" w:type="dxa"/>
              <w:start w:w="90" w:type="dxa"/>
              <w:bottom w:w="90" w:type="dxa"/>
              <w:end w:w="90" w:type="dxa"/>
            </w:tcMar>
          </w:tcPr>
          <w:p>
            <w:pPr>
              <w:jc w:val="left"/>
            </w:pPr>
            <w:r>
              <w:rPr>
                <w:rFonts w:ascii="Aptos" w:hAnsi="Aptos"/>
                <w:b w:val="0"/>
                <w:i w:val="0"/>
                <w:sz w:val="18"/>
              </w:rPr>
              <w:t>Fill factor discount</w:t>
            </w:r>
          </w:p>
        </w:tc>
        <w:tc>
          <w:tcPr>
            <w:tcW w:type="dxa" w:w="1983"/>
            <w:tcMar>
              <w:top w:w="90" w:type="dxa"/>
              <w:start w:w="90" w:type="dxa"/>
              <w:bottom w:w="90" w:type="dxa"/>
              <w:end w:w="90" w:type="dxa"/>
            </w:tcMar>
          </w:tcPr>
          <w:p>
            <w:pPr>
              <w:jc w:val="left"/>
            </w:pPr>
            <w:r>
              <w:rPr>
                <w:rFonts w:ascii="Aptos" w:hAnsi="Aptos"/>
                <w:b w:val="0"/>
                <w:i w:val="0"/>
                <w:sz w:val="18"/>
              </w:rPr>
              <w:t>Avg fill factor &lt; 75%</w:t>
            </w:r>
          </w:p>
        </w:tc>
        <w:tc>
          <w:tcPr>
            <w:tcW w:type="dxa" w:w="1983"/>
            <w:tcMar>
              <w:top w:w="90" w:type="dxa"/>
              <w:start w:w="90" w:type="dxa"/>
              <w:bottom w:w="90" w:type="dxa"/>
              <w:end w:w="90" w:type="dxa"/>
            </w:tcMar>
          </w:tcPr>
          <w:p>
            <w:pPr>
              <w:jc w:val="center"/>
            </w:pPr>
            <w:r>
              <w:rPr>
                <w:rFonts w:ascii="Aptos" w:hAnsi="Aptos"/>
                <w:b w:val="0"/>
                <w:i w:val="0"/>
                <w:sz w:val="18"/>
              </w:rPr>
              <w:t>1.25%</w:t>
            </w:r>
          </w:p>
        </w:tc>
        <w:tc>
          <w:tcPr>
            <w:tcW w:type="dxa" w:w="1983"/>
            <w:tcMar>
              <w:top w:w="90" w:type="dxa"/>
              <w:start w:w="90" w:type="dxa"/>
              <w:bottom w:w="90" w:type="dxa"/>
              <w:end w:w="90" w:type="dxa"/>
            </w:tcMar>
          </w:tcPr>
          <w:p>
            <w:pPr>
              <w:jc w:val="left"/>
            </w:pPr>
            <w:r>
              <w:rPr>
                <w:rFonts w:ascii="Aptos" w:hAnsi="Aptos"/>
                <w:b w:val="0"/>
                <w:i w:val="0"/>
                <w:sz w:val="18"/>
              </w:rPr>
              <w:t>dedicated/milk-run only</w:t>
            </w:r>
          </w:p>
        </w:tc>
        <w:tc>
          <w:tcPr>
            <w:tcW w:type="dxa" w:w="1983"/>
            <w:tcMar>
              <w:top w:w="90" w:type="dxa"/>
              <w:start w:w="90" w:type="dxa"/>
              <w:bottom w:w="90" w:type="dxa"/>
              <w:end w:w="90" w:type="dxa"/>
            </w:tcMar>
          </w:tcPr>
          <w:p>
            <w:pPr>
              <w:jc w:val="center"/>
            </w:pPr>
            <w:r>
              <w:rPr>
                <w:rFonts w:ascii="Aptos" w:hAnsi="Aptos"/>
                <w:b w:val="0"/>
                <w:i w:val="0"/>
                <w:sz w:val="18"/>
              </w:rPr>
              <w:t>monthly debit note</w:t>
            </w:r>
          </w:p>
        </w:tc>
      </w:tr>
      <w:tr>
        <w:tc>
          <w:tcPr>
            <w:tcW w:type="dxa" w:w="1983"/>
            <w:tcMar>
              <w:top w:w="90" w:type="dxa"/>
              <w:start w:w="90" w:type="dxa"/>
              <w:bottom w:w="90" w:type="dxa"/>
              <w:end w:w="90" w:type="dxa"/>
            </w:tcMar>
          </w:tcPr>
          <w:p>
            <w:pPr>
              <w:jc w:val="left"/>
            </w:pPr>
            <w:r>
              <w:rPr>
                <w:rFonts w:ascii="Aptos" w:hAnsi="Aptos"/>
                <w:b w:val="0"/>
                <w:i w:val="0"/>
                <w:sz w:val="18"/>
              </w:rPr>
              <w:t>Return leg discount</w:t>
            </w:r>
          </w:p>
        </w:tc>
        <w:tc>
          <w:tcPr>
            <w:tcW w:type="dxa" w:w="1983"/>
            <w:tcMar>
              <w:top w:w="90" w:type="dxa"/>
              <w:start w:w="90" w:type="dxa"/>
              <w:bottom w:w="90" w:type="dxa"/>
              <w:end w:w="90" w:type="dxa"/>
            </w:tcMar>
          </w:tcPr>
          <w:p>
            <w:pPr>
              <w:jc w:val="left"/>
            </w:pPr>
            <w:r>
              <w:rPr>
                <w:rFonts w:ascii="Aptos" w:hAnsi="Aptos"/>
                <w:b w:val="0"/>
                <w:i w:val="0"/>
                <w:sz w:val="18"/>
              </w:rPr>
              <w:t>Aggregator provides backhaul</w:t>
            </w:r>
          </w:p>
        </w:tc>
        <w:tc>
          <w:tcPr>
            <w:tcW w:type="dxa" w:w="1983"/>
            <w:tcMar>
              <w:top w:w="90" w:type="dxa"/>
              <w:start w:w="90" w:type="dxa"/>
              <w:bottom w:w="90" w:type="dxa"/>
              <w:end w:w="90" w:type="dxa"/>
            </w:tcMar>
          </w:tcPr>
          <w:p>
            <w:pPr>
              <w:jc w:val="center"/>
            </w:pPr>
            <w:r>
              <w:rPr>
                <w:rFonts w:ascii="Aptos" w:hAnsi="Aptos"/>
                <w:b w:val="0"/>
                <w:i w:val="0"/>
                <w:sz w:val="18"/>
              </w:rPr>
              <w:t>lower of 8% or actual dead-mile saving</w:t>
            </w:r>
          </w:p>
        </w:tc>
        <w:tc>
          <w:tcPr>
            <w:tcW w:type="dxa" w:w="1983"/>
            <w:tcMar>
              <w:top w:w="90" w:type="dxa"/>
              <w:start w:w="90" w:type="dxa"/>
              <w:bottom w:w="90" w:type="dxa"/>
              <w:end w:w="90" w:type="dxa"/>
            </w:tcMar>
          </w:tcPr>
          <w:p>
            <w:pPr>
              <w:jc w:val="left"/>
            </w:pPr>
            <w:r>
              <w:rPr>
                <w:rFonts w:ascii="Aptos" w:hAnsi="Aptos"/>
                <w:b w:val="0"/>
                <w:i w:val="0"/>
                <w:sz w:val="18"/>
              </w:rPr>
              <w:t>route evidence</w:t>
            </w:r>
          </w:p>
        </w:tc>
        <w:tc>
          <w:tcPr>
            <w:tcW w:type="dxa" w:w="1983"/>
            <w:tcMar>
              <w:top w:w="90" w:type="dxa"/>
              <w:start w:w="90" w:type="dxa"/>
              <w:bottom w:w="90" w:type="dxa"/>
              <w:end w:w="90" w:type="dxa"/>
            </w:tcMar>
          </w:tcPr>
          <w:p>
            <w:pPr>
              <w:jc w:val="center"/>
            </w:pPr>
            <w:r>
              <w:rPr>
                <w:rFonts w:ascii="Aptos" w:hAnsi="Aptos"/>
                <w:b w:val="0"/>
                <w:i w:val="0"/>
                <w:sz w:val="18"/>
              </w:rPr>
              <w:t>applied to relevant trip</w:t>
            </w:r>
          </w:p>
        </w:tc>
      </w:tr>
    </w:tbl>
    <w:p>
      <w:pPr>
        <w:pStyle w:val="Heading2"/>
        <w:spacing w:before="100" w:after="60" w:line="276" w:lineRule="auto"/>
      </w:pPr>
      <w:r>
        <w:rPr>
          <w:rFonts w:ascii="Aptos" w:hAnsi="Aptos"/>
          <w:b/>
          <w:i w:val="0"/>
          <w:color w:val="2F5597"/>
          <w:sz w:val="23"/>
        </w:rPr>
        <w:t>Schedule D - Mandatory Documents and Compliance Pack</w:t>
      </w:r>
    </w:p>
    <w:p>
      <w:pPr>
        <w:spacing w:before="0" w:after="20" w:line="276" w:lineRule="auto"/>
        <w:ind w:left="340" w:hanging="170"/>
      </w:pPr>
      <w:r>
        <w:rPr>
          <w:rFonts w:ascii="Aptos" w:hAnsi="Aptos"/>
          <w:b w:val="0"/>
          <w:i w:val="0"/>
          <w:sz w:val="20"/>
        </w:rPr>
        <w:t>• Constitutional documents, PAN, GST registration, cancelled cheque, authorized signatory proof, board resolution or equivalent authority proof.</w:t>
      </w:r>
    </w:p>
    <w:p>
      <w:pPr>
        <w:spacing w:before="0" w:after="20" w:line="276" w:lineRule="auto"/>
        <w:ind w:left="340" w:hanging="170"/>
      </w:pPr>
      <w:r>
        <w:rPr>
          <w:rFonts w:ascii="Aptos" w:hAnsi="Aptos"/>
          <w:b w:val="0"/>
          <w:i w:val="0"/>
          <w:sz w:val="20"/>
        </w:rPr>
        <w:t>• Vehicle RCs, permits, fitness certificates, pollution certificates, insurance policies, driver licences, Aadhaar/KYC or local equivalent, police verification where required by customer policy.</w:t>
      </w:r>
    </w:p>
    <w:p>
      <w:pPr>
        <w:spacing w:before="0" w:after="20" w:line="276" w:lineRule="auto"/>
        <w:ind w:left="340" w:hanging="170"/>
      </w:pPr>
      <w:r>
        <w:rPr>
          <w:rFonts w:ascii="Aptos" w:hAnsi="Aptos"/>
          <w:b w:val="0"/>
          <w:i w:val="0"/>
          <w:sz w:val="20"/>
        </w:rPr>
        <w:t>• EPF/ESIC or labour law registration records where applicable, wage compliance declarations, code of conduct acknowledgement, anti-bribery declaration, sanctions declaration.</w:t>
      </w:r>
    </w:p>
    <w:p>
      <w:pPr>
        <w:spacing w:before="0" w:after="20" w:line="276" w:lineRule="auto"/>
        <w:ind w:left="340" w:hanging="170"/>
      </w:pPr>
      <w:r>
        <w:rPr>
          <w:rFonts w:ascii="Aptos" w:hAnsi="Aptos"/>
          <w:b w:val="0"/>
          <w:i w:val="0"/>
          <w:sz w:val="20"/>
        </w:rPr>
        <w:t>• Branch contact matrix, emergency escalation matrix, BCP details, customer-service capability declaration, hub/serviceability file, and bank details for remittance.</w:t>
      </w:r>
    </w:p>
    <w:p>
      <w:pPr>
        <w:spacing w:before="0" w:after="20" w:line="276" w:lineRule="auto"/>
        <w:ind w:left="340" w:hanging="170"/>
      </w:pPr>
      <w:r>
        <w:rPr>
          <w:rFonts w:ascii="Aptos" w:hAnsi="Aptos"/>
          <w:b w:val="0"/>
          <w:i w:val="0"/>
          <w:sz w:val="20"/>
        </w:rPr>
        <w:t>• Data processing and confidentiality undertaking, cybersecurity minimum control acknowledgement, and API integration / tracking protocol sign-off where the Carrier uses technology integrations.</w:t>
      </w:r>
    </w:p>
    <w:p>
      <w:pPr>
        <w:pStyle w:val="Heading2"/>
        <w:spacing w:before="100" w:after="60" w:line="276" w:lineRule="auto"/>
      </w:pPr>
      <w:r>
        <w:rPr>
          <w:rFonts w:ascii="Aptos" w:hAnsi="Aptos"/>
          <w:b/>
          <w:i w:val="0"/>
          <w:color w:val="2F5597"/>
          <w:sz w:val="23"/>
        </w:rPr>
        <w:t>Schedule E - Minimum Insurance Requirements</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shd w:fill="D9EAF7"/>
            <w:tcMar>
              <w:top w:w="90" w:type="dxa"/>
              <w:start w:w="90" w:type="dxa"/>
              <w:bottom w:w="90" w:type="dxa"/>
              <w:end w:w="90" w:type="dxa"/>
            </w:tcMar>
          </w:tcPr>
          <w:p>
            <w:pPr>
              <w:jc w:val="center"/>
            </w:pPr>
            <w:r>
              <w:rPr>
                <w:rFonts w:ascii="Aptos" w:hAnsi="Aptos"/>
                <w:b/>
                <w:i w:val="0"/>
                <w:color w:val="1F3A5F"/>
                <w:sz w:val="19"/>
              </w:rPr>
              <w:t>Policy</w:t>
            </w:r>
          </w:p>
        </w:tc>
        <w:tc>
          <w:tcPr>
            <w:tcW w:type="dxa" w:w="2479"/>
            <w:shd w:fill="D9EAF7"/>
            <w:tcMar>
              <w:top w:w="90" w:type="dxa"/>
              <w:start w:w="90" w:type="dxa"/>
              <w:bottom w:w="90" w:type="dxa"/>
              <w:end w:w="90" w:type="dxa"/>
            </w:tcMar>
          </w:tcPr>
          <w:p>
            <w:pPr>
              <w:jc w:val="center"/>
            </w:pPr>
            <w:r>
              <w:rPr>
                <w:rFonts w:ascii="Aptos" w:hAnsi="Aptos"/>
                <w:b/>
                <w:i w:val="0"/>
                <w:color w:val="1F3A5F"/>
                <w:sz w:val="19"/>
              </w:rPr>
              <w:t>Minimum Cover</w:t>
            </w:r>
          </w:p>
        </w:tc>
        <w:tc>
          <w:tcPr>
            <w:tcW w:type="dxa" w:w="2479"/>
            <w:shd w:fill="D9EAF7"/>
            <w:tcMar>
              <w:top w:w="90" w:type="dxa"/>
              <w:start w:w="90" w:type="dxa"/>
              <w:bottom w:w="90" w:type="dxa"/>
              <w:end w:w="90" w:type="dxa"/>
            </w:tcMar>
          </w:tcPr>
          <w:p>
            <w:pPr>
              <w:jc w:val="center"/>
            </w:pPr>
            <w:r>
              <w:rPr>
                <w:rFonts w:ascii="Aptos" w:hAnsi="Aptos"/>
                <w:b/>
                <w:i w:val="0"/>
                <w:color w:val="1F3A5F"/>
                <w:sz w:val="19"/>
              </w:rPr>
              <w:t>Named Risks</w:t>
            </w:r>
          </w:p>
        </w:tc>
        <w:tc>
          <w:tcPr>
            <w:tcW w:type="dxa" w:w="2479"/>
            <w:shd w:fill="D9EAF7"/>
            <w:tcMar>
              <w:top w:w="90" w:type="dxa"/>
              <w:start w:w="90" w:type="dxa"/>
              <w:bottom w:w="90" w:type="dxa"/>
              <w:end w:w="90" w:type="dxa"/>
            </w:tcMar>
          </w:tcPr>
          <w:p>
            <w:pPr>
              <w:jc w:val="center"/>
            </w:pPr>
            <w:r>
              <w:rPr>
                <w:rFonts w:ascii="Aptos" w:hAnsi="Aptos"/>
                <w:b/>
                <w:i w:val="0"/>
                <w:color w:val="1F3A5F"/>
                <w:sz w:val="19"/>
              </w:rPr>
              <w:t>Notes</w:t>
            </w:r>
          </w:p>
        </w:tc>
      </w:tr>
      <w:tr>
        <w:tc>
          <w:tcPr>
            <w:tcW w:type="dxa" w:w="2479"/>
            <w:tcMar>
              <w:top w:w="90" w:type="dxa"/>
              <w:start w:w="90" w:type="dxa"/>
              <w:bottom w:w="90" w:type="dxa"/>
              <w:end w:w="90" w:type="dxa"/>
            </w:tcMar>
          </w:tcPr>
          <w:p>
            <w:pPr>
              <w:jc w:val="left"/>
            </w:pPr>
            <w:r>
              <w:rPr>
                <w:rFonts w:ascii="Aptos" w:hAnsi="Aptos"/>
                <w:b w:val="0"/>
                <w:i w:val="0"/>
                <w:sz w:val="18"/>
              </w:rPr>
              <w:t>Motor / third-party</w:t>
            </w:r>
          </w:p>
        </w:tc>
        <w:tc>
          <w:tcPr>
            <w:tcW w:type="dxa" w:w="2479"/>
            <w:tcMar>
              <w:top w:w="90" w:type="dxa"/>
              <w:start w:w="90" w:type="dxa"/>
              <w:bottom w:w="90" w:type="dxa"/>
              <w:end w:w="90" w:type="dxa"/>
            </w:tcMar>
          </w:tcPr>
          <w:p>
            <w:pPr>
              <w:jc w:val="center"/>
            </w:pPr>
            <w:r>
              <w:rPr>
                <w:rFonts w:ascii="Aptos" w:hAnsi="Aptos"/>
                <w:b w:val="0"/>
                <w:i w:val="0"/>
                <w:sz w:val="18"/>
              </w:rPr>
              <w:t>As required by law</w:t>
            </w:r>
          </w:p>
        </w:tc>
        <w:tc>
          <w:tcPr>
            <w:tcW w:type="dxa" w:w="2479"/>
            <w:tcMar>
              <w:top w:w="90" w:type="dxa"/>
              <w:start w:w="90" w:type="dxa"/>
              <w:bottom w:w="90" w:type="dxa"/>
              <w:end w:w="90" w:type="dxa"/>
            </w:tcMar>
          </w:tcPr>
          <w:p>
            <w:pPr>
              <w:jc w:val="left"/>
            </w:pPr>
            <w:r>
              <w:rPr>
                <w:rFonts w:ascii="Aptos" w:hAnsi="Aptos"/>
                <w:b w:val="0"/>
                <w:i w:val="0"/>
                <w:sz w:val="18"/>
              </w:rPr>
              <w:t>accident, third-party liability</w:t>
            </w:r>
          </w:p>
        </w:tc>
        <w:tc>
          <w:tcPr>
            <w:tcW w:type="dxa" w:w="2479"/>
            <w:tcMar>
              <w:top w:w="90" w:type="dxa"/>
              <w:start w:w="90" w:type="dxa"/>
              <w:bottom w:w="90" w:type="dxa"/>
              <w:end w:w="90" w:type="dxa"/>
            </w:tcMar>
          </w:tcPr>
          <w:p>
            <w:pPr>
              <w:jc w:val="left"/>
            </w:pPr>
            <w:r>
              <w:rPr>
                <w:rFonts w:ascii="Aptos" w:hAnsi="Aptos"/>
                <w:b w:val="0"/>
                <w:i w:val="0"/>
                <w:sz w:val="18"/>
              </w:rPr>
              <w:t>all vehicles used for Services</w:t>
            </w:r>
          </w:p>
        </w:tc>
      </w:tr>
      <w:tr>
        <w:tc>
          <w:tcPr>
            <w:tcW w:type="dxa" w:w="2479"/>
            <w:tcMar>
              <w:top w:w="90" w:type="dxa"/>
              <w:start w:w="90" w:type="dxa"/>
              <w:bottom w:w="90" w:type="dxa"/>
              <w:end w:w="90" w:type="dxa"/>
            </w:tcMar>
          </w:tcPr>
          <w:p>
            <w:pPr>
              <w:jc w:val="left"/>
            </w:pPr>
            <w:r>
              <w:rPr>
                <w:rFonts w:ascii="Aptos" w:hAnsi="Aptos"/>
                <w:b w:val="0"/>
                <w:i w:val="0"/>
                <w:sz w:val="18"/>
              </w:rPr>
              <w:t>Carrier legal liability / transit</w:t>
            </w:r>
          </w:p>
        </w:tc>
        <w:tc>
          <w:tcPr>
            <w:tcW w:type="dxa" w:w="2479"/>
            <w:tcMar>
              <w:top w:w="90" w:type="dxa"/>
              <w:start w:w="90" w:type="dxa"/>
              <w:bottom w:w="90" w:type="dxa"/>
              <w:end w:w="90" w:type="dxa"/>
            </w:tcMar>
          </w:tcPr>
          <w:p>
            <w:pPr>
              <w:jc w:val="center"/>
            </w:pPr>
            <w:r>
              <w:rPr>
                <w:rFonts w:ascii="Aptos" w:hAnsi="Aptos"/>
                <w:b w:val="0"/>
                <w:i w:val="0"/>
                <w:sz w:val="18"/>
              </w:rPr>
              <w:t>INR 10,000,000 per event minimum</w:t>
            </w:r>
          </w:p>
        </w:tc>
        <w:tc>
          <w:tcPr>
            <w:tcW w:type="dxa" w:w="2479"/>
            <w:tcMar>
              <w:top w:w="90" w:type="dxa"/>
              <w:start w:w="90" w:type="dxa"/>
              <w:bottom w:w="90" w:type="dxa"/>
              <w:end w:w="90" w:type="dxa"/>
            </w:tcMar>
          </w:tcPr>
          <w:p>
            <w:pPr>
              <w:jc w:val="left"/>
            </w:pPr>
            <w:r>
              <w:rPr>
                <w:rFonts w:ascii="Aptos" w:hAnsi="Aptos"/>
                <w:b w:val="0"/>
                <w:i w:val="0"/>
                <w:sz w:val="18"/>
              </w:rPr>
              <w:t>loss, theft, transit damage</w:t>
            </w:r>
          </w:p>
        </w:tc>
        <w:tc>
          <w:tcPr>
            <w:tcW w:type="dxa" w:w="2479"/>
            <w:tcMar>
              <w:top w:w="90" w:type="dxa"/>
              <w:start w:w="90" w:type="dxa"/>
              <w:bottom w:w="90" w:type="dxa"/>
              <w:end w:w="90" w:type="dxa"/>
            </w:tcMar>
          </w:tcPr>
          <w:p>
            <w:pPr>
              <w:jc w:val="left"/>
            </w:pPr>
            <w:r>
              <w:rPr>
                <w:rFonts w:ascii="Aptos" w:hAnsi="Aptos"/>
                <w:b w:val="0"/>
                <w:i w:val="0"/>
                <w:sz w:val="18"/>
              </w:rPr>
              <w:t>higher cover may be required for premium goods</w:t>
            </w:r>
          </w:p>
        </w:tc>
      </w:tr>
      <w:tr>
        <w:tc>
          <w:tcPr>
            <w:tcW w:type="dxa" w:w="2479"/>
            <w:tcMar>
              <w:top w:w="90" w:type="dxa"/>
              <w:start w:w="90" w:type="dxa"/>
              <w:bottom w:w="90" w:type="dxa"/>
              <w:end w:w="90" w:type="dxa"/>
            </w:tcMar>
          </w:tcPr>
          <w:p>
            <w:pPr>
              <w:jc w:val="left"/>
            </w:pPr>
            <w:r>
              <w:rPr>
                <w:rFonts w:ascii="Aptos" w:hAnsi="Aptos"/>
                <w:b w:val="0"/>
                <w:i w:val="0"/>
                <w:sz w:val="18"/>
              </w:rPr>
              <w:t>Employee compensation</w:t>
            </w:r>
          </w:p>
        </w:tc>
        <w:tc>
          <w:tcPr>
            <w:tcW w:type="dxa" w:w="2479"/>
            <w:tcMar>
              <w:top w:w="90" w:type="dxa"/>
              <w:start w:w="90" w:type="dxa"/>
              <w:bottom w:w="90" w:type="dxa"/>
              <w:end w:w="90" w:type="dxa"/>
            </w:tcMar>
          </w:tcPr>
          <w:p>
            <w:pPr>
              <w:jc w:val="center"/>
            </w:pPr>
            <w:r>
              <w:rPr>
                <w:rFonts w:ascii="Aptos" w:hAnsi="Aptos"/>
                <w:b w:val="0"/>
                <w:i w:val="0"/>
                <w:sz w:val="18"/>
              </w:rPr>
              <w:t>As required by law</w:t>
            </w:r>
          </w:p>
        </w:tc>
        <w:tc>
          <w:tcPr>
            <w:tcW w:type="dxa" w:w="2479"/>
            <w:tcMar>
              <w:top w:w="90" w:type="dxa"/>
              <w:start w:w="90" w:type="dxa"/>
              <w:bottom w:w="90" w:type="dxa"/>
              <w:end w:w="90" w:type="dxa"/>
            </w:tcMar>
          </w:tcPr>
          <w:p>
            <w:pPr>
              <w:jc w:val="left"/>
            </w:pPr>
            <w:r>
              <w:rPr>
                <w:rFonts w:ascii="Aptos" w:hAnsi="Aptos"/>
                <w:b w:val="0"/>
                <w:i w:val="0"/>
                <w:sz w:val="18"/>
              </w:rPr>
              <w:t>injury/death of employees / helpers</w:t>
            </w:r>
          </w:p>
        </w:tc>
        <w:tc>
          <w:tcPr>
            <w:tcW w:type="dxa" w:w="2479"/>
            <w:tcMar>
              <w:top w:w="90" w:type="dxa"/>
              <w:start w:w="90" w:type="dxa"/>
              <w:bottom w:w="90" w:type="dxa"/>
              <w:end w:w="90" w:type="dxa"/>
            </w:tcMar>
          </w:tcPr>
          <w:p>
            <w:pPr>
              <w:jc w:val="left"/>
            </w:pPr>
            <w:r>
              <w:rPr>
                <w:rFonts w:ascii="Aptos" w:hAnsi="Aptos"/>
                <w:b w:val="0"/>
                <w:i w:val="0"/>
                <w:sz w:val="18"/>
              </w:rPr>
              <w:t>cover for all deployed staff</w:t>
            </w:r>
          </w:p>
        </w:tc>
      </w:tr>
      <w:tr>
        <w:tc>
          <w:tcPr>
            <w:tcW w:type="dxa" w:w="2479"/>
            <w:tcMar>
              <w:top w:w="90" w:type="dxa"/>
              <w:start w:w="90" w:type="dxa"/>
              <w:bottom w:w="90" w:type="dxa"/>
              <w:end w:w="90" w:type="dxa"/>
            </w:tcMar>
          </w:tcPr>
          <w:p>
            <w:pPr>
              <w:jc w:val="left"/>
            </w:pPr>
            <w:r>
              <w:rPr>
                <w:rFonts w:ascii="Aptos" w:hAnsi="Aptos"/>
                <w:b w:val="0"/>
                <w:i w:val="0"/>
                <w:sz w:val="18"/>
              </w:rPr>
              <w:t>Public liability</w:t>
            </w:r>
          </w:p>
        </w:tc>
        <w:tc>
          <w:tcPr>
            <w:tcW w:type="dxa" w:w="2479"/>
            <w:tcMar>
              <w:top w:w="90" w:type="dxa"/>
              <w:start w:w="90" w:type="dxa"/>
              <w:bottom w:w="90" w:type="dxa"/>
              <w:end w:w="90" w:type="dxa"/>
            </w:tcMar>
          </w:tcPr>
          <w:p>
            <w:pPr>
              <w:jc w:val="center"/>
            </w:pPr>
            <w:r>
              <w:rPr>
                <w:rFonts w:ascii="Aptos" w:hAnsi="Aptos"/>
                <w:b w:val="0"/>
                <w:i w:val="0"/>
                <w:sz w:val="18"/>
              </w:rPr>
              <w:t>INR 5,000,000</w:t>
            </w:r>
          </w:p>
        </w:tc>
        <w:tc>
          <w:tcPr>
            <w:tcW w:type="dxa" w:w="2479"/>
            <w:tcMar>
              <w:top w:w="90" w:type="dxa"/>
              <w:start w:w="90" w:type="dxa"/>
              <w:bottom w:w="90" w:type="dxa"/>
              <w:end w:w="90" w:type="dxa"/>
            </w:tcMar>
          </w:tcPr>
          <w:p>
            <w:pPr>
              <w:jc w:val="left"/>
            </w:pPr>
            <w:r>
              <w:rPr>
                <w:rFonts w:ascii="Aptos" w:hAnsi="Aptos"/>
                <w:b w:val="0"/>
                <w:i w:val="0"/>
                <w:sz w:val="18"/>
              </w:rPr>
              <w:t>warehouse / site incidents, bodily injury, property damage</w:t>
            </w:r>
          </w:p>
        </w:tc>
        <w:tc>
          <w:tcPr>
            <w:tcW w:type="dxa" w:w="2479"/>
            <w:tcMar>
              <w:top w:w="90" w:type="dxa"/>
              <w:start w:w="90" w:type="dxa"/>
              <w:bottom w:w="90" w:type="dxa"/>
              <w:end w:w="90" w:type="dxa"/>
            </w:tcMar>
          </w:tcPr>
          <w:p>
            <w:pPr>
              <w:jc w:val="left"/>
            </w:pPr>
            <w:r>
              <w:rPr>
                <w:rFonts w:ascii="Aptos" w:hAnsi="Aptos"/>
                <w:b w:val="0"/>
                <w:i w:val="0"/>
                <w:sz w:val="18"/>
              </w:rPr>
              <w:t>where loading/unloading or hub activity performed</w:t>
            </w:r>
          </w:p>
        </w:tc>
      </w:tr>
      <w:tr>
        <w:tc>
          <w:tcPr>
            <w:tcW w:type="dxa" w:w="2479"/>
            <w:tcMar>
              <w:top w:w="90" w:type="dxa"/>
              <w:start w:w="90" w:type="dxa"/>
              <w:bottom w:w="90" w:type="dxa"/>
              <w:end w:w="90" w:type="dxa"/>
            </w:tcMar>
          </w:tcPr>
          <w:p>
            <w:pPr>
              <w:jc w:val="left"/>
            </w:pPr>
            <w:r>
              <w:rPr>
                <w:rFonts w:ascii="Aptos" w:hAnsi="Aptos"/>
                <w:b w:val="0"/>
                <w:i w:val="0"/>
                <w:sz w:val="18"/>
              </w:rPr>
              <w:t>Cyber / data liability</w:t>
            </w:r>
          </w:p>
        </w:tc>
        <w:tc>
          <w:tcPr>
            <w:tcW w:type="dxa" w:w="2479"/>
            <w:tcMar>
              <w:top w:w="90" w:type="dxa"/>
              <w:start w:w="90" w:type="dxa"/>
              <w:bottom w:w="90" w:type="dxa"/>
              <w:end w:w="90" w:type="dxa"/>
            </w:tcMar>
          </w:tcPr>
          <w:p>
            <w:pPr>
              <w:jc w:val="center"/>
            </w:pPr>
            <w:r>
              <w:rPr>
                <w:rFonts w:ascii="Aptos" w:hAnsi="Aptos"/>
                <w:b w:val="0"/>
                <w:i w:val="0"/>
                <w:sz w:val="18"/>
              </w:rPr>
              <w:t>INR 2,500,000</w:t>
            </w:r>
          </w:p>
        </w:tc>
        <w:tc>
          <w:tcPr>
            <w:tcW w:type="dxa" w:w="2479"/>
            <w:tcMar>
              <w:top w:w="90" w:type="dxa"/>
              <w:start w:w="90" w:type="dxa"/>
              <w:bottom w:w="90" w:type="dxa"/>
              <w:end w:w="90" w:type="dxa"/>
            </w:tcMar>
          </w:tcPr>
          <w:p>
            <w:pPr>
              <w:jc w:val="left"/>
            </w:pPr>
            <w:r>
              <w:rPr>
                <w:rFonts w:ascii="Aptos" w:hAnsi="Aptos"/>
                <w:b w:val="0"/>
                <w:i w:val="0"/>
                <w:sz w:val="18"/>
              </w:rPr>
              <w:t>data breach, unauthorized disclosure, cyber incident</w:t>
            </w:r>
          </w:p>
        </w:tc>
        <w:tc>
          <w:tcPr>
            <w:tcW w:type="dxa" w:w="2479"/>
            <w:tcMar>
              <w:top w:w="90" w:type="dxa"/>
              <w:start w:w="90" w:type="dxa"/>
              <w:bottom w:w="90" w:type="dxa"/>
              <w:end w:w="90" w:type="dxa"/>
            </w:tcMar>
          </w:tcPr>
          <w:p>
            <w:pPr>
              <w:jc w:val="left"/>
            </w:pPr>
            <w:r>
              <w:rPr>
                <w:rFonts w:ascii="Aptos" w:hAnsi="Aptos"/>
                <w:b w:val="0"/>
                <w:i w:val="0"/>
                <w:sz w:val="18"/>
              </w:rPr>
              <w:t>mandatory if Carrier uses integrated digital stack</w:t>
            </w:r>
          </w:p>
        </w:tc>
      </w:tr>
    </w:tbl>
    <w:p>
      <w:pPr>
        <w:pStyle w:val="Heading2"/>
        <w:spacing w:before="100" w:after="60" w:line="276" w:lineRule="auto"/>
      </w:pPr>
      <w:r>
        <w:rPr>
          <w:rFonts w:ascii="Aptos" w:hAnsi="Aptos"/>
          <w:b/>
          <w:i w:val="0"/>
          <w:color w:val="2F5597"/>
          <w:sz w:val="23"/>
        </w:rPr>
        <w:t>Schedule F - Claims Administration Protocol</w:t>
      </w:r>
    </w:p>
    <w:p>
      <w:pPr>
        <w:spacing w:before="0" w:after="20" w:line="276" w:lineRule="auto"/>
        <w:ind w:left="340" w:hanging="170"/>
      </w:pPr>
      <w:r>
        <w:rPr>
          <w:rFonts w:ascii="Aptos" w:hAnsi="Aptos"/>
          <w:b w:val="0"/>
          <w:i w:val="0"/>
          <w:sz w:val="20"/>
        </w:rPr>
        <w:t>• Step 1: preliminary incident alert within 4 hours of knowledge of the event by phone, email, and TMS remark.</w:t>
      </w:r>
    </w:p>
    <w:p>
      <w:pPr>
        <w:spacing w:before="0" w:after="20" w:line="276" w:lineRule="auto"/>
        <w:ind w:left="340" w:hanging="170"/>
      </w:pPr>
      <w:r>
        <w:rPr>
          <w:rFonts w:ascii="Aptos" w:hAnsi="Aptos"/>
          <w:b w:val="0"/>
          <w:i w:val="0"/>
          <w:sz w:val="20"/>
        </w:rPr>
        <w:t>• Step 2: detailed incident report within 24 hours with photographs, geolocation data, vehicle details, driver statement, police report/FIR if applicable, and mitigation actions.</w:t>
      </w:r>
    </w:p>
    <w:p>
      <w:pPr>
        <w:spacing w:before="0" w:after="20" w:line="276" w:lineRule="auto"/>
        <w:ind w:left="340" w:hanging="170"/>
      </w:pPr>
      <w:r>
        <w:rPr>
          <w:rFonts w:ascii="Aptos" w:hAnsi="Aptos"/>
          <w:b w:val="0"/>
          <w:i w:val="0"/>
          <w:sz w:val="20"/>
        </w:rPr>
        <w:t>• Step 3: claim package exchange within 7 Business Days; customer documents may follow later without invalidating the claim if root evidence already exists.</w:t>
      </w:r>
    </w:p>
    <w:p>
      <w:pPr>
        <w:spacing w:before="0" w:after="20" w:line="276" w:lineRule="auto"/>
        <w:ind w:left="340" w:hanging="170"/>
      </w:pPr>
      <w:r>
        <w:rPr>
          <w:rFonts w:ascii="Aptos" w:hAnsi="Aptos"/>
          <w:b w:val="0"/>
          <w:i w:val="0"/>
          <w:sz w:val="20"/>
        </w:rPr>
        <w:t>• Step 4: provisional deduction permitted after reasonable support; final true-up after salvage, insurance recovery, and customer settlement where relevant.</w:t>
      </w:r>
    </w:p>
    <w:p>
      <w:pPr>
        <w:spacing w:before="0" w:after="20" w:line="276" w:lineRule="auto"/>
        <w:ind w:left="340" w:hanging="170"/>
      </w:pPr>
      <w:r>
        <w:rPr>
          <w:rFonts w:ascii="Aptos" w:hAnsi="Aptos"/>
          <w:b w:val="0"/>
          <w:i w:val="0"/>
          <w:sz w:val="20"/>
        </w:rPr>
        <w:t>• Administrative claim handling fee: 5% of approved claim value, subject to a minimum of INR 500 per claim, may be charged to the Carrier where the claim is attributable to Carrier fault.</w:t>
      </w:r>
    </w:p>
    <w:p>
      <w:pPr>
        <w:pStyle w:val="Heading2"/>
        <w:spacing w:before="100" w:after="60" w:line="276" w:lineRule="auto"/>
      </w:pPr>
      <w:r>
        <w:rPr>
          <w:rFonts w:ascii="Aptos" w:hAnsi="Aptos"/>
          <w:b/>
          <w:i w:val="0"/>
          <w:color w:val="2F5597"/>
          <w:sz w:val="23"/>
        </w:rPr>
        <w:t>Schedule G - Reporting, Tracking, and Evidence Protocol</w:t>
      </w:r>
    </w:p>
    <w:p>
      <w:pPr>
        <w:spacing w:before="0" w:after="20" w:line="276" w:lineRule="auto"/>
        <w:ind w:left="340" w:hanging="170"/>
      </w:pPr>
      <w:r>
        <w:rPr>
          <w:rFonts w:ascii="Aptos" w:hAnsi="Aptos"/>
          <w:b w:val="0"/>
          <w:i w:val="0"/>
          <w:sz w:val="20"/>
        </w:rPr>
        <w:t>• Mandatory milestones: tender acceptance, vehicle placement, pickup arrived, pickup completed, departure, transit checkpoints, destination arrived, delivery attempted, delivered, return initiated, return completed, COD deposited, POD uploaded.</w:t>
      </w:r>
    </w:p>
    <w:p>
      <w:pPr>
        <w:spacing w:before="0" w:after="20" w:line="276" w:lineRule="auto"/>
        <w:ind w:left="340" w:hanging="170"/>
      </w:pPr>
      <w:r>
        <w:rPr>
          <w:rFonts w:ascii="Aptos" w:hAnsi="Aptos"/>
          <w:b w:val="0"/>
          <w:i w:val="0"/>
          <w:sz w:val="20"/>
        </w:rPr>
        <w:t>• Geo-evidence standards: timestamps from integrated systems, GPS pings at defined interval, geofence tolerance, geo-tagged photo for failed attempt reasons, customer signature or OTP where configured.</w:t>
      </w:r>
    </w:p>
    <w:p>
      <w:pPr>
        <w:spacing w:before="0" w:after="20" w:line="276" w:lineRule="auto"/>
        <w:ind w:left="340" w:hanging="170"/>
      </w:pPr>
      <w:r>
        <w:rPr>
          <w:rFonts w:ascii="Aptos" w:hAnsi="Aptos"/>
          <w:b w:val="0"/>
          <w:i w:val="0"/>
          <w:sz w:val="20"/>
        </w:rPr>
        <w:t>• Escalation SLAs: red-alert within 30 minutes for theft, accidents, detention above 4 hours, customer refusal of entire load, temperature excursion, aviation or pharma site incident, and route breach above 20 km from planned path.</w:t>
      </w:r>
    </w:p>
    <w:p>
      <w:pPr>
        <w:spacing w:before="0" w:after="20" w:line="276" w:lineRule="auto"/>
        <w:ind w:left="340" w:hanging="170"/>
      </w:pPr>
      <w:r>
        <w:rPr>
          <w:rFonts w:ascii="Aptos" w:hAnsi="Aptos"/>
          <w:b w:val="0"/>
          <w:i w:val="0"/>
          <w:sz w:val="20"/>
        </w:rPr>
        <w:t>• Monthly pack: invoice MIS, scorecard, claims log, penalty summary, discount summary, COD aging, insurance expiry tracker, compliance expiry tracker, route deviation tracker, and CAPA tracker.</w:t>
      </w:r>
    </w:p>
    <w:p>
      <w:pPr>
        <w:pStyle w:val="Heading2"/>
        <w:spacing w:before="100" w:after="60" w:line="276" w:lineRule="auto"/>
      </w:pPr>
      <w:r>
        <w:rPr>
          <w:rFonts w:ascii="Aptos" w:hAnsi="Aptos"/>
          <w:b/>
          <w:i w:val="0"/>
          <w:color w:val="2F5597"/>
          <w:sz w:val="23"/>
        </w:rPr>
        <w:t>Schedule H - Minimum Contents of Each Service Order</w:t>
      </w:r>
    </w:p>
    <w:p>
      <w:pPr>
        <w:spacing w:before="0" w:after="20" w:line="276" w:lineRule="auto"/>
        <w:ind w:left="340" w:hanging="170"/>
      </w:pPr>
      <w:r>
        <w:rPr>
          <w:rFonts w:ascii="Aptos" w:hAnsi="Aptos"/>
          <w:b w:val="0"/>
          <w:i w:val="0"/>
          <w:sz w:val="20"/>
        </w:rPr>
        <w:t>• Shipment / trip reference, customer name, lane, service type, vehicle type, commodity restrictions, package count, declared value, pickup and delivery addresses, committed SLA, billing basis, and special instructions.</w:t>
      </w:r>
    </w:p>
    <w:p>
      <w:pPr>
        <w:spacing w:before="0" w:after="20" w:line="276" w:lineRule="auto"/>
        <w:ind w:left="340" w:hanging="170"/>
      </w:pPr>
      <w:r>
        <w:rPr>
          <w:rFonts w:ascii="Aptos" w:hAnsi="Aptos"/>
          <w:b w:val="0"/>
          <w:i w:val="0"/>
          <w:sz w:val="20"/>
        </w:rPr>
        <w:t>• Whether liability is full-value or limited-value, whether COD applies, whether temperature control / GPS lock / escort / OTP / appointment delivery / airport protocol applies.</w:t>
      </w:r>
    </w:p>
    <w:p>
      <w:pPr>
        <w:spacing w:before="0" w:after="20" w:line="276" w:lineRule="auto"/>
        <w:ind w:left="340" w:hanging="170"/>
      </w:pPr>
      <w:r>
        <w:rPr>
          <w:rFonts w:ascii="Aptos" w:hAnsi="Aptos"/>
          <w:b w:val="0"/>
          <w:i w:val="0"/>
          <w:sz w:val="20"/>
        </w:rPr>
        <w:t>• Commercial references: applicable rate card, approved accessorials, surcharge status, customer-specific penalties, and any temporary discount or rebate arrangement.</w:t>
      </w:r>
    </w:p>
    <w:p>
      <w:pPr>
        <w:spacing w:before="0" w:after="20" w:line="276" w:lineRule="auto"/>
        <w:ind w:left="340" w:hanging="170"/>
      </w:pPr>
      <w:r>
        <w:rPr>
          <w:rFonts w:ascii="Aptos" w:hAnsi="Aptos"/>
          <w:b w:val="0"/>
          <w:i w:val="0"/>
          <w:sz w:val="20"/>
        </w:rPr>
        <w:t>• Operational contacts and dispute contacts, along with governing city, operational calendar, and notification channel.</w:t>
      </w:r>
    </w:p>
    <w:p>
      <w:r>
        <w:br w:type="page"/>
      </w:r>
    </w:p>
    <w:p>
      <w:pPr>
        <w:pStyle w:val="Heading1"/>
        <w:spacing w:before="160" w:after="60" w:line="276" w:lineRule="auto"/>
      </w:pPr>
      <w:r>
        <w:rPr>
          <w:rFonts w:ascii="Aptos" w:hAnsi="Aptos"/>
          <w:b/>
          <w:i w:val="0"/>
          <w:color w:val="1F3A5F"/>
          <w:sz w:val="26"/>
        </w:rPr>
        <w:t>Signature Block</w:t>
      </w:r>
    </w:p>
    <w:p>
      <w:pPr>
        <w:spacing w:before="0" w:after="40" w:line="276" w:lineRule="auto"/>
      </w:pPr>
      <w:r>
        <w:rPr>
          <w:rFonts w:ascii="Aptos" w:hAnsi="Aptos"/>
          <w:b w:val="0"/>
          <w:i w:val="0"/>
          <w:sz w:val="20"/>
        </w:rPr>
        <w:t>IN WITNESS WHEREOF, the Parties have caused this Agreement to be executed by their duly authorized representatives.</w:t>
      </w:r>
    </w:p>
    <w:tbl>
      <w:tblPr>
        <w:tblW w:type="auto" w:w="0"/>
        <w:jc w:val="center"/>
        <w:tblLayout w:type="fixed"/>
        <w:tblLook w:firstColumn="1" w:firstRow="1" w:lastColumn="0" w:lastRow="0" w:noHBand="0" w:noVBand="1" w:val="04A0"/>
      </w:tblPr>
      <w:tblGrid>
        <w:gridCol w:w="4957"/>
        <w:gridCol w:w="4957"/>
      </w:tblGrid>
      <w:tr>
        <w:tc>
          <w:tcPr>
            <w:tcW w:type="dxa" w:w="4535"/>
            <w:tcMar>
              <w:top w:w="130" w:type="dxa"/>
              <w:start w:w="130" w:type="dxa"/>
              <w:bottom w:w="130" w:type="dxa"/>
              <w:end w:w="130" w:type="dxa"/>
            </w:tcMar>
            <w:vAlign w:val="center"/>
            <w:shd w:fill="DCE6F1"/>
          </w:tcPr>
          <w:p>
            <w:r>
              <w:rPr>
                <w:rFonts w:ascii="Aptos" w:hAnsi="Aptos"/>
                <w:b/>
                <w:i w:val="0"/>
                <w:color w:val="1F3A5F"/>
                <w:sz w:val="21"/>
              </w:rPr>
              <w:t>For the Aggregator</w:t>
            </w:r>
          </w:p>
        </w:tc>
        <w:tc>
          <w:tcPr>
            <w:tcW w:type="dxa" w:w="4535"/>
            <w:tcMar>
              <w:top w:w="130" w:type="dxa"/>
              <w:start w:w="130" w:type="dxa"/>
              <w:bottom w:w="130" w:type="dxa"/>
              <w:end w:w="130" w:type="dxa"/>
            </w:tcMar>
            <w:vAlign w:val="center"/>
            <w:shd w:fill="DCE6F1"/>
          </w:tcPr>
          <w:p>
            <w:r>
              <w:rPr>
                <w:rFonts w:ascii="Aptos" w:hAnsi="Aptos"/>
                <w:b/>
                <w:i w:val="0"/>
                <w:color w:val="1F3A5F"/>
                <w:sz w:val="21"/>
              </w:rPr>
              <w:t>For the Carrier</w:t>
            </w:r>
          </w:p>
        </w:tc>
      </w:tr>
      <w:tr>
        <w:tc>
          <w:tcPr>
            <w:tcW w:type="dxa" w:w="4535"/>
            <w:tcMar>
              <w:top w:w="130" w:type="dxa"/>
              <w:start w:w="130" w:type="dxa"/>
              <w:bottom w:w="130" w:type="dxa"/>
              <w:end w:w="130" w:type="dxa"/>
            </w:tcMar>
            <w:vAlign w:val="center"/>
          </w:tcPr>
          <w:p>
            <w:r>
              <w:rPr>
                <w:rFonts w:ascii="Aptos" w:hAnsi="Aptos"/>
                <w:b w:val="0"/>
                <w:i w:val="0"/>
                <w:sz w:val="20"/>
              </w:rPr>
              <w:t>Name: ______________________</w:t>
            </w:r>
          </w:p>
        </w:tc>
        <w:tc>
          <w:tcPr>
            <w:tcW w:type="dxa" w:w="4535"/>
            <w:tcMar>
              <w:top w:w="130" w:type="dxa"/>
              <w:start w:w="130" w:type="dxa"/>
              <w:bottom w:w="130" w:type="dxa"/>
              <w:end w:w="130" w:type="dxa"/>
            </w:tcMar>
            <w:vAlign w:val="center"/>
          </w:tcPr>
          <w:p>
            <w:r>
              <w:rPr>
                <w:rFonts w:ascii="Aptos" w:hAnsi="Aptos"/>
                <w:b w:val="0"/>
                <w:i w:val="0"/>
                <w:sz w:val="20"/>
              </w:rPr>
              <w:t>Name: ______________________</w:t>
            </w:r>
          </w:p>
        </w:tc>
      </w:tr>
      <w:tr>
        <w:tc>
          <w:tcPr>
            <w:tcW w:type="dxa" w:w="4535"/>
            <w:tcMar>
              <w:top w:w="130" w:type="dxa"/>
              <w:start w:w="130" w:type="dxa"/>
              <w:bottom w:w="130" w:type="dxa"/>
              <w:end w:w="130" w:type="dxa"/>
            </w:tcMar>
            <w:vAlign w:val="center"/>
          </w:tcPr>
          <w:p>
            <w:r>
              <w:rPr>
                <w:rFonts w:ascii="Aptos" w:hAnsi="Aptos"/>
                <w:b w:val="0"/>
                <w:i w:val="0"/>
                <w:sz w:val="20"/>
              </w:rPr>
              <w:t>Title / Date / Signature: ______________________</w:t>
            </w:r>
          </w:p>
        </w:tc>
        <w:tc>
          <w:tcPr>
            <w:tcW w:type="dxa" w:w="4535"/>
            <w:tcMar>
              <w:top w:w="130" w:type="dxa"/>
              <w:start w:w="130" w:type="dxa"/>
              <w:bottom w:w="130" w:type="dxa"/>
              <w:end w:w="130" w:type="dxa"/>
            </w:tcMar>
            <w:vAlign w:val="center"/>
          </w:tcPr>
          <w:p>
            <w:r>
              <w:rPr>
                <w:rFonts w:ascii="Aptos" w:hAnsi="Aptos"/>
                <w:b w:val="0"/>
                <w:i w:val="0"/>
                <w:sz w:val="20"/>
              </w:rPr>
              <w:t>Title / Date / Signature: ______________________</w:t>
            </w:r>
          </w:p>
        </w:tc>
      </w:tr>
    </w:tbl>
    <w:sectPr w:rsidR="00FC693F" w:rsidRPr="0006063C" w:rsidSect="00034616">
      <w:footerReference w:type="default" r:id="rId9"/>
      <w:pgSz w:w="12240" w:h="15840"/>
      <w:pgMar w:top="1077" w:right="1134" w:bottom="964" w:left="1191"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7F7F7F"/>
        <w:sz w:val="17"/>
      </w:rPr>
      <w:t xml:space="preserve">Sample MSA - 3PL Aggregator / Carrier Vendor | Page </w:t>
    </w:r>
    <w:fldSimple w:instr="PAGE">
      <w:r>
        <w:rPr>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