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Multi-Agent Research Engine</w:t>
      </w:r>
    </w:p>
    <w:p>
      <w:pPr>
        <w:spacing w:after="8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Technical Project Documentation</w:t>
      </w:r>
    </w:p>
    <w:p>
      <w:pPr>
        <w:spacing w:after="4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Abhishek Rathod 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LangGraph  ·  FastAPI  ·  React  ·  Groq  ·  Tavily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production-ready multi-agent AI system that orchestrates 4 specialized LLM agents to research any topic, verify sources, and generate structured reports backed by real-time web search. Built to demonstrate senior-level understanding of agent orchestration, stateful graph execution, and full-stack AI system design.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933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Live Demo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research-agent-abhishekrathod0111s-projects.vercel.app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github.com/Abhishekrathod0111/research-agent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on 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React/Vite on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— Llama 3.3-70b</w:t>
            </w:r>
          </w:p>
        </w:tc>
      </w:tr>
    </w:tbl>
    <w:p>
      <w:pPr>
        <w:spacing w:after="240"/>
      </w:pP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Agent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implements a directed StateGraph with 4 nodes connected by conditional edges. Shared state flows through every agent as a typed Python dictionary, enabling safe concurrent writes via LangGraph's reducer pattern.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933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9333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Planner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decomposition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 produces 3 sub-tasks written to state.sub_tasks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+ synthesis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search per sub-task; results appended via operator.add reducer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Critic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&amp; QA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APPROVED or NEEDS_REVISION with explanation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Writer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markdown with Executive Summary, Findings, and cited URLs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State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LangGraph state is a TypedDict shared across all agents. The key design decision is using Annotated[list, operator.add] for research_results — this allows the researcher to run multiple times and safely append results without race conditions or overwrites.</w:t>
      </w:r>
    </w:p>
    <w:p>
      <w:pPr>
        <w:spacing w:after="120"/>
      </w:pPr>
    </w:p>
    <w:p>
      <w:pPr>
        <w:pBdr>
          <w:top w:val="single" w:color="CCCCCC" w:sz="1"/>
          <w:bottom w:val="single" w:color="CCCCCC" w:sz="1"/>
          <w:left w:val="single" w:color="7C3AED" w:sz="8"/>
          <w:right w:val="single" w:color="CCCCCC" w:sz="1"/>
        </w:pBdr>
        <w:shd w:fill="1E1E1E" w:val="clear"/>
        <w:spacing w:after="200"/>
        <w:ind w:left="360"/>
      </w:pPr>
      <w:r>
        <w:rPr>
          <w:rFonts w:ascii="Courier New" w:cs="Courier New" w:eastAsia="Courier New" w:hAnsi="Courier New"/>
          <w:color w:val="C792EA"/>
          <w:sz w:val="20"/>
          <w:szCs w:val="20"/>
        </w:rPr>
        <w:t xml:space="preserve">class ResearchState(TypedDict):</w:t>
      </w:r>
      <w:r>
        <w:rPr>
          <w:rFonts w:ascii="Courier New" w:cs="Courier New" w:eastAsia="Courier New" w:hAnsi="Courier New"/>
          <w:color w:val="82AAFF"/>
          <w:sz w:val="20"/>
          <w:szCs w:val="20"/>
        </w:rPr>
        <w:br/>
        <w:t xml:space="preserve">    query: str</w:t>
      </w:r>
      <w:r>
        <w:rPr>
          <w:rFonts w:ascii="Courier New" w:cs="Courier New" w:eastAsia="Courier New" w:hAnsi="Courier New"/>
          <w:color w:val="82AAFF"/>
          <w:sz w:val="20"/>
          <w:szCs w:val="20"/>
        </w:rPr>
        <w:br/>
        <w:t xml:space="preserve">    sub_tasks: list[str]</w:t>
      </w:r>
      <w:r>
        <w:rPr>
          <w:rFonts w:ascii="Courier New" w:cs="Courier New" w:eastAsia="Courier New" w:hAnsi="Courier New"/>
          <w:color w:val="C3E88D"/>
          <w:sz w:val="20"/>
          <w:szCs w:val="20"/>
        </w:rPr>
        <w:br/>
        <w:t xml:space="preserve">    research_results: Annotated[list, operator.add]  # safe merge</w:t>
      </w:r>
      <w:r>
        <w:rPr>
          <w:rFonts w:ascii="Courier New" w:cs="Courier New" w:eastAsia="Courier New" w:hAnsi="Courier New"/>
          <w:color w:val="82AAFF"/>
          <w:sz w:val="20"/>
          <w:szCs w:val="20"/>
        </w:rPr>
        <w:br/>
        <w:t xml:space="preserve">    approved: bool</w:t>
      </w:r>
      <w:r>
        <w:rPr>
          <w:rFonts w:ascii="Courier New" w:cs="Courier New" w:eastAsia="Courier New" w:hAnsi="Courier New"/>
          <w:color w:val="82AAFF"/>
          <w:sz w:val="20"/>
          <w:szCs w:val="20"/>
        </w:rPr>
        <w:br/>
        <w:t xml:space="preserve">    final_report: str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Technology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— async REST API with Pydantic validation and automatic OpenAPI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1.0 — StateGraph with conditional edge routing for dynamic agent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LangChain-Groq — Llama 3.3-70b inference via Groq's ultra-low-latency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Tavily — real-time web search with advanced depth, returns structured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aiosqlite — async SQLite for zero-config research history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python-dotenv — environment variable management for API keys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18 with hooks (useState, useEffect) for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 — sub-second HMR, optimized production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Axios — HTTP client for API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react-markdown — renders LLM-generated markdown reports in the browser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— Python web service hosting with auto-deploy from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— frontend CDN deployment with automatic preview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— version control with .gitignore protecting API keys and build artifacts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Engineering Decisions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Why LangGraph over a simple chain?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linear LangChain chain cannot loop. The researcher needs to run once per sub-task — N times where N is determined at runtime by the planner. LangGraph's conditional edges enable this dynamic loop without hardcoding iteration count. The graph decides routing based on state: if len(research_results) &lt; len(sub_tasks), route back to researcher.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Why Annotated reducers in state?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a reducer, each researcher invocation would overwrite the previous results. operator.add merges lists safely, enabling multi-step research accumulation. This pattern is critical for any parallel or sequential multi-agent system built on LangGraph.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Why SQLite over a hosted database?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portfolio project demo, SQLite provides zero-config persistence that works identically locally and on Render. The database module is abstracted behind async functions — swapping to PostgreSQL requires changing only the connection string and removing aiosqlite in favor of asyncpg.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Why Render + Vercel over a single host?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is purpose-built for frontend — instant global CDN, automatic HTTPS, preview deployments per branch. Render handles Python runtimes correctly with proper process management. Combining them gives the best of both for free tier deployment.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API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POST /research/run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the full 4-agent pipeline for a given query. Saves result to SQLite on completion.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query (req)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research topic or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plan (res)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Planner's research breakdown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final_report (res)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(markdown)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structured report with citations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approved (res)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Critic's verdict on research quality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GET /research/history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the 20 most recent research queries with their full reports, ordered by recency. Useful for the history sidebar and for demonstrating persistence across sessions.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Local Development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API key — free at console.groq.com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Tavily API key — free at tavily.com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Backend Setup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C3E88D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color w:val="C3E88D"/>
          <w:sz w:val="20"/>
          <w:szCs w:val="20"/>
        </w:rPr>
        <w:br/>
        <w:t xml:space="preserve">python -m venv venv &amp;&amp; venv\Scripts\activate</w:t>
      </w:r>
      <w:r>
        <w:rPr>
          <w:rFonts w:ascii="Courier New" w:cs="Courier New" w:eastAsia="Courier New" w:hAnsi="Courier New"/>
          <w:color w:val="C3E88D"/>
          <w:sz w:val="20"/>
          <w:szCs w:val="20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# Create .env with GROQ_API_KEY and TAVILY_API_KEY</w:t>
      </w:r>
      <w:r>
        <w:rPr>
          <w:rFonts w:ascii="Courier New" w:cs="Courier New" w:eastAsia="Courier New" w:hAnsi="Courier New"/>
          <w:color w:val="C3E88D"/>
          <w:sz w:val="20"/>
          <w:szCs w:val="20"/>
        </w:rPr>
        <w:br/>
        <w:t xml:space="preserve">python -m uvicorn app.main:app --reload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Frontend Setup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C3E88D"/>
          <w:sz w:val="20"/>
          <w:szCs w:val="20"/>
        </w:rPr>
        <w:t xml:space="preserve">cd frontend</w:t>
      </w:r>
      <w:r>
        <w:rPr>
          <w:rFonts w:ascii="Courier New" w:cs="Courier New" w:eastAsia="Courier New" w:hAnsi="Courier New"/>
          <w:color w:val="C3E88D"/>
          <w:sz w:val="20"/>
          <w:szCs w:val="20"/>
        </w:rPr>
        <w:br/>
        <w:t xml:space="preserve">npm install &amp;&amp; npm run dev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Planned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Server-Sent Events (SSE) for real-time agent progress — replace simulated delays with actual backend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web search toggle — allow queries to run purely on LLM knowledge for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migration — replace SQLite for true multi-user persistence on hosted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report as PDF — one-click download of generated research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and API key management — production-ready access control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free tier has a 30-second HTTP timeout — long research queries may time out on deployed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resets on Render redeployment — history is ephemeral on the hosted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progress visualization is simulated — not driven by real backend events yet</w:t>
      </w:r>
    </w:p>
    <w:p>
      <w:pPr>
        <w:pBdr>
          <w:bottom w:val="single" w:color="E2E8F0" w:sz="4" w:space="1"/>
        </w:pBdr>
        <w:spacing w:before="160" w:after="160"/>
      </w:pPr>
    </w:p>
    <w:p>
      <w:pPr>
        <w:spacing w:before="320" w:after="16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Abhishek Rathod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·  github.com/Abhishekrathod0111  ·  Built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</w:pPr>
    <w:r>
      <w:rPr>
        <w:rFonts w:ascii="Arial" w:cs="Arial" w:eastAsia="Arial" w:hAnsi="Arial"/>
        <w:color w:val="94A3B8"/>
        <w:sz w:val="18"/>
        <w:szCs w:val="18"/>
      </w:rPr>
      <w:t xml:space="preserve">Abhishek Rathod  |  github.com/Abhishekrathod0111  |  </w:t>
    </w:r>
    <w:r>
      <w:rPr>
        <w:rFonts w:ascii="Arial" w:cs="Arial" w:eastAsia="Arial" w:hAnsi="Arial"/>
        <w:color w:val="7C3AE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  <w:spacing w:after="160"/>
    </w:pPr>
    <w:r>
      <w:rPr>
        <w:rFonts w:ascii="Arial" w:cs="Arial" w:eastAsia="Arial" w:hAnsi="Arial"/>
        <w:b/>
        <w:bCs/>
        <w:color w:val="7C3AED"/>
        <w:sz w:val="22"/>
        <w:szCs w:val="22"/>
      </w:rPr>
      <w:t xml:space="preserve">Multi-Agent Research Engine</w:t>
    </w:r>
    <w:r>
      <w:rPr>
        <w:rFonts w:ascii="Arial" w:cs="Arial" w:eastAsia="Arial" w:hAnsi="Arial"/>
        <w:color w:val="94A3B8"/>
        <w:sz w:val="22"/>
        <w:szCs w:val="22"/>
      </w:rPr>
      <w:t xml:space="preserve">  |  Technical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2026-03-02T18:23:34.828Z</dcterms:created>
  <dcterms:modified xsi:type="dcterms:W3CDTF">2026-03-02T18:23:34.829Z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