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Commercial Policy — Contract</w:t>
      </w:r>
    </w:p>
    <w:p>
      <w:r>
        <w:t>This policy is a contract between Hasso Stadelmann (the "named insured") and Meridian Mutual Insurance SE ("we", "us"). In return for payment of the premium and subject to all terms of this policy, we agree to provide the insurance described herein for Commercial policy COM-0000079, effective 03/03/2024 through 03/03/2025.</w:t>
      </w:r>
    </w:p>
    <w:p>
      <w:pPr>
        <w:pStyle w:val="Heading2"/>
      </w:pPr>
      <w:r>
        <w:t>Insuring Agreement</w:t>
      </w:r>
    </w:p>
    <w:p>
      <w:r>
        <w:t>We will pay for direct physical loss of or damage to Covered Property caused by or resulting from a Covered Cause of Loss, subject to the limits of insurance shown.</w:t>
      </w:r>
    </w:p>
    <w:p>
      <w:r>
        <w:t>Business income and extra expense coverage applies during the period of restoration following a covered suspension of operations.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or earth movement, dishonest acts by the insured, wear and tear, or loss of business income outside the period of restoration.</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COM-0000079 — Commercial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