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Christof Hentschel-Weinhage (the "named insured") and Meridian Mutual Insurance SE ("we", "us"). In return for payment of the premium and subject to all terms of this policy, we agree to provide the insurance described herein for Commercial policy COM-0000029, effective 05/08/2024 through 05/08/2025.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COM-0000029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