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Motor Policy — Contract</w:t>
      </w:r>
    </w:p>
    <w:p>
      <w:r>
        <w:t>This policy is a contract between Pier Spanevello (the "named insured") and Meridian Mutual Insurance SE ("we", "us"). In return for payment of the premium and subject to all terms of this policy, we agree to provide the insurance described herein for Motor policy MOT-0000008, effective 16/05/2024 through 16/05/2025.</w:t>
      </w:r>
    </w:p>
    <w:p>
      <w:pPr>
        <w:pStyle w:val="Heading2"/>
      </w:pPr>
      <w:r>
        <w:t>Insuring Agreement</w:t>
      </w:r>
    </w:p>
    <w:p>
      <w:r>
        <w:t>We will pay damages for bodily injury and property damage for which any insured becomes legally responsible because of an auto accident, subject to the limits shown on the Declarations.</w:t>
      </w:r>
    </w:p>
    <w:p>
      <w:r>
        <w:t>Collision and Other Than Collision (comprehensive) coverages apply to a covered auto less the applicable deductible shown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arising from racing or speed contests, use as a public livery or for ride-share without the applicable endorsement, or intentional damage by an insured.</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MOT-0000008 — Motor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