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3AA000"/>
          <w:spacing w:val="60"/>
          <w:sz w:val="22"/>
          <w:szCs w:val="22"/>
        </w:rPr>
        <w:t xml:space="preserve">AFTERHOURS</w:t>
      </w:r>
    </w:p>
    <w:p>
      <w:pPr>
        <w:spacing w:after="100"/>
        <w:jc w:val="center"/>
      </w:pPr>
      <w:r>
        <w:rPr>
          <w:b/>
          <w:bCs/>
          <w:color w:val="121612"/>
          <w:sz w:val="44"/>
          <w:szCs w:val="44"/>
        </w:rPr>
        <w:t xml:space="preserve">Demo Video Scripts &amp; Architecture</w:t>
      </w:r>
    </w:p>
    <w:p>
      <w:pPr>
        <w:spacing w:after="400"/>
        <w:jc w:val="center"/>
      </w:pPr>
      <w:r>
        <w:rPr>
          <w:i/>
          <w:iCs/>
          <w:color w:val="525A51"/>
          <w:sz w:val="21"/>
          <w:szCs w:val="21"/>
        </w:rPr>
        <w:t xml:space="preserve">The risk desk for tokenized stocks on Solana — two scripts, one system diagram, one narration to explain it.</w:t>
      </w:r>
    </w:p>
    <w:p>
      <w:pPr>
        <w:pStyle w:val="Heading1"/>
        <w:pBdr>
          <w:bottom w:val="single" w:color="3AA000" w:sz="10" w:space="6"/>
        </w:pBdr>
        <w:spacing w:after="160" w:before="200"/>
      </w:pPr>
      <w:r>
        <w:rPr>
          <w:b/>
          <w:bCs/>
          <w:color w:val="121612"/>
          <w:sz w:val="32"/>
          <w:szCs w:val="32"/>
        </w:rPr>
        <w:t xml:space="preserve">Video 1 — Main product demo  ·  target 2:50</w:t>
      </w:r>
    </w:p>
    <w:p>
      <w:pPr>
        <w:spacing w:after="120"/>
      </w:pPr>
      <w:r>
        <w:rPr>
          <w:i w:val="false"/>
          <w:iCs w:val="false"/>
          <w:color w:val="121612"/>
          <w:sz w:val="21"/>
          <w:szCs w:val="21"/>
        </w:rPr>
        <w:t xml:space="preserve">General Stocklana track. One continuous screen recording. Pre-load every URL below in separate tabs before recording so there's no typing or RPC waiting on camera.</w:t>
      </w:r>
    </w:p>
    <w:p>
      <w:pPr>
        <w:spacing w:after="160"/>
      </w:pPr>
      <w:r>
        <w:rPr>
          <w:b/>
          <w:bCs/>
          <w:caps/>
          <w:color w:val="3AA000"/>
          <w:spacing w:val="20"/>
          <w:sz w:val="18"/>
          <w:szCs w:val="18"/>
        </w:rPr>
        <w:t xml:space="preserve">Pre-load</w:t>
      </w:r>
    </w:p>
    <w:p>
      <w:pPr>
        <w:spacing w:after="120"/>
      </w:pPr>
      <w:r>
        <w:rPr>
          <w:i w:val="false"/>
          <w:iCs w:val="false"/>
          <w:color w:val="121612"/>
          <w:sz w:val="21"/>
          <w:szCs w:val="21"/>
        </w:rPr>
        <w:t xml:space="preserve">• https://afterhours-v0dr.onrender.com/</w:t>
      </w:r>
    </w:p>
    <w:p>
      <w:pPr>
        <w:spacing w:after="120"/>
      </w:pPr>
      <w:r>
        <w:rPr>
          <w:i w:val="false"/>
          <w:iCs w:val="false"/>
          <w:color w:val="121612"/>
          <w:sz w:val="21"/>
          <w:szCs w:val="21"/>
        </w:rPr>
        <w:t xml:space="preserve">• https://afterhours-v0dr.onrender.com/dashboard/?address=&lt;the $21M xStocks wallet&gt;  ("A real xStocks wallet")</w:t>
      </w:r>
    </w:p>
    <w:p>
      <w:pPr>
        <w:spacing w:after="120"/>
      </w:pPr>
      <w:r>
        <w:rPr>
          <w:i w:val="false"/>
          <w:iCs w:val="false"/>
          <w:color w:val="121612"/>
          <w:sz w:val="21"/>
          <w:szCs w:val="21"/>
        </w:rPr>
        <w:t xml:space="preserve">• Phantom unlocked, on devnet, holding a little devnet SOL — needed only for the final beat.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880"/>
      </w:tblGrid>
      <w:tr>
        <w:trPr>
          <w:tblHeader/>
        </w:trPr>
        <w:tc>
          <w:tcPr>
            <w:tcW w:type="dxa" w:w="1100"/>
            <w:shd w:fill="0B0D0B" w:val="clear"/>
            <w:tcMar>
              <w:top w:type="dxa" w:w="100"/>
              <w:left w:type="dxa" w:w="120"/>
              <w:bottom w:type="dxa" w:w="100"/>
              <w:right w:type="dxa" w:w="120"/>
            </w:tcMar>
            <w:vAlign w:val="top"/>
          </w:tcPr>
          <w:p>
            <w:r>
              <w:rPr>
                <w:b/>
                <w:bCs/>
                <w:color w:val="FFFFFF"/>
                <w:sz w:val="18"/>
                <w:szCs w:val="18"/>
              </w:rPr>
              <w:t xml:space="preserve">TIME</w:t>
            </w:r>
          </w:p>
        </w:tc>
        <w:tc>
          <w:tcPr>
            <w:tcW w:type="dxa" w:w="4100"/>
            <w:shd w:fill="0B0D0B" w:val="clear"/>
            <w:tcMar>
              <w:top w:type="dxa" w:w="100"/>
              <w:left w:type="dxa" w:w="120"/>
              <w:bottom w:type="dxa" w:w="100"/>
              <w:right w:type="dxa" w:w="120"/>
            </w:tcMar>
            <w:vAlign w:val="top"/>
          </w:tcPr>
          <w:p>
            <w:r>
              <w:rPr>
                <w:b/>
                <w:bCs/>
                <w:color w:val="FFFFFF"/>
                <w:sz w:val="18"/>
                <w:szCs w:val="18"/>
              </w:rPr>
              <w:t xml:space="preserve">ON SCREEN</w:t>
            </w:r>
          </w:p>
        </w:tc>
        <w:tc>
          <w:tcPr>
            <w:tcW w:type="dxa" w:w="4880"/>
            <w:shd w:fill="0B0D0B" w:val="clear"/>
            <w:tcMar>
              <w:top w:type="dxa" w:w="100"/>
              <w:left w:type="dxa" w:w="120"/>
              <w:bottom w:type="dxa" w:w="100"/>
              <w:right w:type="dxa" w:w="120"/>
            </w:tcMar>
            <w:vAlign w:val="top"/>
          </w:tcPr>
          <w:p>
            <w:r>
              <w:rPr>
                <w:b/>
                <w:bCs/>
                <w:color w:val="FFFFFF"/>
                <w:sz w:val="18"/>
                <w:szCs w:val="18"/>
              </w:rPr>
              <w:t xml:space="preserve">SAY</w:t>
            </w:r>
          </w:p>
        </w:tc>
      </w:tr>
      <w:tr>
        <w:tc>
          <w:tcPr>
            <w:tcW w:type="dxa" w:w="1100"/>
            <w:tcMar>
              <w:top w:type="dxa" w:w="100"/>
              <w:left w:type="dxa" w:w="120"/>
              <w:bottom w:type="dxa" w:w="100"/>
              <w:right w:type="dxa" w:w="120"/>
            </w:tcMar>
            <w:vAlign w:val="top"/>
          </w:tcPr>
          <w:p>
            <w:r>
              <w:rPr>
                <w:b w:val="false"/>
                <w:bCs w:val="false"/>
                <w:color w:val="121612"/>
                <w:sz w:val="19"/>
                <w:szCs w:val="19"/>
              </w:rPr>
              <w:t xml:space="preserve">0:00–0:15</w:t>
            </w:r>
          </w:p>
        </w:tc>
        <w:tc>
          <w:tcPr>
            <w:tcW w:type="dxa" w:w="4100"/>
            <w:tcMar>
              <w:top w:type="dxa" w:w="100"/>
              <w:left w:type="dxa" w:w="120"/>
              <w:bottom w:type="dxa" w:w="100"/>
              <w:right w:type="dxa" w:w="120"/>
            </w:tcMar>
            <w:vAlign w:val="top"/>
          </w:tcPr>
          <w:p>
            <w:r>
              <w:rPr>
                <w:b w:val="false"/>
                <w:bCs w:val="false"/>
                <w:color w:val="2E352E"/>
                <w:sz w:val="19"/>
                <w:szCs w:val="19"/>
              </w:rPr>
              <w:t xml:space="preserve">Landing page. Hover the New York day ring, let the tape of xStock moves scroll.</w:t>
            </w:r>
          </w:p>
        </w:tc>
        <w:tc>
          <w:tcPr>
            <w:tcW w:type="dxa" w:w="4880"/>
            <w:tcMar>
              <w:top w:type="dxa" w:w="100"/>
              <w:left w:type="dxa" w:w="120"/>
              <w:bottom w:type="dxa" w:w="100"/>
              <w:right w:type="dxa" w:w="120"/>
            </w:tcMar>
            <w:vAlign w:val="top"/>
          </w:tcPr>
          <w:p>
            <w:r>
              <w:rPr>
                <w:b w:val="false"/>
                <w:bCs w:val="false"/>
                <w:color w:val="2E352E"/>
                <w:sz w:val="19"/>
                <w:szCs w:val="19"/>
              </w:rPr>
              <w:t xml:space="preserve">An xStock trades every hour of every week. The share it tracks trades six and a half hours a day, five days a week. Afterhours is the risk desk for everything that happens in between.</w:t>
            </w:r>
          </w:p>
        </w:tc>
      </w:tr>
      <w:tr>
        <w:tc>
          <w:tcPr>
            <w:tcW w:type="dxa" w:w="1100"/>
            <w:shd w:fill="F6F8F5" w:val="clear"/>
            <w:tcMar>
              <w:top w:type="dxa" w:w="100"/>
              <w:left w:type="dxa" w:w="120"/>
              <w:bottom w:type="dxa" w:w="100"/>
              <w:right w:type="dxa" w:w="120"/>
            </w:tcMar>
            <w:vAlign w:val="top"/>
          </w:tcPr>
          <w:p>
            <w:r>
              <w:rPr>
                <w:b w:val="false"/>
                <w:bCs w:val="false"/>
                <w:color w:val="121612"/>
                <w:sz w:val="19"/>
                <w:szCs w:val="19"/>
              </w:rPr>
              <w:t xml:space="preserve">0:15–0:30</w:t>
            </w:r>
          </w:p>
        </w:tc>
        <w:tc>
          <w:tcPr>
            <w:tcW w:type="dxa" w:w="4100"/>
            <w:shd w:fill="F6F8F5" w:val="clear"/>
            <w:tcMar>
              <w:top w:type="dxa" w:w="100"/>
              <w:left w:type="dxa" w:w="120"/>
              <w:bottom w:type="dxa" w:w="100"/>
              <w:right w:type="dxa" w:w="120"/>
            </w:tcMar>
            <w:vAlign w:val="top"/>
          </w:tcPr>
          <w:p>
            <w:r>
              <w:rPr>
                <w:b w:val="false"/>
                <w:bCs w:val="false"/>
                <w:color w:val="2E352E"/>
                <w:sz w:val="19"/>
                <w:szCs w:val="19"/>
              </w:rPr>
              <w:t xml:space="preserve">Click Open the desk. Sample book loads with live prices, ten panels down the left.</w:t>
            </w:r>
          </w:p>
        </w:tc>
        <w:tc>
          <w:tcPr>
            <w:tcW w:type="dxa" w:w="4880"/>
            <w:shd w:fill="F6F8F5" w:val="clear"/>
            <w:tcMar>
              <w:top w:type="dxa" w:w="100"/>
              <w:left w:type="dxa" w:w="120"/>
              <w:bottom w:type="dxa" w:w="100"/>
              <w:right w:type="dxa" w:w="120"/>
            </w:tcMar>
            <w:vAlign w:val="top"/>
          </w:tcPr>
          <w:p>
            <w:r>
              <w:rPr>
                <w:b w:val="false"/>
                <w:bCs w:val="false"/>
                <w:color w:val="2E352E"/>
                <w:sz w:val="19"/>
                <w:szCs w:val="19"/>
              </w:rPr>
              <w:t xml:space="preserve">Paste any wallet, or start here. Thirty-five xStocks, priced live, scored from thirty days of hourly data — nothing on a server, all of it in this tab.</w:t>
            </w:r>
          </w:p>
        </w:tc>
      </w:tr>
      <w:tr>
        <w:tc>
          <w:tcPr>
            <w:tcW w:type="dxa" w:w="1100"/>
            <w:tcMar>
              <w:top w:type="dxa" w:w="100"/>
              <w:left w:type="dxa" w:w="120"/>
              <w:bottom w:type="dxa" w:w="100"/>
              <w:right w:type="dxa" w:w="120"/>
            </w:tcMar>
            <w:vAlign w:val="top"/>
          </w:tcPr>
          <w:p>
            <w:r>
              <w:rPr>
                <w:b w:val="false"/>
                <w:bCs w:val="false"/>
                <w:color w:val="121612"/>
                <w:sz w:val="19"/>
                <w:szCs w:val="19"/>
              </w:rPr>
              <w:t xml:space="preserve">0:30–0:50</w:t>
            </w:r>
          </w:p>
        </w:tc>
        <w:tc>
          <w:tcPr>
            <w:tcW w:type="dxa" w:w="4100"/>
            <w:tcMar>
              <w:top w:type="dxa" w:w="100"/>
              <w:left w:type="dxa" w:w="120"/>
              <w:bottom w:type="dxa" w:w="100"/>
              <w:right w:type="dxa" w:w="120"/>
            </w:tcMar>
            <w:vAlign w:val="top"/>
          </w:tcPr>
          <w:p>
            <w:r>
              <w:rPr>
                <w:b w:val="false"/>
                <w:bCs w:val="false"/>
                <w:color w:val="2E352E"/>
                <w:sz w:val="19"/>
                <w:szCs w:val="19"/>
              </w:rPr>
              <w:t xml:space="preserve">Score, VaR, Beta panels, in order.</w:t>
            </w:r>
          </w:p>
        </w:tc>
        <w:tc>
          <w:tcPr>
            <w:tcW w:type="dxa" w:w="4880"/>
            <w:tcMar>
              <w:top w:type="dxa" w:w="100"/>
              <w:left w:type="dxa" w:w="120"/>
              <w:bottom w:type="dxa" w:w="100"/>
              <w:right w:type="dxa" w:w="120"/>
            </w:tcMar>
            <w:vAlign w:val="top"/>
          </w:tcPr>
          <w:p>
            <w:r>
              <w:rPr>
                <w:b w:val="false"/>
                <w:bCs w:val="false"/>
                <w:color w:val="2E352E"/>
                <w:sz w:val="19"/>
                <w:szCs w:val="19"/>
              </w:rPr>
              <w:t xml:space="preserve">Score: volatility plus concentration, zero to a hundred. Value at risk: the ninety-five percent one-day loss, parametric and historical side by side. Beta: this book, and every position in it, against the S&amp;P 500.</w:t>
            </w:r>
          </w:p>
        </w:tc>
      </w:tr>
      <w:tr>
        <w:tc>
          <w:tcPr>
            <w:tcW w:type="dxa" w:w="1100"/>
            <w:shd w:fill="F6F8F5" w:val="clear"/>
            <w:tcMar>
              <w:top w:type="dxa" w:w="100"/>
              <w:left w:type="dxa" w:w="120"/>
              <w:bottom w:type="dxa" w:w="100"/>
              <w:right w:type="dxa" w:w="120"/>
            </w:tcMar>
            <w:vAlign w:val="top"/>
          </w:tcPr>
          <w:p>
            <w:r>
              <w:rPr>
                <w:b w:val="false"/>
                <w:bCs w:val="false"/>
                <w:color w:val="121612"/>
                <w:sz w:val="19"/>
                <w:szCs w:val="19"/>
              </w:rPr>
              <w:t xml:space="preserve">0:50–1:10</w:t>
            </w:r>
          </w:p>
        </w:tc>
        <w:tc>
          <w:tcPr>
            <w:tcW w:type="dxa" w:w="4100"/>
            <w:shd w:fill="F6F8F5" w:val="clear"/>
            <w:tcMar>
              <w:top w:type="dxa" w:w="100"/>
              <w:left w:type="dxa" w:w="120"/>
              <w:bottom w:type="dxa" w:w="100"/>
              <w:right w:type="dxa" w:w="120"/>
            </w:tcMar>
            <w:vAlign w:val="top"/>
          </w:tcPr>
          <w:p>
            <w:r>
              <w:rPr>
                <w:b w:val="false"/>
                <w:bCs w:val="false"/>
                <w:color w:val="2E352E"/>
                <w:sz w:val="19"/>
                <w:szCs w:val="19"/>
              </w:rPr>
              <w:t xml:space="preserve">Click into Holdings, click MSTRx, its 30-day chart opens with closed-hours shaded.</w:t>
            </w:r>
          </w:p>
        </w:tc>
        <w:tc>
          <w:tcPr>
            <w:tcW w:type="dxa" w:w="4880"/>
            <w:shd w:fill="F6F8F5" w:val="clear"/>
            <w:tcMar>
              <w:top w:type="dxa" w:w="100"/>
              <w:left w:type="dxa" w:w="120"/>
              <w:bottom w:type="dxa" w:w="100"/>
              <w:right w:type="dxa" w:w="120"/>
            </w:tcMar>
            <w:vAlign w:val="top"/>
          </w:tcPr>
          <w:p>
            <w:r>
              <w:rPr>
                <w:b w:val="false"/>
                <w:bCs w:val="false"/>
                <w:color w:val="2E352E"/>
                <w:sz w:val="19"/>
                <w:szCs w:val="19"/>
              </w:rPr>
              <w:t xml:space="preserve">Click a holding. Thirty days, and every hour the New York exchange was shut, shaded — this stock kept moving the whole time, with no market open behind it.</w:t>
            </w:r>
          </w:p>
        </w:tc>
      </w:tr>
      <w:tr>
        <w:tc>
          <w:tcPr>
            <w:tcW w:type="dxa" w:w="1100"/>
            <w:tcMar>
              <w:top w:type="dxa" w:w="100"/>
              <w:left w:type="dxa" w:w="120"/>
              <w:bottom w:type="dxa" w:w="100"/>
              <w:right w:type="dxa" w:w="120"/>
            </w:tcMar>
            <w:vAlign w:val="top"/>
          </w:tcPr>
          <w:p>
            <w:r>
              <w:rPr>
                <w:b w:val="false"/>
                <w:bCs w:val="false"/>
                <w:color w:val="121612"/>
                <w:sz w:val="19"/>
                <w:szCs w:val="19"/>
              </w:rPr>
              <w:t xml:space="preserve">1:10–1:30</w:t>
            </w:r>
          </w:p>
        </w:tc>
        <w:tc>
          <w:tcPr>
            <w:tcW w:type="dxa" w:w="4100"/>
            <w:tcMar>
              <w:top w:type="dxa" w:w="100"/>
              <w:left w:type="dxa" w:w="120"/>
              <w:bottom w:type="dxa" w:w="100"/>
              <w:right w:type="dxa" w:w="120"/>
            </w:tcMar>
            <w:vAlign w:val="top"/>
          </w:tcPr>
          <w:p>
            <w:r>
              <w:rPr>
                <w:b w:val="false"/>
                <w:bCs w:val="false"/>
                <w:color w:val="2E352E"/>
                <w:sz w:val="19"/>
                <w:szCs w:val="19"/>
              </w:rPr>
              <w:t xml:space="preserve">Scroll to Stocks / crypto / cash panel.</w:t>
            </w:r>
          </w:p>
        </w:tc>
        <w:tc>
          <w:tcPr>
            <w:tcW w:type="dxa" w:w="4880"/>
            <w:tcMar>
              <w:top w:type="dxa" w:w="100"/>
              <w:left w:type="dxa" w:w="120"/>
              <w:bottom w:type="dxa" w:w="100"/>
              <w:right w:type="dxa" w:w="120"/>
            </w:tcMar>
            <w:vAlign w:val="top"/>
          </w:tcPr>
          <w:p>
            <w:r>
              <w:rPr>
                <w:b w:val="false"/>
                <w:bCs w:val="false"/>
                <w:color w:val="2E352E"/>
                <w:sz w:val="19"/>
                <w:szCs w:val="19"/>
              </w:rPr>
              <w:t xml:space="preserve">Sector labels lie a little. COIN, MSTR, HOOD, CRCL are equity on paper — the desk says what share of this book is actually riding crypto.</w:t>
            </w:r>
          </w:p>
        </w:tc>
      </w:tr>
      <w:tr>
        <w:tc>
          <w:tcPr>
            <w:tcW w:type="dxa" w:w="1100"/>
            <w:shd w:fill="F6F8F5" w:val="clear"/>
            <w:tcMar>
              <w:top w:type="dxa" w:w="100"/>
              <w:left w:type="dxa" w:w="120"/>
              <w:bottom w:type="dxa" w:w="100"/>
              <w:right w:type="dxa" w:w="120"/>
            </w:tcMar>
            <w:vAlign w:val="top"/>
          </w:tcPr>
          <w:p>
            <w:r>
              <w:rPr>
                <w:b w:val="false"/>
                <w:bCs w:val="false"/>
                <w:color w:val="121612"/>
                <w:sz w:val="19"/>
                <w:szCs w:val="19"/>
              </w:rPr>
              <w:t xml:space="preserve">1:30–1:55</w:t>
            </w:r>
          </w:p>
        </w:tc>
        <w:tc>
          <w:tcPr>
            <w:tcW w:type="dxa" w:w="4100"/>
            <w:shd w:fill="F6F8F5" w:val="clear"/>
            <w:tcMar>
              <w:top w:type="dxa" w:w="100"/>
              <w:left w:type="dxa" w:w="120"/>
              <w:bottom w:type="dxa" w:w="100"/>
              <w:right w:type="dxa" w:w="120"/>
            </w:tcMar>
            <w:vAlign w:val="top"/>
          </w:tcPr>
          <w:p>
            <w:r>
              <w:rPr>
                <w:b w:val="false"/>
                <w:bCs w:val="false"/>
                <w:color w:val="2E352E"/>
                <w:sz w:val="19"/>
                <w:szCs w:val="19"/>
              </w:rPr>
              <w:t xml:space="preserve">What-if panel: drag half of one position into another, watch score, VaR, beta update live.</w:t>
            </w:r>
          </w:p>
        </w:tc>
        <w:tc>
          <w:tcPr>
            <w:tcW w:type="dxa" w:w="4880"/>
            <w:shd w:fill="F6F8F5" w:val="clear"/>
            <w:tcMar>
              <w:top w:type="dxa" w:w="100"/>
              <w:left w:type="dxa" w:w="120"/>
              <w:bottom w:type="dxa" w:w="100"/>
              <w:right w:type="dxa" w:w="120"/>
            </w:tcMar>
            <w:vAlign w:val="top"/>
          </w:tcPr>
          <w:p>
            <w:r>
              <w:rPr>
                <w:b w:val="false"/>
                <w:bCs w:val="false"/>
                <w:color w:val="2E352E"/>
                <w:sz w:val="19"/>
                <w:szCs w:val="19"/>
              </w:rPr>
              <w:t xml:space="preserve">Move half of one position into another and every number on the page updates instantly — still nothing leaving the browser.</w:t>
            </w:r>
          </w:p>
        </w:tc>
      </w:tr>
      <w:tr>
        <w:tc>
          <w:tcPr>
            <w:tcW w:type="dxa" w:w="1100"/>
            <w:tcMar>
              <w:top w:type="dxa" w:w="100"/>
              <w:left w:type="dxa" w:w="120"/>
              <w:bottom w:type="dxa" w:w="100"/>
              <w:right w:type="dxa" w:w="120"/>
            </w:tcMar>
            <w:vAlign w:val="top"/>
          </w:tcPr>
          <w:p>
            <w:r>
              <w:rPr>
                <w:b w:val="false"/>
                <w:bCs w:val="false"/>
                <w:color w:val="121612"/>
                <w:sz w:val="19"/>
                <w:szCs w:val="19"/>
              </w:rPr>
              <w:t xml:space="preserve">1:55–2:15</w:t>
            </w:r>
          </w:p>
        </w:tc>
        <w:tc>
          <w:tcPr>
            <w:tcW w:type="dxa" w:w="4100"/>
            <w:tcMar>
              <w:top w:type="dxa" w:w="100"/>
              <w:left w:type="dxa" w:w="120"/>
              <w:bottom w:type="dxa" w:w="100"/>
              <w:right w:type="dxa" w:w="120"/>
            </w:tcMar>
            <w:vAlign w:val="top"/>
          </w:tcPr>
          <w:p>
            <w:r>
              <w:rPr>
                <w:b w:val="false"/>
                <w:bCs w:val="false"/>
                <w:color w:val="2E352E"/>
                <w:sz w:val="19"/>
                <w:szCs w:val="19"/>
              </w:rPr>
              <w:t xml:space="preserve">If-the-market-gaps panel: S&amp;P shock to −5%, then the custom two-slider shock.</w:t>
            </w:r>
          </w:p>
        </w:tc>
        <w:tc>
          <w:tcPr>
            <w:tcW w:type="dxa" w:w="4880"/>
            <w:tcMar>
              <w:top w:type="dxa" w:w="100"/>
              <w:left w:type="dxa" w:w="120"/>
              <w:bottom w:type="dxa" w:w="100"/>
              <w:right w:type="dxa" w:w="120"/>
            </w:tcMar>
            <w:vAlign w:val="top"/>
          </w:tcPr>
          <w:p>
            <w:r>
              <w:rPr>
                <w:b w:val="false"/>
                <w:bCs w:val="false"/>
                <w:color w:val="2E352E"/>
                <w:sz w:val="19"/>
                <w:szCs w:val="19"/>
              </w:rPr>
              <w:t xml:space="preserve">Shock the S&amp;P five percent, or set your own — every position moves by its own beta, and you see the book that results before Monday opens.</w:t>
            </w:r>
          </w:p>
        </w:tc>
      </w:tr>
      <w:tr>
        <w:tc>
          <w:tcPr>
            <w:tcW w:type="dxa" w:w="1100"/>
            <w:shd w:fill="F6F8F5" w:val="clear"/>
            <w:tcMar>
              <w:top w:type="dxa" w:w="100"/>
              <w:left w:type="dxa" w:w="120"/>
              <w:bottom w:type="dxa" w:w="100"/>
              <w:right w:type="dxa" w:w="120"/>
            </w:tcMar>
            <w:vAlign w:val="top"/>
          </w:tcPr>
          <w:p>
            <w:r>
              <w:rPr>
                <w:b w:val="false"/>
                <w:bCs w:val="false"/>
                <w:color w:val="121612"/>
                <w:sz w:val="19"/>
                <w:szCs w:val="19"/>
              </w:rPr>
              <w:t xml:space="preserve">2:15–2:35</w:t>
            </w:r>
          </w:p>
        </w:tc>
        <w:tc>
          <w:tcPr>
            <w:tcW w:type="dxa" w:w="4100"/>
            <w:shd w:fill="F6F8F5" w:val="clear"/>
            <w:tcMar>
              <w:top w:type="dxa" w:w="100"/>
              <w:left w:type="dxa" w:w="120"/>
              <w:bottom w:type="dxa" w:w="100"/>
              <w:right w:type="dxa" w:w="120"/>
            </w:tcMar>
            <w:vAlign w:val="top"/>
          </w:tcPr>
          <w:p>
            <w:r>
              <w:rPr>
                <w:b w:val="false"/>
                <w:bCs w:val="false"/>
                <w:color w:val="2E352E"/>
                <w:sz w:val="19"/>
                <w:szCs w:val="19"/>
              </w:rPr>
              <w:t xml:space="preserve">Target and drift panel: set a target, show the sell/buy orders with live Jupiter quotes.</w:t>
            </w:r>
          </w:p>
        </w:tc>
        <w:tc>
          <w:tcPr>
            <w:tcW w:type="dxa" w:w="4880"/>
            <w:shd w:fill="F6F8F5" w:val="clear"/>
            <w:tcMar>
              <w:top w:type="dxa" w:w="100"/>
              <w:left w:type="dxa" w:w="120"/>
              <w:bottom w:type="dxa" w:w="100"/>
              <w:right w:type="dxa" w:w="120"/>
            </w:tcMar>
            <w:vAlign w:val="top"/>
          </w:tcPr>
          <w:p>
            <w:r>
              <w:rPr>
                <w:b w:val="false"/>
                <w:bCs w:val="false"/>
                <w:color w:val="2E352E"/>
                <w:sz w:val="19"/>
                <w:szCs w:val="19"/>
              </w:rPr>
              <w:t xml:space="preserve">State the allocation you meant to hold. The drift becomes real orders, quoted live on Jupiter — size, price impact, route, right now.</w:t>
            </w:r>
          </w:p>
        </w:tc>
      </w:tr>
      <w:tr>
        <w:tc>
          <w:tcPr>
            <w:tcW w:type="dxa" w:w="1100"/>
            <w:tcMar>
              <w:top w:type="dxa" w:w="100"/>
              <w:left w:type="dxa" w:w="120"/>
              <w:bottom w:type="dxa" w:w="100"/>
              <w:right w:type="dxa" w:w="120"/>
            </w:tcMar>
            <w:vAlign w:val="top"/>
          </w:tcPr>
          <w:p>
            <w:r>
              <w:rPr>
                <w:b w:val="false"/>
                <w:bCs w:val="false"/>
                <w:color w:val="121612"/>
                <w:sz w:val="19"/>
                <w:szCs w:val="19"/>
              </w:rPr>
              <w:t xml:space="preserve">2:35–2:50</w:t>
            </w:r>
          </w:p>
        </w:tc>
        <w:tc>
          <w:tcPr>
            <w:tcW w:type="dxa" w:w="4100"/>
            <w:tcMar>
              <w:top w:type="dxa" w:w="100"/>
              <w:left w:type="dxa" w:w="120"/>
              <w:bottom w:type="dxa" w:w="100"/>
              <w:right w:type="dxa" w:w="120"/>
            </w:tcMar>
            <w:vAlign w:val="top"/>
          </w:tcPr>
          <w:p>
            <w:r>
              <w:rPr>
                <w:b w:val="false"/>
                <w:bCs w:val="false"/>
                <w:color w:val="2E352E"/>
                <w:sz w:val="19"/>
                <w:szCs w:val="19"/>
              </w:rPr>
              <w:t xml:space="preserve">Switch to the xStocks-wallet link. Connect Phantom. Save Policy, record a Snapshot; explorer flashes the new account.</w:t>
            </w:r>
          </w:p>
        </w:tc>
        <w:tc>
          <w:tcPr>
            <w:tcW w:type="dxa" w:w="4880"/>
            <w:tcMar>
              <w:top w:type="dxa" w:w="100"/>
              <w:left w:type="dxa" w:w="120"/>
              <w:bottom w:type="dxa" w:w="100"/>
              <w:right w:type="dxa" w:w="120"/>
            </w:tcMar>
            <w:vAlign w:val="top"/>
          </w:tcPr>
          <w:p>
            <w:r>
              <w:rPr>
                <w:b w:val="false"/>
                <w:bCs w:val="false"/>
                <w:color w:val="2E352E"/>
                <w:sz w:val="19"/>
                <w:szCs w:val="19"/>
              </w:rPr>
              <w:t xml:space="preserve">Connect the wallet that owns the book, and it's not just a reading — target and snapshot get written on Solana, signed by you. That policy and that snapshot are what a lending protocol could watch instead of a price feed.</w:t>
            </w:r>
          </w:p>
        </w:tc>
      </w:tr>
    </w:tbl>
    <w:p>
      <w:pPr>
        <w:spacing w:after="120"/>
      </w:pPr>
      <w:r>
        <w:rPr>
          <w:i/>
          <w:iCs/>
          <w:color w:val="121612"/>
          <w:sz w:val="21"/>
          <w:szCs w:val="21"/>
        </w:rPr>
        <w:t xml:space="preserve">Do not show on camera: an actual mainnet Sign-and-swap send (real funds move) — quote it live, don't execute it, unless you've decided in advance to spend real SOL. Total 2:50; cut the 1:30–2:15 block first if over.</w:t>
      </w:r>
    </w:p>
    <w:p>
      <w:r>
        <w:br w:type="page"/>
      </w:r>
    </w:p>
    <w:p>
      <w:pPr>
        <w:pStyle w:val="Heading1"/>
        <w:pBdr>
          <w:bottom w:val="single" w:color="3AA000" w:sz="10" w:space="6"/>
        </w:pBdr>
        <w:spacing w:after="160" w:before="200"/>
      </w:pPr>
      <w:r>
        <w:rPr>
          <w:b/>
          <w:bCs/>
          <w:color w:val="121612"/>
          <w:sz w:val="32"/>
          <w:szCs w:val="32"/>
        </w:rPr>
        <w:t xml:space="preserve">Video 2 — PreStocks bounty demo  ·  target 2:15</w:t>
      </w:r>
    </w:p>
    <w:p>
      <w:pPr>
        <w:spacing w:after="120"/>
      </w:pPr>
      <w:r>
        <w:rPr>
          <w:i w:val="false"/>
          <w:iCs w:val="false"/>
          <w:color w:val="121612"/>
          <w:sz w:val="21"/>
          <w:szCs w:val="21"/>
        </w:rPr>
        <w:t xml:space="preserve">Covers "Best Use of PreStocks" only — a separate recording so a judge scoring this bounty doesn't sit through the full desk tour first.</w:t>
      </w:r>
    </w:p>
    <w:p>
      <w:pPr>
        <w:spacing w:after="160"/>
      </w:pPr>
      <w:r>
        <w:rPr>
          <w:b/>
          <w:bCs/>
          <w:caps/>
          <w:color w:val="3AA000"/>
          <w:spacing w:val="20"/>
          <w:sz w:val="18"/>
          <w:szCs w:val="18"/>
        </w:rPr>
        <w:t xml:space="preserve">Pre-load</w:t>
      </w:r>
    </w:p>
    <w:p>
      <w:pPr>
        <w:spacing w:after="120"/>
      </w:pPr>
      <w:r>
        <w:rPr>
          <w:i w:val="false"/>
          <w:iCs w:val="false"/>
          <w:color w:val="121612"/>
          <w:sz w:val="21"/>
          <w:szCs w:val="21"/>
        </w:rPr>
        <w:t xml:space="preserve">• https://afterhours-v0dr.onrender.com/dashboard/?address=6GJbPKBtovsrMEEMcic5KMi5tswh9qSyT5ZYLMqEwNgt  ("A real PreStocks wallet")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880"/>
      </w:tblGrid>
      <w:tr>
        <w:trPr>
          <w:tblHeader/>
        </w:trPr>
        <w:tc>
          <w:tcPr>
            <w:tcW w:type="dxa" w:w="1100"/>
            <w:shd w:fill="0B0D0B" w:val="clear"/>
            <w:tcMar>
              <w:top w:type="dxa" w:w="100"/>
              <w:left w:type="dxa" w:w="120"/>
              <w:bottom w:type="dxa" w:w="100"/>
              <w:right w:type="dxa" w:w="120"/>
            </w:tcMar>
            <w:vAlign w:val="top"/>
          </w:tcPr>
          <w:p>
            <w:r>
              <w:rPr>
                <w:b/>
                <w:bCs/>
                <w:color w:val="FFFFFF"/>
                <w:sz w:val="18"/>
                <w:szCs w:val="18"/>
              </w:rPr>
              <w:t xml:space="preserve">TIME</w:t>
            </w:r>
          </w:p>
        </w:tc>
        <w:tc>
          <w:tcPr>
            <w:tcW w:type="dxa" w:w="4100"/>
            <w:shd w:fill="0B0D0B" w:val="clear"/>
            <w:tcMar>
              <w:top w:type="dxa" w:w="100"/>
              <w:left w:type="dxa" w:w="120"/>
              <w:bottom w:type="dxa" w:w="100"/>
              <w:right w:type="dxa" w:w="120"/>
            </w:tcMar>
            <w:vAlign w:val="top"/>
          </w:tcPr>
          <w:p>
            <w:r>
              <w:rPr>
                <w:b/>
                <w:bCs/>
                <w:color w:val="FFFFFF"/>
                <w:sz w:val="18"/>
                <w:szCs w:val="18"/>
              </w:rPr>
              <w:t xml:space="preserve">ON SCREEN</w:t>
            </w:r>
          </w:p>
        </w:tc>
        <w:tc>
          <w:tcPr>
            <w:tcW w:type="dxa" w:w="4880"/>
            <w:shd w:fill="0B0D0B" w:val="clear"/>
            <w:tcMar>
              <w:top w:type="dxa" w:w="100"/>
              <w:left w:type="dxa" w:w="120"/>
              <w:bottom w:type="dxa" w:w="100"/>
              <w:right w:type="dxa" w:w="120"/>
            </w:tcMar>
            <w:vAlign w:val="top"/>
          </w:tcPr>
          <w:p>
            <w:r>
              <w:rPr>
                <w:b/>
                <w:bCs/>
                <w:color w:val="FFFFFF"/>
                <w:sz w:val="18"/>
                <w:szCs w:val="18"/>
              </w:rPr>
              <w:t xml:space="preserve">SAY</w:t>
            </w:r>
          </w:p>
        </w:tc>
      </w:tr>
      <w:tr>
        <w:tc>
          <w:tcPr>
            <w:tcW w:type="dxa" w:w="1100"/>
            <w:tcMar>
              <w:top w:type="dxa" w:w="100"/>
              <w:left w:type="dxa" w:w="120"/>
              <w:bottom w:type="dxa" w:w="100"/>
              <w:right w:type="dxa" w:w="120"/>
            </w:tcMar>
            <w:vAlign w:val="top"/>
          </w:tcPr>
          <w:p>
            <w:r>
              <w:rPr>
                <w:b w:val="false"/>
                <w:bCs w:val="false"/>
                <w:color w:val="121612"/>
                <w:sz w:val="19"/>
                <w:szCs w:val="19"/>
              </w:rPr>
              <w:t xml:space="preserve">0:00–0:15</w:t>
            </w:r>
          </w:p>
        </w:tc>
        <w:tc>
          <w:tcPr>
            <w:tcW w:type="dxa" w:w="4100"/>
            <w:tcMar>
              <w:top w:type="dxa" w:w="100"/>
              <w:left w:type="dxa" w:w="120"/>
              <w:bottom w:type="dxa" w:w="100"/>
              <w:right w:type="dxa" w:w="120"/>
            </w:tcMar>
            <w:vAlign w:val="top"/>
          </w:tcPr>
          <w:p>
            <w:r>
              <w:rPr>
                <w:b w:val="false"/>
                <w:bCs w:val="false"/>
                <w:color w:val="2E352E"/>
                <w:sz w:val="19"/>
                <w:szCs w:val="19"/>
              </w:rPr>
              <w:t xml:space="preserve">Landing page or PreStocks site for a hook shot, or skip straight to the wallet.</w:t>
            </w:r>
          </w:p>
        </w:tc>
        <w:tc>
          <w:tcPr>
            <w:tcW w:type="dxa" w:w="4880"/>
            <w:tcMar>
              <w:top w:type="dxa" w:w="100"/>
              <w:left w:type="dxa" w:w="120"/>
              <w:bottom w:type="dxa" w:w="100"/>
              <w:right w:type="dxa" w:w="120"/>
            </w:tcMar>
            <w:vAlign w:val="top"/>
          </w:tcPr>
          <w:p>
            <w:r>
              <w:rPr>
                <w:b w:val="false"/>
                <w:bCs w:val="false"/>
                <w:color w:val="2E352E"/>
                <w:sz w:val="19"/>
                <w:szCs w:val="19"/>
              </w:rPr>
              <w:t xml:space="preserve">PreStocks tokenizes pre-IPO equity — OpenAI, SpaceX, Anthropic — on Solana, before any of it is public. Afterhours reads it.</w:t>
            </w:r>
          </w:p>
        </w:tc>
      </w:tr>
      <w:tr>
        <w:tc>
          <w:tcPr>
            <w:tcW w:type="dxa" w:w="1100"/>
            <w:shd w:fill="F6F8F5" w:val="clear"/>
            <w:tcMar>
              <w:top w:type="dxa" w:w="100"/>
              <w:left w:type="dxa" w:w="120"/>
              <w:bottom w:type="dxa" w:w="100"/>
              <w:right w:type="dxa" w:w="120"/>
            </w:tcMar>
            <w:vAlign w:val="top"/>
          </w:tcPr>
          <w:p>
            <w:r>
              <w:rPr>
                <w:b w:val="false"/>
                <w:bCs w:val="false"/>
                <w:color w:val="121612"/>
                <w:sz w:val="19"/>
                <w:szCs w:val="19"/>
              </w:rPr>
              <w:t xml:space="preserve">0:15–0:35</w:t>
            </w:r>
          </w:p>
        </w:tc>
        <w:tc>
          <w:tcPr>
            <w:tcW w:type="dxa" w:w="4100"/>
            <w:shd w:fill="F6F8F5" w:val="clear"/>
            <w:tcMar>
              <w:top w:type="dxa" w:w="100"/>
              <w:left w:type="dxa" w:w="120"/>
              <w:bottom w:type="dxa" w:w="100"/>
              <w:right w:type="dxa" w:w="120"/>
            </w:tcMar>
            <w:vAlign w:val="top"/>
          </w:tcPr>
          <w:p>
            <w:r>
              <w:rPr>
                <w:b w:val="false"/>
                <w:bCs w:val="false"/>
                <w:color w:val="2E352E"/>
                <w:sz w:val="19"/>
                <w:szCs w:val="19"/>
              </w:rPr>
              <w:t xml:space="preserve">Load the linked wallet. Point at the five PreStocks tokens sitting next to SOL and USDC.</w:t>
            </w:r>
          </w:p>
        </w:tc>
        <w:tc>
          <w:tcPr>
            <w:tcW w:type="dxa" w:w="4880"/>
            <w:shd w:fill="F6F8F5" w:val="clear"/>
            <w:tcMar>
              <w:top w:type="dxa" w:w="100"/>
              <w:left w:type="dxa" w:w="120"/>
              <w:bottom w:type="dxa" w:w="100"/>
              <w:right w:type="dxa" w:w="120"/>
            </w:tcMar>
            <w:vAlign w:val="top"/>
          </w:tcPr>
          <w:p>
            <w:r>
              <w:rPr>
                <w:b w:val="false"/>
                <w:bCs w:val="false"/>
                <w:color w:val="2E352E"/>
                <w:sz w:val="19"/>
                <w:szCs w:val="19"/>
              </w:rPr>
              <w:t xml:space="preserve">This is a real mainnet wallet: five PreStocks tokens, found through the largest holders of the SpaceX token, read live — same as any other wallet, no key, no custody.</w:t>
            </w:r>
          </w:p>
        </w:tc>
      </w:tr>
      <w:tr>
        <w:tc>
          <w:tcPr>
            <w:tcW w:type="dxa" w:w="1100"/>
            <w:tcMar>
              <w:top w:type="dxa" w:w="100"/>
              <w:left w:type="dxa" w:w="120"/>
              <w:bottom w:type="dxa" w:w="100"/>
              <w:right w:type="dxa" w:w="120"/>
            </w:tcMar>
            <w:vAlign w:val="top"/>
          </w:tcPr>
          <w:p>
            <w:r>
              <w:rPr>
                <w:b w:val="false"/>
                <w:bCs w:val="false"/>
                <w:color w:val="121612"/>
                <w:sz w:val="19"/>
                <w:szCs w:val="19"/>
              </w:rPr>
              <w:t xml:space="preserve">0:35–1:05</w:t>
            </w:r>
          </w:p>
        </w:tc>
        <w:tc>
          <w:tcPr>
            <w:tcW w:type="dxa" w:w="4100"/>
            <w:tcMar>
              <w:top w:type="dxa" w:w="100"/>
              <w:left w:type="dxa" w:w="120"/>
              <w:bottom w:type="dxa" w:w="100"/>
              <w:right w:type="dxa" w:w="120"/>
            </w:tcMar>
            <w:vAlign w:val="top"/>
          </w:tcPr>
          <w:p>
            <w:r>
              <w:rPr>
                <w:b w:val="false"/>
                <w:bCs w:val="false"/>
                <w:color w:val="2E352E"/>
                <w:sz w:val="19"/>
                <w:szCs w:val="19"/>
              </w:rPr>
              <w:t xml:space="preserve">Open "What you hold." Hover a PreStocks token to show its live price ticking from PreStocks' own API.</w:t>
            </w:r>
          </w:p>
        </w:tc>
        <w:tc>
          <w:tcPr>
            <w:tcW w:type="dxa" w:w="4880"/>
            <w:tcMar>
              <w:top w:type="dxa" w:w="100"/>
              <w:left w:type="dxa" w:w="120"/>
              <w:bottom w:type="dxa" w:w="100"/>
              <w:right w:type="dxa" w:w="120"/>
            </w:tcMar>
            <w:vAlign w:val="top"/>
          </w:tcPr>
          <w:p>
            <w:r>
              <w:rPr>
                <w:b w:val="false"/>
                <w:bCs w:val="false"/>
                <w:color w:val="2E352E"/>
                <w:sz w:val="19"/>
                <w:szCs w:val="19"/>
              </w:rPr>
              <w:t xml:space="preserve">Priced live from PreStocks' own API, sitting right beside the risk-scored xStocks book — not folded into it.</w:t>
            </w:r>
          </w:p>
        </w:tc>
      </w:tr>
      <w:tr>
        <w:tc>
          <w:tcPr>
            <w:tcW w:type="dxa" w:w="1100"/>
            <w:shd w:fill="F6F8F5" w:val="clear"/>
            <w:tcMar>
              <w:top w:type="dxa" w:w="100"/>
              <w:left w:type="dxa" w:w="120"/>
              <w:bottom w:type="dxa" w:w="100"/>
              <w:right w:type="dxa" w:w="120"/>
            </w:tcMar>
            <w:vAlign w:val="top"/>
          </w:tcPr>
          <w:p>
            <w:r>
              <w:rPr>
                <w:b w:val="false"/>
                <w:bCs w:val="false"/>
                <w:color w:val="121612"/>
                <w:sz w:val="19"/>
                <w:szCs w:val="19"/>
              </w:rPr>
              <w:t xml:space="preserve">1:05–1:35</w:t>
            </w:r>
          </w:p>
        </w:tc>
        <w:tc>
          <w:tcPr>
            <w:tcW w:type="dxa" w:w="4100"/>
            <w:shd w:fill="F6F8F5" w:val="clear"/>
            <w:tcMar>
              <w:top w:type="dxa" w:w="100"/>
              <w:left w:type="dxa" w:w="120"/>
              <w:bottom w:type="dxa" w:w="100"/>
              <w:right w:type="dxa" w:w="120"/>
            </w:tcMar>
            <w:vAlign w:val="top"/>
          </w:tcPr>
          <w:p>
            <w:r>
              <w:rPr>
                <w:b w:val="false"/>
                <w:bCs w:val="false"/>
                <w:color w:val="2E352E"/>
                <w:sz w:val="19"/>
                <w:szCs w:val="19"/>
              </w:rPr>
              <w:t xml:space="preserve">Point at the label / tooltip explaining why they're excluded from VaR / score.</w:t>
            </w:r>
          </w:p>
        </w:tc>
        <w:tc>
          <w:tcPr>
            <w:tcW w:type="dxa" w:w="4880"/>
            <w:shd w:fill="F6F8F5" w:val="clear"/>
            <w:tcMar>
              <w:top w:type="dxa" w:w="100"/>
              <w:left w:type="dxa" w:w="120"/>
              <w:bottom w:type="dxa" w:w="100"/>
              <w:right w:type="dxa" w:w="120"/>
            </w:tcMar>
            <w:vAlign w:val="top"/>
          </w:tcPr>
          <w:p>
            <w:r>
              <w:rPr>
                <w:b w:val="false"/>
                <w:bCs w:val="false"/>
                <w:color w:val="2E352E"/>
                <w:sz w:val="19"/>
                <w:szCs w:val="19"/>
              </w:rPr>
              <w:t xml:space="preserve">A private company has no public listing, so there's no thirty-day series to score it against. The honest move is to say that, not to dress up a number that doesn't know it — so PreStocks tokens are priced and shown, never scored into the book's VaR.</w:t>
            </w:r>
          </w:p>
        </w:tc>
      </w:tr>
      <w:tr>
        <w:tc>
          <w:tcPr>
            <w:tcW w:type="dxa" w:w="1100"/>
            <w:tcMar>
              <w:top w:type="dxa" w:w="100"/>
              <w:left w:type="dxa" w:w="120"/>
              <w:bottom w:type="dxa" w:w="100"/>
              <w:right w:type="dxa" w:w="120"/>
            </w:tcMar>
            <w:vAlign w:val="top"/>
          </w:tcPr>
          <w:p>
            <w:r>
              <w:rPr>
                <w:b w:val="false"/>
                <w:bCs w:val="false"/>
                <w:color w:val="121612"/>
                <w:sz w:val="19"/>
                <w:szCs w:val="19"/>
              </w:rPr>
              <w:t xml:space="preserve">1:35–1:55</w:t>
            </w:r>
          </w:p>
        </w:tc>
        <w:tc>
          <w:tcPr>
            <w:tcW w:type="dxa" w:w="4100"/>
            <w:tcMar>
              <w:top w:type="dxa" w:w="100"/>
              <w:left w:type="dxa" w:w="120"/>
              <w:bottom w:type="dxa" w:w="100"/>
              <w:right w:type="dxa" w:w="120"/>
            </w:tcMar>
            <w:vAlign w:val="top"/>
          </w:tcPr>
          <w:p>
            <w:r>
              <w:rPr>
                <w:b w:val="false"/>
                <w:bCs w:val="false"/>
                <w:color w:val="2E352E"/>
                <w:sz w:val="19"/>
                <w:szCs w:val="19"/>
              </w:rPr>
              <w:t xml:space="preserve">Quick cut to a plain xStocks wallet, then back, to show the same read path.</w:t>
            </w:r>
          </w:p>
        </w:tc>
        <w:tc>
          <w:tcPr>
            <w:tcW w:type="dxa" w:w="4880"/>
            <w:tcMar>
              <w:top w:type="dxa" w:w="100"/>
              <w:left w:type="dxa" w:w="120"/>
              <w:bottom w:type="dxa" w:w="100"/>
              <w:right w:type="dxa" w:w="120"/>
            </w:tcMar>
            <w:vAlign w:val="top"/>
          </w:tcPr>
          <w:p>
            <w:r>
              <w:rPr>
                <w:b w:val="false"/>
                <w:bCs w:val="false"/>
                <w:color w:val="2E352E"/>
                <w:sz w:val="19"/>
                <w:szCs w:val="19"/>
              </w:rPr>
              <w:t xml:space="preserve">Same pipeline as every xStock: token accounts, both token programs, verified mints — PreStocks just adds eight more rows to a list the desk already knew how to read.</w:t>
            </w:r>
          </w:p>
        </w:tc>
      </w:tr>
      <w:tr>
        <w:tc>
          <w:tcPr>
            <w:tcW w:type="dxa" w:w="1100"/>
            <w:shd w:fill="F6F8F5" w:val="clear"/>
            <w:tcMar>
              <w:top w:type="dxa" w:w="100"/>
              <w:left w:type="dxa" w:w="120"/>
              <w:bottom w:type="dxa" w:w="100"/>
              <w:right w:type="dxa" w:w="120"/>
            </w:tcMar>
            <w:vAlign w:val="top"/>
          </w:tcPr>
          <w:p>
            <w:r>
              <w:rPr>
                <w:b w:val="false"/>
                <w:bCs w:val="false"/>
                <w:color w:val="121612"/>
                <w:sz w:val="19"/>
                <w:szCs w:val="19"/>
              </w:rPr>
              <w:t xml:space="preserve">1:55–2:15</w:t>
            </w:r>
          </w:p>
        </w:tc>
        <w:tc>
          <w:tcPr>
            <w:tcW w:type="dxa" w:w="4100"/>
            <w:shd w:fill="F6F8F5" w:val="clear"/>
            <w:tcMar>
              <w:top w:type="dxa" w:w="100"/>
              <w:left w:type="dxa" w:w="120"/>
              <w:bottom w:type="dxa" w:w="100"/>
              <w:right w:type="dxa" w:w="120"/>
            </w:tcMar>
            <w:vAlign w:val="top"/>
          </w:tcPr>
          <w:p>
            <w:r>
              <w:rPr>
                <w:b w:val="false"/>
                <w:bCs w:val="false"/>
                <w:color w:val="2E352E"/>
                <w:sz w:val="19"/>
                <w:szCs w:val="19"/>
              </w:rPr>
              <w:t xml:space="preserve">End card: the wallet link on screen.</w:t>
            </w:r>
          </w:p>
        </w:tc>
        <w:tc>
          <w:tcPr>
            <w:tcW w:type="dxa" w:w="4880"/>
            <w:shd w:fill="F6F8F5" w:val="clear"/>
            <w:tcMar>
              <w:top w:type="dxa" w:w="100"/>
              <w:left w:type="dxa" w:w="120"/>
              <w:bottom w:type="dxa" w:w="100"/>
              <w:right w:type="dxa" w:w="120"/>
            </w:tcMar>
            <w:vAlign w:val="top"/>
          </w:tcPr>
          <w:p>
            <w:r>
              <w:rPr>
                <w:b w:val="false"/>
                <w:bCs w:val="false"/>
                <w:color w:val="2E352E"/>
                <w:sz w:val="19"/>
                <w:szCs w:val="19"/>
              </w:rPr>
              <w:t xml:space="preserve">Only PreStocks tokens are used here — no other pre-IPO token is integrated. This is Afterhours' best use of PreStocks.</w:t>
            </w:r>
          </w:p>
        </w:tc>
      </w:tr>
    </w:tbl>
    <w:p>
      <w:pPr>
        <w:spacing w:after="120"/>
      </w:pPr>
      <w:r>
        <w:rPr>
          <w:i/>
          <w:iCs/>
          <w:color w:val="121612"/>
          <w:sz w:val="21"/>
          <w:szCs w:val="21"/>
        </w:rPr>
        <w:t xml:space="preserve">If you need more runtime, extend 0:35–1:05 with a second PreStocks token rather than adding new claims. Total 2:15.</w:t>
      </w:r>
    </w:p>
    <w:p>
      <w:r>
        <w:br w:type="page"/>
      </w:r>
    </w:p>
    <w:p>
      <w:pPr>
        <w:pStyle w:val="Heading1"/>
        <w:pBdr>
          <w:bottom w:val="single" w:color="3AA000" w:sz="10" w:space="6"/>
        </w:pBdr>
        <w:spacing w:after="160" w:before="200"/>
      </w:pPr>
      <w:r>
        <w:rPr>
          <w:b/>
          <w:bCs/>
          <w:color w:val="121612"/>
          <w:sz w:val="32"/>
          <w:szCs w:val="32"/>
        </w:rPr>
        <w:t xml:space="preserve">Architecture diagram</w:t>
      </w:r>
    </w:p>
    <w:p>
      <w:pPr>
        <w:spacing w:after="120"/>
      </w:pPr>
      <w:r>
        <w:rPr>
          <w:i w:val="false"/>
          <w:iCs w:val="false"/>
          <w:color w:val="121612"/>
          <w:sz w:val="21"/>
          <w:szCs w:val="21"/>
        </w:rPr>
        <w:t xml:space="preserve">A classic four-tier map — User, Client, Server/Services, Chain — of the same product. No tier is a server Afterhours operates; Tier 3 is labelled that way on purpose, because these external services are what stands in for a backend.</w:t>
      </w:r>
    </w:p>
    <w:p>
      <w:pPr>
        <w:spacing w:after="160" w:before="160"/>
        <w:jc w:val="center"/>
      </w:pPr>
      <w:r>
        <w:drawing>
          <wp:inline distT="0" distB="0" distL="0" distR="0">
            <wp:extent cx="62865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5000625"/>
                    </a:xfrm>
                    <a:prstGeom prst="rect">
                      <a:avLst/>
                    </a:prstGeom>
                  </pic:spPr>
                </pic:pic>
              </a:graphicData>
            </a:graphic>
          </wp:inline>
        </w:drawing>
      </w:r>
    </w:p>
    <w:p>
      <w:pPr>
        <w:pStyle w:val="Heading2"/>
        <w:spacing w:after="100" w:before="240"/>
      </w:pPr>
      <w:r>
        <w:rPr>
          <w:b/>
          <w:bCs/>
          <w:color w:val="3AA000"/>
          <w:sz w:val="24"/>
          <w:szCs w:val="24"/>
        </w:rPr>
        <w:t xml:space="preserve">Narration — explaining the architecture out loud (~1:40)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shd w:fill="0B0D0B" w:val="clear"/>
            <w:tcMar>
              <w:top w:type="dxa" w:w="100"/>
              <w:left w:type="dxa" w:w="120"/>
              <w:bottom w:type="dxa" w:w="100"/>
              <w:right w:type="dxa" w:w="120"/>
            </w:tcMar>
            <w:vAlign w:val="top"/>
          </w:tcPr>
          <w:p>
            <w:r>
              <w:rPr>
                <w:b/>
                <w:bCs/>
                <w:color w:val="FFFFFF"/>
                <w:sz w:val="18"/>
                <w:szCs w:val="18"/>
              </w:rPr>
              <w:t xml:space="preserve">TIME</w:t>
            </w:r>
          </w:p>
        </w:tc>
        <w:tc>
          <w:tcPr>
            <w:tcW w:type="dxa" w:w="8680"/>
            <w:shd w:fill="0B0D0B" w:val="clear"/>
            <w:tcMar>
              <w:top w:type="dxa" w:w="100"/>
              <w:left w:type="dxa" w:w="120"/>
              <w:bottom w:type="dxa" w:w="100"/>
              <w:right w:type="dxa" w:w="120"/>
            </w:tcMar>
            <w:vAlign w:val="top"/>
          </w:tcPr>
          <w:p>
            <w:r>
              <w:rPr>
                <w:b/>
                <w:bCs/>
                <w:color w:val="FFFFFF"/>
                <w:sz w:val="18"/>
                <w:szCs w:val="18"/>
              </w:rPr>
              <w:t xml:space="preserve">SAY (reading pace, ~2 words/sec)</w:t>
            </w:r>
          </w:p>
        </w:tc>
      </w:tr>
      <w:tr>
        <w:tc>
          <w:tcPr>
            <w:tcW w:type="dxa" w:w="1400"/>
            <w:tcMar>
              <w:top w:type="dxa" w:w="100"/>
              <w:left w:type="dxa" w:w="120"/>
              <w:bottom w:type="dxa" w:w="100"/>
              <w:right w:type="dxa" w:w="120"/>
            </w:tcMar>
            <w:vAlign w:val="top"/>
          </w:tcPr>
          <w:p>
            <w:r>
              <w:rPr>
                <w:b w:val="false"/>
                <w:bCs w:val="false"/>
                <w:color w:val="121612"/>
                <w:sz w:val="19"/>
                <w:szCs w:val="19"/>
              </w:rPr>
              <w:t xml:space="preserve">0:00–0:15</w:t>
            </w:r>
          </w:p>
        </w:tc>
        <w:tc>
          <w:tcPr>
            <w:tcW w:type="dxa" w:w="8680"/>
            <w:tcMar>
              <w:top w:type="dxa" w:w="100"/>
              <w:left w:type="dxa" w:w="120"/>
              <w:bottom w:type="dxa" w:w="100"/>
              <w:right w:type="dxa" w:w="120"/>
            </w:tcMar>
            <w:vAlign w:val="top"/>
          </w:tcPr>
          <w:p>
            <w:r>
              <w:rPr>
                <w:b w:val="false"/>
                <w:bCs w:val="false"/>
                <w:color w:val="2E352E"/>
                <w:sz w:val="19"/>
                <w:szCs w:val="19"/>
              </w:rPr>
              <w:t xml:space="preserve">Four tiers, top to bottom. Tier one is the user — pasting an address, opening a shared link, or connecting a wallet. That's the entire input surface.</w:t>
            </w:r>
          </w:p>
        </w:tc>
      </w:tr>
      <w:tr>
        <w:tc>
          <w:tcPr>
            <w:tcW w:type="dxa" w:w="1400"/>
            <w:shd w:fill="F6F8F5" w:val="clear"/>
            <w:tcMar>
              <w:top w:type="dxa" w:w="100"/>
              <w:left w:type="dxa" w:w="120"/>
              <w:bottom w:type="dxa" w:w="100"/>
              <w:right w:type="dxa" w:w="120"/>
            </w:tcMar>
            <w:vAlign w:val="top"/>
          </w:tcPr>
          <w:p>
            <w:r>
              <w:rPr>
                <w:b w:val="false"/>
                <w:bCs w:val="false"/>
                <w:color w:val="121612"/>
                <w:sz w:val="19"/>
                <w:szCs w:val="19"/>
              </w:rPr>
              <w:t xml:space="preserve">0:15–0:35</w:t>
            </w:r>
          </w:p>
        </w:tc>
        <w:tc>
          <w:tcPr>
            <w:tcW w:type="dxa" w:w="8680"/>
            <w:shd w:fill="F6F8F5" w:val="clear"/>
            <w:tcMar>
              <w:top w:type="dxa" w:w="100"/>
              <w:left w:type="dxa" w:w="120"/>
              <w:bottom w:type="dxa" w:w="100"/>
              <w:right w:type="dxa" w:w="120"/>
            </w:tcMar>
            <w:vAlign w:val="top"/>
          </w:tcPr>
          <w:p>
            <w:r>
              <w:rPr>
                <w:b w:val="false"/>
                <w:bCs w:val="false"/>
                <w:color w:val="2E352E"/>
                <w:sz w:val="19"/>
                <w:szCs w:val="19"/>
              </w:rPr>
              <w:t xml:space="preserve">Tier two is the client: a static browser export, no server behind it, and inside it the in-browser risk engine — score, VaR, beta, correlation, drift, shocks — every figure computed right there in the tab.</w:t>
            </w:r>
          </w:p>
        </w:tc>
      </w:tr>
      <w:tr>
        <w:tc>
          <w:tcPr>
            <w:tcW w:type="dxa" w:w="1400"/>
            <w:tcMar>
              <w:top w:type="dxa" w:w="100"/>
              <w:left w:type="dxa" w:w="120"/>
              <w:bottom w:type="dxa" w:w="100"/>
              <w:right w:type="dxa" w:w="120"/>
            </w:tcMar>
            <w:vAlign w:val="top"/>
          </w:tcPr>
          <w:p>
            <w:r>
              <w:rPr>
                <w:b w:val="false"/>
                <w:bCs w:val="false"/>
                <w:color w:val="121612"/>
                <w:sz w:val="19"/>
                <w:szCs w:val="19"/>
              </w:rPr>
              <w:t xml:space="preserve">0:35–1:00</w:t>
            </w:r>
          </w:p>
        </w:tc>
        <w:tc>
          <w:tcPr>
            <w:tcW w:type="dxa" w:w="8680"/>
            <w:tcMar>
              <w:top w:type="dxa" w:w="100"/>
              <w:left w:type="dxa" w:w="120"/>
              <w:bottom w:type="dxa" w:w="100"/>
              <w:right w:type="dxa" w:w="120"/>
            </w:tcMar>
            <w:vAlign w:val="top"/>
          </w:tcPr>
          <w:p>
            <w:r>
              <w:rPr>
                <w:b w:val="false"/>
                <w:bCs w:val="false"/>
                <w:color w:val="2E352E"/>
                <w:sz w:val="19"/>
                <w:szCs w:val="19"/>
              </w:rPr>
              <w:t xml:space="preserve">Tier three stands in for a server, because there isn't one Afterhours runs: Solana's own mainnet RPC for reads, live price feeds, Jupiter for swap quotes, and GitHub Actions for the scheduled jobs. Four external services doing the job a backend usually would.</w:t>
            </w:r>
          </w:p>
        </w:tc>
      </w:tr>
      <w:tr>
        <w:tc>
          <w:tcPr>
            <w:tcW w:type="dxa" w:w="1400"/>
            <w:shd w:fill="F6F8F5" w:val="clear"/>
            <w:tcMar>
              <w:top w:type="dxa" w:w="100"/>
              <w:left w:type="dxa" w:w="120"/>
              <w:bottom w:type="dxa" w:w="100"/>
              <w:right w:type="dxa" w:w="120"/>
            </w:tcMar>
            <w:vAlign w:val="top"/>
          </w:tcPr>
          <w:p>
            <w:r>
              <w:rPr>
                <w:b w:val="false"/>
                <w:bCs w:val="false"/>
                <w:color w:val="121612"/>
                <w:sz w:val="19"/>
                <w:szCs w:val="19"/>
              </w:rPr>
              <w:t xml:space="preserve">1:00–1:25</w:t>
            </w:r>
          </w:p>
        </w:tc>
        <w:tc>
          <w:tcPr>
            <w:tcW w:type="dxa" w:w="8680"/>
            <w:shd w:fill="F6F8F5" w:val="clear"/>
            <w:tcMar>
              <w:top w:type="dxa" w:w="100"/>
              <w:left w:type="dxa" w:w="120"/>
              <w:bottom w:type="dxa" w:w="100"/>
              <w:right w:type="dxa" w:w="120"/>
            </w:tcMar>
            <w:vAlign w:val="top"/>
          </w:tcPr>
          <w:p>
            <w:r>
              <w:rPr>
                <w:b w:val="false"/>
                <w:bCs w:val="false"/>
                <w:color w:val="2E352E"/>
                <w:sz w:val="19"/>
                <w:szCs w:val="19"/>
              </w:rPr>
              <w:t xml:space="preserve">Tier four is the chain — where state actually persists. A wallet adapter signs; the Afterhours program on devnet holds two account types, Policy and Snapshot; and every snapshot recorded under a policy emits one event, SnapshotRecorded, that a script can subscribe to.</w:t>
            </w:r>
          </w:p>
        </w:tc>
      </w:tr>
      <w:tr>
        <w:tc>
          <w:tcPr>
            <w:tcW w:type="dxa" w:w="1400"/>
            <w:tcMar>
              <w:top w:type="dxa" w:w="100"/>
              <w:left w:type="dxa" w:w="120"/>
              <w:bottom w:type="dxa" w:w="100"/>
              <w:right w:type="dxa" w:w="120"/>
            </w:tcMar>
            <w:vAlign w:val="top"/>
          </w:tcPr>
          <w:p>
            <w:r>
              <w:rPr>
                <w:b w:val="false"/>
                <w:bCs w:val="false"/>
                <w:color w:val="121612"/>
                <w:sz w:val="19"/>
                <w:szCs w:val="19"/>
              </w:rPr>
              <w:t xml:space="preserve">1:25–1:40</w:t>
            </w:r>
          </w:p>
        </w:tc>
        <w:tc>
          <w:tcPr>
            <w:tcW w:type="dxa" w:w="8680"/>
            <w:tcMar>
              <w:top w:type="dxa" w:w="100"/>
              <w:left w:type="dxa" w:w="120"/>
              <w:bottom w:type="dxa" w:w="100"/>
              <w:right w:type="dxa" w:w="120"/>
            </w:tcMar>
            <w:vAlign w:val="top"/>
          </w:tcPr>
          <w:p>
            <w:r>
              <w:rPr>
                <w:b w:val="false"/>
                <w:bCs w:val="false"/>
                <w:color w:val="2E352E"/>
                <w:sz w:val="19"/>
                <w:szCs w:val="19"/>
              </w:rPr>
              <w:t xml:space="preserve">Two paths write to that same program: the user's own wallet, only when it owns the book on screen — that's the dashed box — and, completely independently, a scheduled job that writes a snapshot after every NYSE close whether or not anyone's watching.</w:t>
            </w:r>
          </w:p>
        </w:tc>
      </w:tr>
    </w:tbl>
    <w:p>
      <w:r>
        <w:br w:type="page"/>
      </w:r>
    </w:p>
    <w:p>
      <w:pPr>
        <w:pStyle w:val="Heading1"/>
        <w:pBdr>
          <w:bottom w:val="single" w:color="3AA000" w:sz="10" w:space="6"/>
        </w:pBdr>
        <w:spacing w:after="160" w:before="200"/>
      </w:pPr>
      <w:r>
        <w:rPr>
          <w:b/>
          <w:bCs/>
          <w:color w:val="121612"/>
          <w:sz w:val="32"/>
          <w:szCs w:val="32"/>
        </w:rPr>
        <w:t xml:space="preserve">Technical flow diagram</w:t>
      </w:r>
    </w:p>
    <w:p>
      <w:pPr>
        <w:spacing w:after="120"/>
      </w:pPr>
      <w:r>
        <w:rPr>
          <w:i w:val="false"/>
          <w:iCs w:val="false"/>
          <w:color w:val="121612"/>
          <w:sz w:val="21"/>
          <w:szCs w:val="21"/>
        </w:rPr>
        <w:t xml:space="preserve">The same system, drawn as a sequence: six lifelines (User, Client, Data sources, Jupiter, Wallet, Solana Program) and eleven numbered calls between them, in the order they actually happen. The dashed box marks the one stretch that's conditional on a connected wallet owning the book.</w:t>
      </w:r>
    </w:p>
    <w:p>
      <w:pPr>
        <w:spacing w:after="160" w:before="160"/>
        <w:jc w:val="center"/>
      </w:pPr>
      <w:r>
        <w:drawing>
          <wp:inline distT="0" distB="0" distL="0" distR="0">
            <wp:extent cx="62865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5000625"/>
                    </a:xfrm>
                    <a:prstGeom prst="rect">
                      <a:avLst/>
                    </a:prstGeom>
                  </pic:spPr>
                </pic:pic>
              </a:graphicData>
            </a:graphic>
          </wp:inline>
        </w:drawing>
      </w:r>
    </w:p>
    <w:p>
      <w:pPr>
        <w:pStyle w:val="Heading2"/>
        <w:spacing w:after="100" w:before="240"/>
      </w:pPr>
      <w:r>
        <w:rPr>
          <w:b/>
          <w:bCs/>
          <w:color w:val="3AA000"/>
          <w:sz w:val="24"/>
          <w:szCs w:val="24"/>
        </w:rPr>
        <w:t xml:space="preserve">Narration — explaining the flow out loud (~2:10)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shd w:fill="0B0D0B" w:val="clear"/>
            <w:tcMar>
              <w:top w:type="dxa" w:w="100"/>
              <w:left w:type="dxa" w:w="120"/>
              <w:bottom w:type="dxa" w:w="100"/>
              <w:right w:type="dxa" w:w="120"/>
            </w:tcMar>
            <w:vAlign w:val="top"/>
          </w:tcPr>
          <w:p>
            <w:r>
              <w:rPr>
                <w:b/>
                <w:bCs/>
                <w:color w:val="FFFFFF"/>
                <w:sz w:val="18"/>
                <w:szCs w:val="18"/>
              </w:rPr>
              <w:t xml:space="preserve">TIME</w:t>
            </w:r>
          </w:p>
        </w:tc>
        <w:tc>
          <w:tcPr>
            <w:tcW w:type="dxa" w:w="8680"/>
            <w:shd w:fill="0B0D0B" w:val="clear"/>
            <w:tcMar>
              <w:top w:type="dxa" w:w="100"/>
              <w:left w:type="dxa" w:w="120"/>
              <w:bottom w:type="dxa" w:w="100"/>
              <w:right w:type="dxa" w:w="120"/>
            </w:tcMar>
            <w:vAlign w:val="top"/>
          </w:tcPr>
          <w:p>
            <w:r>
              <w:rPr>
                <w:b/>
                <w:bCs/>
                <w:color w:val="FFFFFF"/>
                <w:sz w:val="18"/>
                <w:szCs w:val="18"/>
              </w:rPr>
              <w:t xml:space="preserve">SAY (reading pace, ~2 words/sec)</w:t>
            </w:r>
          </w:p>
        </w:tc>
      </w:tr>
      <w:tr>
        <w:tc>
          <w:tcPr>
            <w:tcW w:type="dxa" w:w="1400"/>
            <w:tcMar>
              <w:top w:type="dxa" w:w="100"/>
              <w:left w:type="dxa" w:w="120"/>
              <w:bottom w:type="dxa" w:w="100"/>
              <w:right w:type="dxa" w:w="120"/>
            </w:tcMar>
            <w:vAlign w:val="top"/>
          </w:tcPr>
          <w:p>
            <w:r>
              <w:rPr>
                <w:b w:val="false"/>
                <w:bCs w:val="false"/>
                <w:color w:val="121612"/>
                <w:sz w:val="19"/>
                <w:szCs w:val="19"/>
              </w:rPr>
              <w:t xml:space="preserve">0:00–0:10</w:t>
            </w:r>
          </w:p>
        </w:tc>
        <w:tc>
          <w:tcPr>
            <w:tcW w:type="dxa" w:w="8680"/>
            <w:tcMar>
              <w:top w:type="dxa" w:w="100"/>
              <w:left w:type="dxa" w:w="120"/>
              <w:bottom w:type="dxa" w:w="100"/>
              <w:right w:type="dxa" w:w="120"/>
            </w:tcMar>
            <w:vAlign w:val="top"/>
          </w:tcPr>
          <w:p>
            <w:r>
              <w:rPr>
                <w:b w:val="false"/>
                <w:bCs w:val="false"/>
                <w:color w:val="2E352E"/>
                <w:sz w:val="19"/>
                <w:szCs w:val="19"/>
              </w:rPr>
              <w:t xml:space="preserve">Same system, now read as a timeline. Six lifelines: the user, the client, the data sources, Jupiter, the wallet, and the on-chain program.</w:t>
            </w:r>
          </w:p>
        </w:tc>
      </w:tr>
      <w:tr>
        <w:tc>
          <w:tcPr>
            <w:tcW w:type="dxa" w:w="1400"/>
            <w:shd w:fill="F6F8F5" w:val="clear"/>
            <w:tcMar>
              <w:top w:type="dxa" w:w="100"/>
              <w:left w:type="dxa" w:w="120"/>
              <w:bottom w:type="dxa" w:w="100"/>
              <w:right w:type="dxa" w:w="120"/>
            </w:tcMar>
            <w:vAlign w:val="top"/>
          </w:tcPr>
          <w:p>
            <w:r>
              <w:rPr>
                <w:b w:val="false"/>
                <w:bCs w:val="false"/>
                <w:color w:val="121612"/>
                <w:sz w:val="19"/>
                <w:szCs w:val="19"/>
              </w:rPr>
              <w:t xml:space="preserve">0:10–0:30</w:t>
            </w:r>
          </w:p>
        </w:tc>
        <w:tc>
          <w:tcPr>
            <w:tcW w:type="dxa" w:w="8680"/>
            <w:shd w:fill="F6F8F5" w:val="clear"/>
            <w:tcMar>
              <w:top w:type="dxa" w:w="100"/>
              <w:left w:type="dxa" w:w="120"/>
              <w:bottom w:type="dxa" w:w="100"/>
              <w:right w:type="dxa" w:w="120"/>
            </w:tcMar>
            <w:vAlign w:val="top"/>
          </w:tcPr>
          <w:p>
            <w:r>
              <w:rPr>
                <w:b w:val="false"/>
                <w:bCs w:val="false"/>
                <w:color w:val="2E352E"/>
                <w:sz w:val="19"/>
                <w:szCs w:val="19"/>
              </w:rPr>
              <w:t xml:space="preserve">Steps one through three: the user hands the client an address, the client reads token accounts over RPC and requests live prices, and the data comes back — balances, prices, thirty days of hourly history.</w:t>
            </w:r>
          </w:p>
        </w:tc>
      </w:tr>
      <w:tr>
        <w:tc>
          <w:tcPr>
            <w:tcW w:type="dxa" w:w="1400"/>
            <w:tcMar>
              <w:top w:type="dxa" w:w="100"/>
              <w:left w:type="dxa" w:w="120"/>
              <w:bottom w:type="dxa" w:w="100"/>
              <w:right w:type="dxa" w:w="120"/>
            </w:tcMar>
            <w:vAlign w:val="top"/>
          </w:tcPr>
          <w:p>
            <w:r>
              <w:rPr>
                <w:b w:val="false"/>
                <w:bCs w:val="false"/>
                <w:color w:val="121612"/>
                <w:sz w:val="19"/>
                <w:szCs w:val="19"/>
              </w:rPr>
              <w:t xml:space="preserve">0:30–0:45</w:t>
            </w:r>
          </w:p>
        </w:tc>
        <w:tc>
          <w:tcPr>
            <w:tcW w:type="dxa" w:w="8680"/>
            <w:tcMar>
              <w:top w:type="dxa" w:w="100"/>
              <w:left w:type="dxa" w:w="120"/>
              <w:bottom w:type="dxa" w:w="100"/>
              <w:right w:type="dxa" w:w="120"/>
            </w:tcMar>
            <w:vAlign w:val="top"/>
          </w:tcPr>
          <w:p>
            <w:r>
              <w:rPr>
                <w:b w:val="false"/>
                <w:bCs w:val="false"/>
                <w:color w:val="2E352E"/>
                <w:sz w:val="19"/>
                <w:szCs w:val="19"/>
              </w:rPr>
              <w:t xml:space="preserve">Step four is a self-loop — the client doesn't call out anywhere to score the book. Score, VaR, beta, correlation, drift, shocks, all computed against what it already has.</w:t>
            </w:r>
          </w:p>
        </w:tc>
      </w:tr>
      <w:tr>
        <w:tc>
          <w:tcPr>
            <w:tcW w:type="dxa" w:w="1400"/>
            <w:shd w:fill="F6F8F5" w:val="clear"/>
            <w:tcMar>
              <w:top w:type="dxa" w:w="100"/>
              <w:left w:type="dxa" w:w="120"/>
              <w:bottom w:type="dxa" w:w="100"/>
              <w:right w:type="dxa" w:w="120"/>
            </w:tcMar>
            <w:vAlign w:val="top"/>
          </w:tcPr>
          <w:p>
            <w:r>
              <w:rPr>
                <w:b w:val="false"/>
                <w:bCs w:val="false"/>
                <w:color w:val="121612"/>
                <w:sz w:val="19"/>
                <w:szCs w:val="19"/>
              </w:rPr>
              <w:t xml:space="preserve">0:45–1:05</w:t>
            </w:r>
          </w:p>
        </w:tc>
        <w:tc>
          <w:tcPr>
            <w:tcW w:type="dxa" w:w="8680"/>
            <w:shd w:fill="F6F8F5" w:val="clear"/>
            <w:tcMar>
              <w:top w:type="dxa" w:w="100"/>
              <w:left w:type="dxa" w:w="120"/>
              <w:bottom w:type="dxa" w:w="100"/>
              <w:right w:type="dxa" w:w="120"/>
            </w:tcMar>
            <w:vAlign w:val="top"/>
          </w:tcPr>
          <w:p>
            <w:r>
              <w:rPr>
                <w:b w:val="false"/>
                <w:bCs w:val="false"/>
                <w:color w:val="2E352E"/>
                <w:sz w:val="19"/>
                <w:szCs w:val="19"/>
              </w:rPr>
              <w:t xml:space="preserve">Steps five and six: a live quote request to Jupiter, and a quote back — size, price impact, route — for whatever rebalance the drift implies.</w:t>
            </w:r>
          </w:p>
        </w:tc>
      </w:tr>
      <w:tr>
        <w:tc>
          <w:tcPr>
            <w:tcW w:type="dxa" w:w="1400"/>
            <w:tcMar>
              <w:top w:type="dxa" w:w="100"/>
              <w:left w:type="dxa" w:w="120"/>
              <w:bottom w:type="dxa" w:w="100"/>
              <w:right w:type="dxa" w:w="120"/>
            </w:tcMar>
            <w:vAlign w:val="top"/>
          </w:tcPr>
          <w:p>
            <w:r>
              <w:rPr>
                <w:b w:val="false"/>
                <w:bCs w:val="false"/>
                <w:color w:val="121612"/>
                <w:sz w:val="19"/>
                <w:szCs w:val="19"/>
              </w:rPr>
              <w:t xml:space="preserve">1:05–1:35</w:t>
            </w:r>
          </w:p>
        </w:tc>
        <w:tc>
          <w:tcPr>
            <w:tcW w:type="dxa" w:w="8680"/>
            <w:tcMar>
              <w:top w:type="dxa" w:w="100"/>
              <w:left w:type="dxa" w:w="120"/>
              <w:bottom w:type="dxa" w:w="100"/>
              <w:right w:type="dxa" w:w="120"/>
            </w:tcMar>
            <w:vAlign w:val="top"/>
          </w:tcPr>
          <w:p>
            <w:r>
              <w:rPr>
                <w:b w:val="false"/>
                <w:bCs w:val="false"/>
                <w:color w:val="2E352E"/>
                <w:sz w:val="19"/>
                <w:szCs w:val="19"/>
              </w:rPr>
              <w:t xml:space="preserve">Steps seven through nine only happen inside one condition, marked by the dashed box: the connected wallet has to own the book on screen. The client asks the wallet to sign — a swap, or a Policy and Snapshot write — the wallet sends it, and confirmation flows back so the desk can re-read the book.</w:t>
            </w:r>
          </w:p>
        </w:tc>
      </w:tr>
      <w:tr>
        <w:tc>
          <w:tcPr>
            <w:tcW w:type="dxa" w:w="1400"/>
            <w:shd w:fill="F6F8F5" w:val="clear"/>
            <w:tcMar>
              <w:top w:type="dxa" w:w="100"/>
              <w:left w:type="dxa" w:w="120"/>
              <w:bottom w:type="dxa" w:w="100"/>
              <w:right w:type="dxa" w:w="120"/>
            </w:tcMar>
            <w:vAlign w:val="top"/>
          </w:tcPr>
          <w:p>
            <w:r>
              <w:rPr>
                <w:b w:val="false"/>
                <w:bCs w:val="false"/>
                <w:color w:val="121612"/>
                <w:sz w:val="19"/>
                <w:szCs w:val="19"/>
              </w:rPr>
              <w:t xml:space="preserve">1:35–1:55</w:t>
            </w:r>
          </w:p>
        </w:tc>
        <w:tc>
          <w:tcPr>
            <w:tcW w:type="dxa" w:w="8680"/>
            <w:shd w:fill="F6F8F5" w:val="clear"/>
            <w:tcMar>
              <w:top w:type="dxa" w:w="100"/>
              <w:left w:type="dxa" w:w="120"/>
              <w:bottom w:type="dxa" w:w="100"/>
              <w:right w:type="dxa" w:w="120"/>
            </w:tcMar>
            <w:vAlign w:val="top"/>
          </w:tcPr>
          <w:p>
            <w:r>
              <w:rPr>
                <w:b w:val="false"/>
                <w:bCs w:val="false"/>
                <w:color w:val="2E352E"/>
                <w:sz w:val="19"/>
                <w:szCs w:val="19"/>
              </w:rPr>
              <w:t xml:space="preserve">Steps ten and eleven happen on-chain, after the fact: the program emits SnapshotRecorded with a breached flag, and watch-breaches.mjs — a completely separate process — decodes that event and can forward it to a webhook.</w:t>
            </w:r>
          </w:p>
        </w:tc>
      </w:tr>
      <w:tr>
        <w:tc>
          <w:tcPr>
            <w:tcW w:type="dxa" w:w="1400"/>
            <w:tcMar>
              <w:top w:type="dxa" w:w="100"/>
              <w:left w:type="dxa" w:w="120"/>
              <w:bottom w:type="dxa" w:w="100"/>
              <w:right w:type="dxa" w:w="120"/>
            </w:tcMar>
            <w:vAlign w:val="top"/>
          </w:tcPr>
          <w:p>
            <w:r>
              <w:rPr>
                <w:b w:val="false"/>
                <w:bCs w:val="false"/>
                <w:color w:val="121612"/>
                <w:sz w:val="19"/>
                <w:szCs w:val="19"/>
              </w:rPr>
              <w:t xml:space="preserve">1:55–2:10</w:t>
            </w:r>
          </w:p>
        </w:tc>
        <w:tc>
          <w:tcPr>
            <w:tcW w:type="dxa" w:w="8680"/>
            <w:tcMar>
              <w:top w:type="dxa" w:w="100"/>
              <w:left w:type="dxa" w:w="120"/>
              <w:bottom w:type="dxa" w:w="100"/>
              <w:right w:type="dxa" w:w="120"/>
            </w:tcMar>
            <w:vAlign w:val="top"/>
          </w:tcPr>
          <w:p>
            <w:r>
              <w:rPr>
                <w:b w:val="false"/>
                <w:bCs w:val="false"/>
                <w:color w:val="2E352E"/>
                <w:sz w:val="19"/>
                <w:szCs w:val="19"/>
              </w:rPr>
              <w:t xml:space="preserve">None of steps two through four, or step eight's write, need step one to come from a live user at all — that's exactly what the daily snapshot job proves, running the same sequence on a schedule, signed by its own keypair, with no one at the keyboard.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9c18f7c3da134ae89bc8704980a8f6c548a908.png"/><Relationship Id="rId8" Type="http://schemas.openxmlformats.org/officeDocument/2006/relationships/image" Target="media/eb4716613b2e45ea69dd251a8aab8c1a62d7633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2026-09-20T10:04:28.830Z</dcterms:created>
  <dcterms:modified xsi:type="dcterms:W3CDTF">2026-09-20T10:04:28.831Z</dcterms:modified>
</cp:coreProperties>
</file>

<file path=docProps/custom.xml><?xml version="1.0" encoding="utf-8"?>
<Properties xmlns="http://schemas.openxmlformats.org/officeDocument/2006/custom-properties" xmlns:vt="http://schemas.openxmlformats.org/officeDocument/2006/docPropsVTypes"/>
</file>