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2635" w14:textId="3618FAB6"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0425F073" w14:textId="77777777" w:rsidR="004962CE" w:rsidRDefault="00316DBD" w:rsidP="004962CE">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962CE">
        <w:rPr>
          <w:rFonts w:ascii="Verdana" w:eastAsia="Times New Roman" w:hAnsi="Verdana" w:cs="Times New Roman"/>
          <w:color w:val="222222"/>
          <w:sz w:val="20"/>
          <w:szCs w:val="20"/>
          <w:lang w:eastAsia="en-IN"/>
        </w:rPr>
        <w:t>Create 100 scripts one for each dataset and execute each test one by one.</w:t>
      </w:r>
    </w:p>
    <w:p w14:paraId="47FEB27C" w14:textId="6E7FC65C" w:rsidR="00AD766F" w:rsidRDefault="00316DBD" w:rsidP="00AD766F">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962CE">
        <w:rPr>
          <w:rFonts w:ascii="Verdana" w:eastAsia="Times New Roman" w:hAnsi="Verdana" w:cs="Times New Roman"/>
          <w:color w:val="222222"/>
          <w:sz w:val="20"/>
          <w:szCs w:val="20"/>
          <w:lang w:eastAsia="en-IN"/>
        </w:rPr>
        <w:t>Change the data in the script and execute it multiple times.</w:t>
      </w:r>
    </w:p>
    <w:p w14:paraId="494995E7" w14:textId="136B6723" w:rsidR="00316DBD" w:rsidRPr="004962CE" w:rsidRDefault="00316DBD" w:rsidP="00F62FEF">
      <w:pPr>
        <w:shd w:val="clear" w:color="auto" w:fill="FFFFFF"/>
        <w:spacing w:after="0" w:line="240" w:lineRule="auto"/>
        <w:ind w:firstLine="360"/>
        <w:rPr>
          <w:rFonts w:ascii="Verdana" w:eastAsia="Times New Roman" w:hAnsi="Verdana" w:cs="Times New Roman"/>
          <w:color w:val="222222"/>
          <w:sz w:val="20"/>
          <w:szCs w:val="20"/>
          <w:lang w:eastAsia="en-IN"/>
        </w:rPr>
      </w:pPr>
      <w:r w:rsidRPr="004962CE">
        <w:rPr>
          <w:rFonts w:ascii="Verdana" w:eastAsia="Times New Roman" w:hAnsi="Verdana" w:cs="Times New Roman"/>
          <w:b/>
          <w:bCs/>
          <w:color w:val="222222"/>
          <w:sz w:val="20"/>
          <w:szCs w:val="20"/>
          <w:lang w:eastAsia="en-IN"/>
        </w:rPr>
        <w:t>3)</w:t>
      </w:r>
      <w:r w:rsidRPr="004962CE">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A0472A" w:rsidRDefault="00993F48" w:rsidP="00993F48">
      <w:pPr>
        <w:shd w:val="clear" w:color="auto" w:fill="FFFFFF"/>
        <w:spacing w:after="240" w:line="240" w:lineRule="auto"/>
        <w:rPr>
          <w:rStyle w:val="Emphasis"/>
          <w:rFonts w:ascii="Verdana" w:hAnsi="Verdana"/>
          <w:b/>
          <w:bCs/>
          <w:color w:val="303030"/>
          <w:sz w:val="21"/>
          <w:szCs w:val="21"/>
          <w:lang w:eastAsia="en-IN"/>
        </w:rPr>
      </w:pPr>
      <w:r w:rsidRPr="00A0472A">
        <w:rPr>
          <w:rStyle w:val="Emphasis"/>
          <w:rFonts w:ascii="Verdana" w:hAnsi="Verdana"/>
          <w:b/>
          <w:bCs/>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proofErr w:type="gramStart"/>
      <w:r w:rsidRPr="00993F48">
        <w:rPr>
          <w:rStyle w:val="Emphasis"/>
          <w:rFonts w:ascii="Verdana" w:hAnsi="Verdana"/>
          <w:color w:val="303030"/>
          <w:sz w:val="21"/>
          <w:szCs w:val="21"/>
          <w:lang w:eastAsia="en-IN"/>
        </w:rPr>
        <w:t>build</w:t>
      </w:r>
      <w:proofErr w:type="spellEnd"/>
      <w:proofErr w:type="gram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r w:rsidR="001653CF">
        <w:rPr>
          <w:rFonts w:ascii="Georgia" w:hAnsi="Georgia"/>
          <w:b/>
          <w:bCs/>
          <w:color w:val="333333"/>
          <w:sz w:val="27"/>
          <w:szCs w:val="27"/>
        </w:rPr>
        <w:t>detail:</w:t>
      </w:r>
      <w:r>
        <w:rPr>
          <w:rFonts w:ascii="Georgia" w:hAnsi="Georgia"/>
          <w:b/>
          <w:bCs/>
          <w:color w:val="333333"/>
          <w:sz w:val="27"/>
          <w:szCs w:val="27"/>
        </w:rPr>
        <w:t>-</w:t>
      </w:r>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bookmarkStart w:id="0" w:name="_GoBack"/>
      <w:bookmarkEnd w:id="0"/>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A1543"/>
    <w:multiLevelType w:val="hybridMultilevel"/>
    <w:tmpl w:val="B6E6351C"/>
    <w:lvl w:ilvl="0" w:tplc="FE0A6A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816B0"/>
    <w:rsid w:val="00082E89"/>
    <w:rsid w:val="000B4797"/>
    <w:rsid w:val="0010256C"/>
    <w:rsid w:val="00156FB9"/>
    <w:rsid w:val="001653CF"/>
    <w:rsid w:val="002358D2"/>
    <w:rsid w:val="00316DBD"/>
    <w:rsid w:val="0035162A"/>
    <w:rsid w:val="00357D67"/>
    <w:rsid w:val="00384291"/>
    <w:rsid w:val="003B1E1D"/>
    <w:rsid w:val="003F4785"/>
    <w:rsid w:val="00430EAE"/>
    <w:rsid w:val="004962CE"/>
    <w:rsid w:val="004B5B18"/>
    <w:rsid w:val="004D2D34"/>
    <w:rsid w:val="004D39D1"/>
    <w:rsid w:val="005675CE"/>
    <w:rsid w:val="005B1240"/>
    <w:rsid w:val="00605D77"/>
    <w:rsid w:val="0067090F"/>
    <w:rsid w:val="006858A0"/>
    <w:rsid w:val="006B3320"/>
    <w:rsid w:val="00720B36"/>
    <w:rsid w:val="007C082B"/>
    <w:rsid w:val="00811959"/>
    <w:rsid w:val="00871B04"/>
    <w:rsid w:val="008914AE"/>
    <w:rsid w:val="008F1948"/>
    <w:rsid w:val="00900217"/>
    <w:rsid w:val="00993F48"/>
    <w:rsid w:val="009D4043"/>
    <w:rsid w:val="009E7266"/>
    <w:rsid w:val="00A0472A"/>
    <w:rsid w:val="00A15B1B"/>
    <w:rsid w:val="00A311BE"/>
    <w:rsid w:val="00A440A6"/>
    <w:rsid w:val="00A55AAB"/>
    <w:rsid w:val="00AB0821"/>
    <w:rsid w:val="00AD766F"/>
    <w:rsid w:val="00AF5651"/>
    <w:rsid w:val="00C54C5A"/>
    <w:rsid w:val="00C567B9"/>
    <w:rsid w:val="00C74494"/>
    <w:rsid w:val="00CC3295"/>
    <w:rsid w:val="00CE552B"/>
    <w:rsid w:val="00DE4771"/>
    <w:rsid w:val="00DE6522"/>
    <w:rsid w:val="00E12667"/>
    <w:rsid w:val="00E278DA"/>
    <w:rsid w:val="00E433C8"/>
    <w:rsid w:val="00EA23C0"/>
    <w:rsid w:val="00EB4742"/>
    <w:rsid w:val="00F51145"/>
    <w:rsid w:val="00F62FEF"/>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6080</TotalTime>
  <Pages>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47</cp:revision>
  <dcterms:created xsi:type="dcterms:W3CDTF">2017-10-11T10:44:00Z</dcterms:created>
  <dcterms:modified xsi:type="dcterms:W3CDTF">2019-06-17T03:22:00Z</dcterms:modified>
</cp:coreProperties>
</file>